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435FA" w14:textId="77777777" w:rsidR="00DF76EB" w:rsidRDefault="00DF76EB" w:rsidP="00E91074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E91074">
        <w:rPr>
          <w:rFonts w:hint="cs"/>
          <w:rtl/>
        </w:rPr>
        <w:t>שמורת טבע כפירה</w:t>
      </w:r>
      <w:r w:rsidR="00914531">
        <w:rPr>
          <w:rFonts w:hint="cs"/>
          <w:rtl/>
        </w:rPr>
        <w:t xml:space="preserve">, לפי תכנית מס' </w:t>
      </w:r>
      <w:r w:rsidR="00E91074">
        <w:rPr>
          <w:rFonts w:hint="cs"/>
          <w:rtl/>
        </w:rPr>
        <w:t>מי/961</w:t>
      </w:r>
      <w:r w:rsidR="00A23593">
        <w:rPr>
          <w:rFonts w:hint="cs"/>
          <w:rtl/>
        </w:rPr>
        <w:t>), תשע"</w:t>
      </w:r>
      <w:r w:rsidR="009F4ED7">
        <w:rPr>
          <w:rFonts w:hint="cs"/>
          <w:rtl/>
        </w:rPr>
        <w:t>ה-2014</w:t>
      </w:r>
    </w:p>
    <w:p w14:paraId="0617AD3D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555DA279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042EE755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C2AF5" w:rsidRPr="009C2AF5" w14:paraId="6BE09AB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66D6686" w14:textId="77777777" w:rsidR="009C2AF5" w:rsidRPr="009C2AF5" w:rsidRDefault="009C2AF5" w:rsidP="009C2AF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E02D075" w14:textId="77777777" w:rsidR="009C2AF5" w:rsidRPr="009C2AF5" w:rsidRDefault="009C2AF5" w:rsidP="009C2AF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4D041808" w14:textId="77777777" w:rsidR="009C2AF5" w:rsidRPr="009C2AF5" w:rsidRDefault="009C2AF5" w:rsidP="009C2AF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9C2AF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1ACABE" w14:textId="77777777" w:rsidR="009C2AF5" w:rsidRPr="009C2AF5" w:rsidRDefault="009C2AF5" w:rsidP="009C2AF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C2AF5" w:rsidRPr="009C2AF5" w14:paraId="1C4ECB8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29C2118" w14:textId="77777777" w:rsidR="009C2AF5" w:rsidRPr="009C2AF5" w:rsidRDefault="009C2AF5" w:rsidP="009C2AF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AAE5BA0" w14:textId="77777777" w:rsidR="009C2AF5" w:rsidRPr="009C2AF5" w:rsidRDefault="009C2AF5" w:rsidP="009C2AF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6DFDF505" w14:textId="77777777" w:rsidR="009C2AF5" w:rsidRPr="009C2AF5" w:rsidRDefault="009C2AF5" w:rsidP="009C2AF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9C2AF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2ADB03C" w14:textId="77777777" w:rsidR="009C2AF5" w:rsidRPr="009C2AF5" w:rsidRDefault="009C2AF5" w:rsidP="009C2AF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C2AF5" w:rsidRPr="009C2AF5" w14:paraId="3576120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5E3032A" w14:textId="77777777" w:rsidR="009C2AF5" w:rsidRPr="009C2AF5" w:rsidRDefault="009C2AF5" w:rsidP="009C2AF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0FD252B" w14:textId="77777777" w:rsidR="009C2AF5" w:rsidRPr="009C2AF5" w:rsidRDefault="009C2AF5" w:rsidP="009C2AF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A87C454" w14:textId="77777777" w:rsidR="009C2AF5" w:rsidRPr="009C2AF5" w:rsidRDefault="009C2AF5" w:rsidP="009C2AF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9C2AF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5839EF5" w14:textId="77777777" w:rsidR="009C2AF5" w:rsidRPr="009C2AF5" w:rsidRDefault="009C2AF5" w:rsidP="009C2AF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D9EFF33" w14:textId="77777777" w:rsidR="009C432F" w:rsidRDefault="009C432F">
      <w:pPr>
        <w:pStyle w:val="big-header"/>
        <w:ind w:left="0" w:right="1134"/>
        <w:rPr>
          <w:rtl/>
        </w:rPr>
      </w:pPr>
    </w:p>
    <w:p w14:paraId="27B0FAC8" w14:textId="77777777" w:rsidR="009C432F" w:rsidRPr="002E4507" w:rsidRDefault="009C432F" w:rsidP="00E91074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E91074">
        <w:rPr>
          <w:rFonts w:hint="cs"/>
          <w:rtl/>
        </w:rPr>
        <w:t>שמורת טבע כפירה</w:t>
      </w:r>
      <w:r w:rsidR="00683523">
        <w:rPr>
          <w:rFonts w:hint="cs"/>
          <w:rtl/>
        </w:rPr>
        <w:t xml:space="preserve">, לפי תכנית מס' </w:t>
      </w:r>
      <w:r w:rsidR="00E91074">
        <w:rPr>
          <w:rFonts w:hint="cs"/>
          <w:rtl/>
        </w:rPr>
        <w:t>מי/961</w:t>
      </w:r>
      <w:r w:rsidR="009F4ED7">
        <w:rPr>
          <w:rFonts w:hint="cs"/>
          <w:rtl/>
        </w:rPr>
        <w:t>), תשע"ה-2014</w:t>
      </w:r>
      <w:r w:rsidR="00E31D0A">
        <w:rPr>
          <w:rStyle w:val="a6"/>
          <w:rtl/>
        </w:rPr>
        <w:footnoteReference w:customMarkFollows="1" w:id="1"/>
        <w:t>*</w:t>
      </w:r>
    </w:p>
    <w:p w14:paraId="4B91876C" w14:textId="77777777" w:rsidR="009C432F" w:rsidRDefault="009C432F" w:rsidP="00F111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 xml:space="preserve">השר להגנת הסביבה ולאחר שהתקיימו כל התנאים כאמור בסעיף 22(ב)(1), (2), (4) </w:t>
      </w:r>
      <w:r w:rsidR="00F11172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9051FFD" w14:textId="77777777" w:rsidR="009C432F" w:rsidRDefault="009C432F" w:rsidP="006548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6573A65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66E8B71A" w14:textId="77777777" w:rsidR="009C432F" w:rsidRDefault="00DB2D99" w:rsidP="0065487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5487C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65487C">
        <w:rPr>
          <w:rStyle w:val="default"/>
          <w:rFonts w:cs="FrankRuehl" w:hint="cs"/>
          <w:rtl/>
        </w:rPr>
        <w:t>בצפון הרי יהודה</w:t>
      </w:r>
      <w:r w:rsidR="00017B8F">
        <w:rPr>
          <w:rStyle w:val="default"/>
          <w:rFonts w:cs="FrankRuehl" w:hint="cs"/>
          <w:rtl/>
        </w:rPr>
        <w:t xml:space="preserve">, </w:t>
      </w:r>
      <w:r w:rsidR="00527B5D">
        <w:rPr>
          <w:rStyle w:val="default"/>
          <w:rFonts w:cs="FrankRuehl" w:hint="cs"/>
          <w:rtl/>
        </w:rPr>
        <w:t xml:space="preserve">צבוע בירוק </w:t>
      </w:r>
      <w:r w:rsidR="00F11172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מקווקו בקווים </w:t>
      </w:r>
      <w:r w:rsidR="00017B8F">
        <w:rPr>
          <w:rStyle w:val="default"/>
          <w:rFonts w:cs="FrankRuehl" w:hint="cs"/>
          <w:rtl/>
        </w:rPr>
        <w:t>ירוקים</w:t>
      </w:r>
      <w:r w:rsidR="00683523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 xml:space="preserve">אלכסוניים </w:t>
      </w:r>
      <w:r w:rsidR="00914531">
        <w:rPr>
          <w:rStyle w:val="default"/>
          <w:rFonts w:cs="FrankRuehl" w:hint="cs"/>
          <w:rtl/>
        </w:rPr>
        <w:t>ומצולבים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C43A70">
        <w:rPr>
          <w:rStyle w:val="default"/>
          <w:rFonts w:cs="FrankRuehl" w:hint="cs"/>
          <w:rtl/>
        </w:rPr>
        <w:t>מס</w:t>
      </w:r>
      <w:r w:rsidR="00683523">
        <w:rPr>
          <w:rStyle w:val="default"/>
          <w:rFonts w:cs="FrankRuehl" w:hint="cs"/>
          <w:rtl/>
        </w:rPr>
        <w:t>פר</w:t>
      </w:r>
      <w:r w:rsidR="00527B5D">
        <w:rPr>
          <w:rStyle w:val="default"/>
          <w:rFonts w:cs="FrankRuehl" w:hint="cs"/>
          <w:rtl/>
        </w:rPr>
        <w:t xml:space="preserve"> </w:t>
      </w:r>
      <w:r w:rsidR="0065487C">
        <w:rPr>
          <w:rStyle w:val="default"/>
          <w:rFonts w:cs="FrankRuehl" w:hint="cs"/>
          <w:rtl/>
        </w:rPr>
        <w:t>ש/יר/מי/961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683523">
        <w:rPr>
          <w:rStyle w:val="default"/>
          <w:rFonts w:cs="FrankRuehl" w:hint="cs"/>
          <w:rtl/>
        </w:rPr>
        <w:t>10</w:t>
      </w:r>
      <w:r w:rsidR="009F4ED7">
        <w:rPr>
          <w:rStyle w:val="default"/>
          <w:rFonts w:cs="FrankRuehl" w:hint="cs"/>
          <w:rtl/>
        </w:rPr>
        <w:t>,0</w:t>
      </w:r>
      <w:r w:rsidR="00527B5D">
        <w:rPr>
          <w:rStyle w:val="default"/>
          <w:rFonts w:cs="FrankRuehl" w:hint="cs"/>
          <w:rtl/>
        </w:rPr>
        <w:t xml:space="preserve">00 והחתום ביום </w:t>
      </w:r>
      <w:r w:rsidR="00683523">
        <w:rPr>
          <w:rStyle w:val="default"/>
          <w:rFonts w:cs="FrankRuehl" w:hint="cs"/>
          <w:rtl/>
        </w:rPr>
        <w:t>כ"ז בתשרי התשע"ה (21 באוקטובר</w:t>
      </w:r>
      <w:r w:rsidR="00914531">
        <w:rPr>
          <w:rStyle w:val="default"/>
          <w:rFonts w:cs="FrankRuehl" w:hint="cs"/>
          <w:rtl/>
        </w:rPr>
        <w:t xml:space="preserve"> 2014</w:t>
      </w:r>
      <w:r w:rsidR="00527B5D">
        <w:rPr>
          <w:rStyle w:val="default"/>
          <w:rFonts w:cs="FrankRuehl" w:hint="cs"/>
          <w:rtl/>
        </w:rPr>
        <w:t>) ביד שר הפנים,</w:t>
      </w:r>
      <w:r w:rsidR="00B64FE5">
        <w:rPr>
          <w:rStyle w:val="default"/>
          <w:rFonts w:cs="FrankRuehl" w:hint="cs"/>
          <w:rtl/>
        </w:rPr>
        <w:t xml:space="preserve"> הוא </w:t>
      </w:r>
      <w:r w:rsidR="0065487C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44A8FA03" w14:textId="77777777" w:rsidR="009C432F" w:rsidRDefault="009C432F" w:rsidP="006548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B67FA4D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129EA595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026DD1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במשרדי הממונה על מחוז </w:t>
      </w:r>
      <w:r w:rsidR="0065487C">
        <w:rPr>
          <w:rStyle w:val="default"/>
          <w:rFonts w:cs="FrankRuehl" w:hint="cs"/>
          <w:rtl/>
        </w:rPr>
        <w:t>ירושלים בירושלים</w:t>
      </w:r>
      <w:r w:rsidR="00527B5D">
        <w:rPr>
          <w:rStyle w:val="default"/>
          <w:rFonts w:cs="FrankRuehl" w:hint="cs"/>
          <w:rtl/>
        </w:rPr>
        <w:t xml:space="preserve">, במשרדי הוועדה המקומית לתכנון ולבנייה </w:t>
      </w:r>
      <w:r w:rsidR="0065487C">
        <w:rPr>
          <w:rStyle w:val="default"/>
          <w:rFonts w:cs="FrankRuehl" w:hint="cs"/>
          <w:rtl/>
        </w:rPr>
        <w:t>מטה יהודה</w:t>
      </w:r>
      <w:r w:rsidR="00527B5D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F11172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9F4ED7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218C1B69" w14:textId="77777777"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044837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1A531AE2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013B0CB9" w14:textId="77777777" w:rsidR="00527B5D" w:rsidRDefault="00527B5D" w:rsidP="006548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שטח השיפוט של המועצה </w:t>
      </w:r>
      <w:r w:rsidR="00683523">
        <w:rPr>
          <w:rStyle w:val="default"/>
          <w:rFonts w:cs="FrankRuehl" w:hint="cs"/>
          <w:rtl/>
        </w:rPr>
        <w:t xml:space="preserve">האזורית </w:t>
      </w:r>
      <w:r w:rsidR="0065487C">
        <w:rPr>
          <w:rStyle w:val="default"/>
          <w:rFonts w:cs="FrankRuehl" w:hint="cs"/>
          <w:rtl/>
        </w:rPr>
        <w:t>מטה יהודה</w:t>
      </w:r>
      <w:r w:rsidR="00F1117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שב</w:t>
      </w:r>
      <w:r w:rsidR="00017B8F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 חלה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65487C">
        <w:rPr>
          <w:rStyle w:val="default"/>
          <w:rFonts w:cs="FrankRuehl" w:hint="cs"/>
          <w:rtl/>
        </w:rPr>
        <w:t>מי/961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 </w:t>
      </w:r>
      <w:r w:rsidR="0065487C">
        <w:rPr>
          <w:rStyle w:val="default"/>
          <w:rFonts w:cs="FrankRuehl" w:hint="cs"/>
          <w:rtl/>
        </w:rPr>
        <w:t>6450</w:t>
      </w:r>
      <w:r>
        <w:rPr>
          <w:rStyle w:val="default"/>
          <w:rFonts w:cs="FrankRuehl" w:hint="cs"/>
          <w:rtl/>
        </w:rPr>
        <w:t xml:space="preserve">, מיום </w:t>
      </w:r>
      <w:r w:rsidR="00683523">
        <w:rPr>
          <w:rStyle w:val="default"/>
          <w:rFonts w:cs="FrankRuehl" w:hint="cs"/>
          <w:rtl/>
        </w:rPr>
        <w:t>ז</w:t>
      </w:r>
      <w:r w:rsidR="00914531">
        <w:rPr>
          <w:rStyle w:val="default"/>
          <w:rFonts w:cs="FrankRuehl" w:hint="cs"/>
          <w:rtl/>
        </w:rPr>
        <w:t xml:space="preserve">' </w:t>
      </w:r>
      <w:r w:rsidR="0065487C">
        <w:rPr>
          <w:rStyle w:val="default"/>
          <w:rFonts w:cs="FrankRuehl" w:hint="cs"/>
          <w:rtl/>
        </w:rPr>
        <w:t>באב</w:t>
      </w:r>
      <w:r w:rsidR="00914531">
        <w:rPr>
          <w:rStyle w:val="default"/>
          <w:rFonts w:cs="FrankRuehl" w:hint="cs"/>
          <w:rtl/>
        </w:rPr>
        <w:t xml:space="preserve"> התשע</w:t>
      </w:r>
      <w:r w:rsidR="00017B8F">
        <w:rPr>
          <w:rStyle w:val="default"/>
          <w:rFonts w:cs="FrankRuehl" w:hint="cs"/>
          <w:rtl/>
        </w:rPr>
        <w:t>"</w:t>
      </w:r>
      <w:r w:rsidR="0065487C">
        <w:rPr>
          <w:rStyle w:val="default"/>
          <w:rFonts w:cs="FrankRuehl" w:hint="cs"/>
          <w:rtl/>
        </w:rPr>
        <w:t>ב</w:t>
      </w:r>
      <w:r w:rsidR="00914531">
        <w:rPr>
          <w:rStyle w:val="default"/>
          <w:rFonts w:cs="FrankRuehl" w:hint="cs"/>
          <w:rtl/>
        </w:rPr>
        <w:t xml:space="preserve"> (</w:t>
      </w:r>
      <w:r w:rsidR="0065487C">
        <w:rPr>
          <w:rStyle w:val="default"/>
          <w:rFonts w:cs="FrankRuehl" w:hint="cs"/>
          <w:rtl/>
        </w:rPr>
        <w:t>26 ביולי</w:t>
      </w:r>
      <w:r w:rsidR="00914531">
        <w:rPr>
          <w:rStyle w:val="default"/>
          <w:rFonts w:cs="FrankRuehl" w:hint="cs"/>
          <w:rtl/>
        </w:rPr>
        <w:t xml:space="preserve"> 20</w:t>
      </w:r>
      <w:r w:rsidR="00017B8F">
        <w:rPr>
          <w:rStyle w:val="default"/>
          <w:rFonts w:cs="FrankRuehl" w:hint="cs"/>
          <w:rtl/>
        </w:rPr>
        <w:t>1</w:t>
      </w:r>
      <w:r w:rsidR="0065487C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 xml:space="preserve">), עמ' </w:t>
      </w:r>
      <w:r w:rsidR="0065487C">
        <w:rPr>
          <w:rStyle w:val="default"/>
          <w:rFonts w:cs="FrankRuehl" w:hint="cs"/>
          <w:rtl/>
        </w:rPr>
        <w:t>5467</w:t>
      </w:r>
      <w:r w:rsidR="00F11172">
        <w:rPr>
          <w:rStyle w:val="default"/>
          <w:rFonts w:cs="FrankRuehl" w:hint="cs"/>
          <w:rtl/>
        </w:rPr>
        <w:t>, והוא כולל גוש</w:t>
      </w:r>
      <w:r w:rsidR="00683523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9F4ED7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 רישום קרקע אלה:</w:t>
      </w:r>
    </w:p>
    <w:p w14:paraId="5163C6A9" w14:textId="77777777" w:rsidR="00527B5D" w:rsidRDefault="00527B5D" w:rsidP="006548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65487C">
        <w:rPr>
          <w:rStyle w:val="default"/>
          <w:rFonts w:cs="FrankRuehl" w:hint="cs"/>
          <w:rtl/>
        </w:rPr>
        <w:t xml:space="preserve">5365 </w:t>
      </w:r>
      <w:r w:rsidR="0065487C">
        <w:rPr>
          <w:rStyle w:val="default"/>
          <w:rFonts w:cs="FrankRuehl"/>
          <w:rtl/>
        </w:rPr>
        <w:t>–</w:t>
      </w:r>
      <w:r w:rsidR="0065487C">
        <w:rPr>
          <w:rStyle w:val="default"/>
          <w:rFonts w:cs="FrankRuehl" w:hint="cs"/>
          <w:rtl/>
        </w:rPr>
        <w:t xml:space="preserve"> חלקי חלקות 36, 89, 90, 92</w:t>
      </w:r>
      <w:r w:rsidR="00683523">
        <w:rPr>
          <w:rStyle w:val="default"/>
          <w:rFonts w:cs="FrankRuehl" w:hint="cs"/>
          <w:rtl/>
        </w:rPr>
        <w:t>;</w:t>
      </w:r>
    </w:p>
    <w:p w14:paraId="7BC916BC" w14:textId="77777777" w:rsidR="00683523" w:rsidRDefault="00683523" w:rsidP="006548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65487C">
        <w:rPr>
          <w:rStyle w:val="default"/>
          <w:rFonts w:cs="FrankRuehl" w:hint="cs"/>
          <w:rtl/>
        </w:rPr>
        <w:t xml:space="preserve">5366 </w:t>
      </w:r>
      <w:r w:rsidR="0065487C">
        <w:rPr>
          <w:rStyle w:val="default"/>
          <w:rFonts w:cs="FrankRuehl"/>
          <w:rtl/>
        </w:rPr>
        <w:t>–</w:t>
      </w:r>
      <w:r w:rsidR="0065487C">
        <w:rPr>
          <w:rStyle w:val="default"/>
          <w:rFonts w:cs="FrankRuehl" w:hint="cs"/>
          <w:rtl/>
        </w:rPr>
        <w:t xml:space="preserve"> חלקי חלקה 1</w:t>
      </w:r>
      <w:r>
        <w:rPr>
          <w:rStyle w:val="default"/>
          <w:rFonts w:cs="FrankRuehl" w:hint="cs"/>
          <w:rtl/>
        </w:rPr>
        <w:t>;</w:t>
      </w:r>
    </w:p>
    <w:p w14:paraId="6C7A31B1" w14:textId="77777777" w:rsidR="00683523" w:rsidRDefault="00683523" w:rsidP="006548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65487C">
        <w:rPr>
          <w:rStyle w:val="default"/>
          <w:rFonts w:cs="FrankRuehl" w:hint="cs"/>
          <w:rtl/>
        </w:rPr>
        <w:t xml:space="preserve">5367 </w:t>
      </w:r>
      <w:r w:rsidR="0065487C">
        <w:rPr>
          <w:rStyle w:val="default"/>
          <w:rFonts w:cs="FrankRuehl"/>
          <w:rtl/>
        </w:rPr>
        <w:t>–</w:t>
      </w:r>
      <w:r w:rsidR="0065487C">
        <w:rPr>
          <w:rStyle w:val="default"/>
          <w:rFonts w:cs="FrankRuehl" w:hint="cs"/>
          <w:rtl/>
        </w:rPr>
        <w:t xml:space="preserve"> חלקה במלואה 5; חלקי חלקות 1, 3, 4, 6, 7;</w:t>
      </w:r>
    </w:p>
    <w:p w14:paraId="26D135D5" w14:textId="77777777" w:rsidR="0065487C" w:rsidRDefault="0065487C" w:rsidP="006548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5368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3, 4; חלקי חלקות 2, 5, 6;</w:t>
      </w:r>
    </w:p>
    <w:p w14:paraId="430B00D3" w14:textId="77777777" w:rsidR="0065487C" w:rsidRDefault="0065487C" w:rsidP="006548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5369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1;</w:t>
      </w:r>
    </w:p>
    <w:p w14:paraId="182B6D54" w14:textId="77777777" w:rsidR="0065487C" w:rsidRDefault="0065487C" w:rsidP="006548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5370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7-4, 18-15, 41; חלקי חלקות 3-1, 14-8, 19, 20, 36, 40-38, 42, 43;</w:t>
      </w:r>
    </w:p>
    <w:p w14:paraId="550DFEB7" w14:textId="77777777" w:rsidR="0065487C" w:rsidRDefault="0065487C" w:rsidP="006548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5371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2, 3; חלקי חלקה 1;</w:t>
      </w:r>
    </w:p>
    <w:p w14:paraId="14F18C19" w14:textId="77777777" w:rsidR="0065487C" w:rsidRDefault="0065487C" w:rsidP="006548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5372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1;</w:t>
      </w:r>
    </w:p>
    <w:p w14:paraId="119857DA" w14:textId="77777777" w:rsidR="0065487C" w:rsidRDefault="0065487C" w:rsidP="006548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5373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5, 6; חלקי חלקות 4, 9-7, 15, 16, 49, 51, 52, 59-55, 91, 92;</w:t>
      </w:r>
    </w:p>
    <w:p w14:paraId="1C6F0596" w14:textId="77777777" w:rsidR="0065487C" w:rsidRDefault="0065487C" w:rsidP="006548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5395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1, 3;</w:t>
      </w:r>
    </w:p>
    <w:p w14:paraId="6A361897" w14:textId="77777777" w:rsidR="0065487C" w:rsidRDefault="0065487C" w:rsidP="006548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5396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במלואה 5; חלקי חלקות 4-1;</w:t>
      </w:r>
    </w:p>
    <w:p w14:paraId="385A5589" w14:textId="77777777" w:rsidR="0065487C" w:rsidRDefault="0065487C" w:rsidP="006548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5397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1;</w:t>
      </w:r>
    </w:p>
    <w:p w14:paraId="7C904C32" w14:textId="77777777" w:rsidR="0065487C" w:rsidRDefault="0065487C" w:rsidP="006548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5398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1, 4;</w:t>
      </w:r>
    </w:p>
    <w:p w14:paraId="46C81BCA" w14:textId="77777777" w:rsidR="0065487C" w:rsidRDefault="0065487C" w:rsidP="006548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5399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במלואה 4; חלקי חלקה 1;</w:t>
      </w:r>
    </w:p>
    <w:p w14:paraId="05DEF784" w14:textId="77777777" w:rsidR="0065487C" w:rsidRDefault="0065487C" w:rsidP="006548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5400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במלואה 4; חלקי חלקה 1;</w:t>
      </w:r>
    </w:p>
    <w:p w14:paraId="55CA4257" w14:textId="77777777" w:rsidR="0065487C" w:rsidRDefault="0065487C" w:rsidP="006548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29881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1, 2, 4, 7, 8, 10; חלקי חלקות 3, 5, 6, 9;</w:t>
      </w:r>
    </w:p>
    <w:p w14:paraId="4B5FF712" w14:textId="77777777" w:rsidR="0065487C" w:rsidRDefault="0065487C" w:rsidP="006548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29882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6, 10; חלקי חלקות 1, 2, 4, 5, 7;</w:t>
      </w:r>
    </w:p>
    <w:p w14:paraId="3B9643DB" w14:textId="77777777" w:rsidR="0065487C" w:rsidRDefault="0065487C" w:rsidP="006548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29886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1, 2, 4, 6; חלקי חלקות 3, 5;</w:t>
      </w:r>
    </w:p>
    <w:p w14:paraId="0EB60BFE" w14:textId="77777777" w:rsidR="0065487C" w:rsidRDefault="0065487C" w:rsidP="006548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29887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3, 4, 6, 7;</w:t>
      </w:r>
    </w:p>
    <w:p w14:paraId="78F6C42B" w14:textId="77777777" w:rsidR="0065487C" w:rsidRDefault="0065487C" w:rsidP="006548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29888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3-1, 5, 6;</w:t>
      </w:r>
    </w:p>
    <w:p w14:paraId="2DD0AEF7" w14:textId="77777777" w:rsidR="0065487C" w:rsidRDefault="0065487C" w:rsidP="006548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29890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4-1;</w:t>
      </w:r>
    </w:p>
    <w:p w14:paraId="39D5119F" w14:textId="77777777" w:rsidR="0065487C" w:rsidRDefault="0065487C" w:rsidP="006548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 xml:space="preserve">גוש 29901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4, 5; חלקי חלקות 1, 3;</w:t>
      </w:r>
    </w:p>
    <w:p w14:paraId="3E11DD13" w14:textId="77777777" w:rsidR="0065487C" w:rsidRDefault="0065487C" w:rsidP="006548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29902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1, 2;</w:t>
      </w:r>
    </w:p>
    <w:p w14:paraId="4E5AF359" w14:textId="77777777" w:rsidR="0065487C" w:rsidRDefault="0065487C" w:rsidP="006548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29903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8, 10;</w:t>
      </w:r>
    </w:p>
    <w:p w14:paraId="1236882F" w14:textId="77777777" w:rsidR="0065487C" w:rsidRDefault="0065487C" w:rsidP="006548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29904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1, 2, 6-4; חלקי חלקה 3;</w:t>
      </w:r>
    </w:p>
    <w:p w14:paraId="5113274C" w14:textId="77777777" w:rsidR="0065487C" w:rsidRDefault="0065487C" w:rsidP="006548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29905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4-1; חלקי חלקות 8-6, 13, 24;</w:t>
      </w:r>
    </w:p>
    <w:p w14:paraId="66D77F99" w14:textId="77777777" w:rsidR="0065487C" w:rsidRDefault="0065487C" w:rsidP="006548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29906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1, 2, 10, 11, 16.</w:t>
      </w:r>
    </w:p>
    <w:p w14:paraId="74470D7C" w14:textId="77777777" w:rsidR="00E91074" w:rsidRDefault="00E910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DD4661" w14:textId="77777777"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E1ECA7" w14:textId="77777777" w:rsidR="009C432F" w:rsidRDefault="00914531" w:rsidP="00683523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</w:t>
      </w:r>
      <w:r w:rsidR="00683523">
        <w:rPr>
          <w:rStyle w:val="default"/>
          <w:rFonts w:cs="FrankRuehl" w:hint="cs"/>
          <w:rtl/>
        </w:rPr>
        <w:t>ז בתשרי</w:t>
      </w:r>
      <w:r>
        <w:rPr>
          <w:rStyle w:val="default"/>
          <w:rFonts w:cs="FrankRuehl" w:hint="cs"/>
          <w:rtl/>
        </w:rPr>
        <w:t xml:space="preserve"> התשע"</w:t>
      </w:r>
      <w:r w:rsidR="00683523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(21 </w:t>
      </w:r>
      <w:r w:rsidR="00683523">
        <w:rPr>
          <w:rStyle w:val="default"/>
          <w:rFonts w:cs="FrankRuehl" w:hint="cs"/>
          <w:rtl/>
        </w:rPr>
        <w:t>באוקטובר</w:t>
      </w:r>
      <w:r w:rsidR="00F16806">
        <w:rPr>
          <w:rStyle w:val="default"/>
          <w:rFonts w:cs="FrankRuehl" w:hint="cs"/>
          <w:rtl/>
        </w:rPr>
        <w:t xml:space="preserve"> 2014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C782A">
        <w:rPr>
          <w:rStyle w:val="default"/>
          <w:rFonts w:cs="FrankRuehl" w:hint="cs"/>
          <w:rtl/>
        </w:rPr>
        <w:t>גדעון סער</w:t>
      </w:r>
    </w:p>
    <w:p w14:paraId="51408E58" w14:textId="77777777" w:rsidR="009C432F" w:rsidRDefault="009C432F" w:rsidP="008C782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8C782A">
        <w:rPr>
          <w:rFonts w:hint="cs"/>
          <w:rtl/>
        </w:rPr>
        <w:t>הפנים</w:t>
      </w:r>
    </w:p>
    <w:p w14:paraId="34A1B158" w14:textId="77777777" w:rsidR="00683523" w:rsidRPr="006E39E0" w:rsidRDefault="00683523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1D3B9C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E84A3D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18D6218" w14:textId="77777777" w:rsidR="009C2AF5" w:rsidRDefault="009C2AF5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7F8EC09" w14:textId="77777777" w:rsidR="009C2AF5" w:rsidRDefault="009C2AF5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38413C0" w14:textId="77777777" w:rsidR="009C2AF5" w:rsidRDefault="009C2AF5" w:rsidP="009C2AF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CF6779B" w14:textId="77777777" w:rsidR="00AB3A7B" w:rsidRPr="009C2AF5" w:rsidRDefault="00AB3A7B" w:rsidP="009C2AF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B3A7B" w:rsidRPr="009C2AF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92237" w14:textId="77777777" w:rsidR="001E69F3" w:rsidRDefault="001E69F3">
      <w:r>
        <w:separator/>
      </w:r>
    </w:p>
  </w:endnote>
  <w:endnote w:type="continuationSeparator" w:id="0">
    <w:p w14:paraId="6A9AA079" w14:textId="77777777" w:rsidR="001E69F3" w:rsidRDefault="001E6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32A8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86C305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09878D9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C2AF5">
      <w:rPr>
        <w:rFonts w:cs="TopType Jerushalmi"/>
        <w:noProof/>
        <w:color w:val="000000"/>
        <w:sz w:val="14"/>
        <w:szCs w:val="14"/>
      </w:rPr>
      <w:t>Z:\000-law\yael\2014\2014-12-14\tav\065_419.doc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F3688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C2AF5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5D4C0A2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492F231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C2AF5">
      <w:rPr>
        <w:rFonts w:cs="TopType Jerushalmi"/>
        <w:noProof/>
        <w:color w:val="000000"/>
        <w:sz w:val="14"/>
        <w:szCs w:val="14"/>
      </w:rPr>
      <w:t>Z:\000-law\yael\2014\2014-12-14\tav\065_419.doc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A2BFE" w14:textId="77777777" w:rsidR="001E69F3" w:rsidRDefault="001E69F3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A2B2D95" w14:textId="77777777" w:rsidR="001E69F3" w:rsidRDefault="001E69F3">
      <w:r>
        <w:continuationSeparator/>
      </w:r>
    </w:p>
  </w:footnote>
  <w:footnote w:id="1">
    <w:p w14:paraId="674E6015" w14:textId="77777777" w:rsidR="000262A1" w:rsidRPr="00E31D0A" w:rsidRDefault="00E31D0A" w:rsidP="000262A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0262A1">
          <w:rPr>
            <w:rStyle w:val="Hyperlink"/>
            <w:rFonts w:hint="cs"/>
            <w:sz w:val="20"/>
            <w:rtl/>
          </w:rPr>
          <w:t xml:space="preserve">ק"ת </w:t>
        </w:r>
        <w:r w:rsidR="008E74C9" w:rsidRPr="000262A1">
          <w:rPr>
            <w:rStyle w:val="Hyperlink"/>
            <w:rFonts w:hint="cs"/>
            <w:sz w:val="20"/>
            <w:rtl/>
          </w:rPr>
          <w:t>תשע</w:t>
        </w:r>
        <w:r w:rsidR="00FF53C1" w:rsidRPr="000262A1">
          <w:rPr>
            <w:rStyle w:val="Hyperlink"/>
            <w:rFonts w:hint="cs"/>
            <w:sz w:val="20"/>
            <w:rtl/>
          </w:rPr>
          <w:t>"</w:t>
        </w:r>
        <w:r w:rsidR="009F4ED7" w:rsidRPr="000262A1">
          <w:rPr>
            <w:rStyle w:val="Hyperlink"/>
            <w:rFonts w:hint="cs"/>
            <w:sz w:val="20"/>
            <w:rtl/>
          </w:rPr>
          <w:t>ה</w:t>
        </w:r>
        <w:r w:rsidRPr="000262A1">
          <w:rPr>
            <w:rStyle w:val="Hyperlink"/>
            <w:rFonts w:hint="cs"/>
            <w:sz w:val="20"/>
            <w:rtl/>
          </w:rPr>
          <w:t xml:space="preserve"> מס' </w:t>
        </w:r>
        <w:r w:rsidR="009F4ED7" w:rsidRPr="000262A1">
          <w:rPr>
            <w:rStyle w:val="Hyperlink"/>
            <w:rFonts w:hint="cs"/>
            <w:sz w:val="20"/>
            <w:rtl/>
          </w:rPr>
          <w:t>74</w:t>
        </w:r>
        <w:r w:rsidR="00683523" w:rsidRPr="000262A1">
          <w:rPr>
            <w:rStyle w:val="Hyperlink"/>
            <w:rFonts w:hint="cs"/>
            <w:sz w:val="20"/>
            <w:rtl/>
          </w:rPr>
          <w:t>57</w:t>
        </w:r>
      </w:hyperlink>
      <w:r>
        <w:rPr>
          <w:rFonts w:hint="cs"/>
          <w:sz w:val="20"/>
          <w:rtl/>
        </w:rPr>
        <w:t xml:space="preserve"> מיום </w:t>
      </w:r>
      <w:r w:rsidR="00683523">
        <w:rPr>
          <w:rFonts w:hint="cs"/>
          <w:sz w:val="20"/>
          <w:rtl/>
        </w:rPr>
        <w:t>11.12</w:t>
      </w:r>
      <w:r w:rsidR="009F4ED7">
        <w:rPr>
          <w:rFonts w:hint="cs"/>
          <w:sz w:val="20"/>
          <w:rtl/>
        </w:rPr>
        <w:t>.2014</w:t>
      </w:r>
      <w:r>
        <w:rPr>
          <w:rFonts w:hint="cs"/>
          <w:sz w:val="20"/>
          <w:rtl/>
        </w:rPr>
        <w:t xml:space="preserve"> עמ' </w:t>
      </w:r>
      <w:r w:rsidR="00683523">
        <w:rPr>
          <w:rFonts w:hint="cs"/>
          <w:sz w:val="20"/>
          <w:rtl/>
        </w:rPr>
        <w:t>41</w:t>
      </w:r>
      <w:r w:rsidR="00E91074">
        <w:rPr>
          <w:rFonts w:hint="cs"/>
          <w:sz w:val="20"/>
          <w:rtl/>
        </w:rPr>
        <w:t>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AF39D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C90ABB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17A77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E5D2F" w14:textId="77777777" w:rsidR="009C432F" w:rsidRDefault="00DF76EB" w:rsidP="00E9107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E91074">
      <w:rPr>
        <w:rFonts w:hAnsi="FrankRuehl" w:cs="FrankRuehl" w:hint="cs"/>
        <w:color w:val="000000"/>
        <w:sz w:val="28"/>
        <w:szCs w:val="28"/>
        <w:rtl/>
      </w:rPr>
      <w:t>שמורת טבע כפירה</w:t>
    </w:r>
    <w:r w:rsidR="00683523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E91074">
      <w:rPr>
        <w:rFonts w:hAnsi="FrankRuehl" w:cs="FrankRuehl" w:hint="cs"/>
        <w:color w:val="000000"/>
        <w:sz w:val="28"/>
        <w:szCs w:val="28"/>
        <w:rtl/>
      </w:rPr>
      <w:t>מי/961</w:t>
    </w:r>
    <w:r w:rsidR="000B68DD">
      <w:rPr>
        <w:rFonts w:hAnsi="FrankRuehl" w:cs="FrankRuehl" w:hint="cs"/>
        <w:color w:val="000000"/>
        <w:sz w:val="28"/>
        <w:szCs w:val="28"/>
        <w:rtl/>
      </w:rPr>
      <w:t>), תשע"</w:t>
    </w:r>
    <w:r w:rsidR="009F4ED7">
      <w:rPr>
        <w:rFonts w:hAnsi="FrankRuehl" w:cs="FrankRuehl" w:hint="cs"/>
        <w:color w:val="000000"/>
        <w:sz w:val="28"/>
        <w:szCs w:val="28"/>
        <w:rtl/>
      </w:rPr>
      <w:t>ה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9F4ED7">
      <w:rPr>
        <w:rFonts w:hAnsi="FrankRuehl" w:cs="FrankRuehl" w:hint="cs"/>
        <w:color w:val="000000"/>
        <w:sz w:val="28"/>
        <w:szCs w:val="28"/>
        <w:rtl/>
      </w:rPr>
      <w:t>4</w:t>
    </w:r>
  </w:p>
  <w:p w14:paraId="2249CE4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47B83E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17B8F"/>
    <w:rsid w:val="00023226"/>
    <w:rsid w:val="000262A1"/>
    <w:rsid w:val="00026DD1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37AF"/>
    <w:rsid w:val="000557C5"/>
    <w:rsid w:val="000578B0"/>
    <w:rsid w:val="00057A9F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E69F3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0926"/>
    <w:rsid w:val="00256570"/>
    <w:rsid w:val="002571C0"/>
    <w:rsid w:val="00267DAB"/>
    <w:rsid w:val="00271969"/>
    <w:rsid w:val="00272C87"/>
    <w:rsid w:val="002747F5"/>
    <w:rsid w:val="0027510E"/>
    <w:rsid w:val="002767FF"/>
    <w:rsid w:val="00277EB3"/>
    <w:rsid w:val="00286C27"/>
    <w:rsid w:val="00290306"/>
    <w:rsid w:val="00297BC5"/>
    <w:rsid w:val="002A20CE"/>
    <w:rsid w:val="002A3683"/>
    <w:rsid w:val="002C1E66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7E93"/>
    <w:rsid w:val="005202A7"/>
    <w:rsid w:val="00527B5D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4424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5487C"/>
    <w:rsid w:val="00660693"/>
    <w:rsid w:val="0066367A"/>
    <w:rsid w:val="006642AB"/>
    <w:rsid w:val="006675A8"/>
    <w:rsid w:val="00667938"/>
    <w:rsid w:val="006708A5"/>
    <w:rsid w:val="00683523"/>
    <w:rsid w:val="006835AD"/>
    <w:rsid w:val="006911C2"/>
    <w:rsid w:val="0069304A"/>
    <w:rsid w:val="006950DD"/>
    <w:rsid w:val="006952FF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109CE"/>
    <w:rsid w:val="007111D7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2E4D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8730F"/>
    <w:rsid w:val="00890114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4737"/>
    <w:rsid w:val="008D607D"/>
    <w:rsid w:val="008E74C9"/>
    <w:rsid w:val="008E79AF"/>
    <w:rsid w:val="008F0436"/>
    <w:rsid w:val="008F177C"/>
    <w:rsid w:val="008F1F64"/>
    <w:rsid w:val="008F259C"/>
    <w:rsid w:val="008F544A"/>
    <w:rsid w:val="008F6C34"/>
    <w:rsid w:val="008F6CB1"/>
    <w:rsid w:val="009058BA"/>
    <w:rsid w:val="009130D2"/>
    <w:rsid w:val="00914531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2AF5"/>
    <w:rsid w:val="009C432F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6908"/>
    <w:rsid w:val="00AF403D"/>
    <w:rsid w:val="00AF44CC"/>
    <w:rsid w:val="00B0129C"/>
    <w:rsid w:val="00B02E7C"/>
    <w:rsid w:val="00B07D5E"/>
    <w:rsid w:val="00B14378"/>
    <w:rsid w:val="00B204AF"/>
    <w:rsid w:val="00B22273"/>
    <w:rsid w:val="00B22EAD"/>
    <w:rsid w:val="00B252B3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1AE5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2627F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D7B59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553"/>
    <w:rsid w:val="00E33B00"/>
    <w:rsid w:val="00E375A3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2D9C"/>
    <w:rsid w:val="00E76CB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28B8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1172"/>
    <w:rsid w:val="00F165A2"/>
    <w:rsid w:val="00F16806"/>
    <w:rsid w:val="00F16B9A"/>
    <w:rsid w:val="00F16BA7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E84EEE3"/>
  <w15:chartTrackingRefBased/>
  <w15:docId w15:val="{42BC079F-5E52-4D10-9989-514088EB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2833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כפירה, לפי תכנית מס' מי/961), תשע"ה-2014</vt:lpwstr>
  </property>
  <property fmtid="{D5CDD505-2E9C-101B-9397-08002B2CF9AE}" pid="5" name="LAWNUMBER">
    <vt:lpwstr>0419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http://www.nevo.co.il/Law_word/law06/tak-7457.pdf;‎רשומות - תקנות כלליות#פורסמה ק"ת תשע"ה ‏מס' 7457 #מיום 11.12.2014 עמ' 414‏</vt:lpwstr>
  </property>
</Properties>
</file>