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7B77B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7B6">
        <w:rPr>
          <w:rFonts w:hint="cs"/>
          <w:rtl/>
        </w:rPr>
        <w:t>שמורת טבע נחל בצת הרחבה</w:t>
      </w:r>
      <w:r w:rsidR="001C6B3D">
        <w:rPr>
          <w:rFonts w:hint="cs"/>
          <w:rtl/>
        </w:rPr>
        <w:t xml:space="preserve">, לפי תכנית </w:t>
      </w:r>
      <w:r w:rsidR="007B77B6">
        <w:rPr>
          <w:rFonts w:hint="cs"/>
          <w:rtl/>
        </w:rPr>
        <w:t xml:space="preserve">מס' </w:t>
      </w:r>
      <w:r w:rsidR="001C6B3D">
        <w:rPr>
          <w:rFonts w:hint="cs"/>
          <w:rtl/>
        </w:rPr>
        <w:t>ג/</w:t>
      </w:r>
      <w:r w:rsidR="00A9410B">
        <w:rPr>
          <w:rFonts w:hint="cs"/>
          <w:rtl/>
        </w:rPr>
        <w:t>12</w:t>
      </w:r>
      <w:r w:rsidR="007B77B6">
        <w:rPr>
          <w:rFonts w:hint="cs"/>
          <w:rtl/>
        </w:rPr>
        <w:t>659</w:t>
      </w:r>
      <w:r w:rsidR="00A23593">
        <w:rPr>
          <w:rFonts w:hint="cs"/>
          <w:rtl/>
        </w:rPr>
        <w:t xml:space="preserve">), </w:t>
      </w:r>
      <w:r w:rsidR="007B77B6">
        <w:rPr>
          <w:rFonts w:hint="cs"/>
          <w:rtl/>
        </w:rPr>
        <w:t>תש"ע-2009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B3AD2" w:rsidRPr="00DB3AD2" w:rsidTr="00DB3A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B3A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3AD2" w:rsidRPr="00DB3AD2" w:rsidTr="00DB3A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B3A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3AD2" w:rsidRPr="00DB3AD2" w:rsidTr="00DB3A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B3A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3AD2" w:rsidRPr="00DB3AD2" w:rsidRDefault="00DB3AD2" w:rsidP="00DB3AD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7B77B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B77B6">
        <w:rPr>
          <w:rFonts w:hint="cs"/>
          <w:rtl/>
        </w:rPr>
        <w:t>שמורת טבע נחל בצת הרחבה, לפי תכנית מס' ג/12659), תש"ע-2009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7B77B6">
        <w:rPr>
          <w:rStyle w:val="default"/>
          <w:rFonts w:cs="FrankRuehl" w:hint="cs"/>
          <w:rtl/>
        </w:rPr>
        <w:t>נ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7B77B6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B77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7B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7B77B6">
        <w:rPr>
          <w:rStyle w:val="default"/>
          <w:rFonts w:cs="FrankRuehl" w:hint="cs"/>
          <w:rtl/>
        </w:rPr>
        <w:t>ברמת אדמית בסמוך לגבול הצפון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7B77B6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</w:t>
      </w:r>
      <w:r w:rsidR="007E77B3">
        <w:rPr>
          <w:rStyle w:val="default"/>
          <w:rFonts w:cs="FrankRuehl" w:hint="cs"/>
          <w:rtl/>
        </w:rPr>
        <w:t>/</w:t>
      </w:r>
      <w:r w:rsidR="007B77B6">
        <w:rPr>
          <w:rStyle w:val="default"/>
          <w:rFonts w:cs="FrankRuehl" w:hint="cs"/>
          <w:rtl/>
        </w:rPr>
        <w:t>צ</w:t>
      </w:r>
      <w:r w:rsidR="007E77B3">
        <w:rPr>
          <w:rStyle w:val="default"/>
          <w:rFonts w:cs="FrankRuehl" w:hint="cs"/>
          <w:rtl/>
        </w:rPr>
        <w:t>פ/ג/12</w:t>
      </w:r>
      <w:r w:rsidR="007B77B6">
        <w:rPr>
          <w:rStyle w:val="default"/>
          <w:rFonts w:cs="FrankRuehl" w:hint="cs"/>
          <w:rtl/>
        </w:rPr>
        <w:t>65</w:t>
      </w:r>
      <w:r w:rsidR="007E77B3">
        <w:rPr>
          <w:rStyle w:val="default"/>
          <w:rFonts w:cs="FrankRuehl" w:hint="cs"/>
          <w:rtl/>
        </w:rPr>
        <w:t>9</w:t>
      </w:r>
      <w:r w:rsidR="007B77B6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7E77B3">
        <w:rPr>
          <w:rStyle w:val="default"/>
          <w:rFonts w:cs="FrankRuehl" w:hint="cs"/>
          <w:rtl/>
        </w:rPr>
        <w:t>10,0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7B77B6">
        <w:rPr>
          <w:rStyle w:val="default"/>
          <w:rFonts w:cs="FrankRuehl" w:hint="cs"/>
          <w:rtl/>
        </w:rPr>
        <w:t>ג' בתשרי התש"ע (21 בספטמבר 2009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7B77B6">
        <w:rPr>
          <w:rStyle w:val="default"/>
          <w:rFonts w:cs="FrankRuehl" w:hint="cs"/>
          <w:rtl/>
        </w:rPr>
        <w:t>הפנים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7B77B6">
        <w:rPr>
          <w:rStyle w:val="default"/>
          <w:rFonts w:cs="FrankRuehl" w:hint="cs"/>
          <w:rtl/>
        </w:rPr>
        <w:t>במשרד הפנים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7B77B6">
        <w:rPr>
          <w:rStyle w:val="default"/>
          <w:rFonts w:cs="FrankRuehl" w:hint="cs"/>
          <w:rtl/>
        </w:rPr>
        <w:t>הצפון בנצרת עילית, ובמשרדי הוועדה המקומית לתכנון ולבנייה מטה אשר</w:t>
      </w:r>
      <w:r w:rsidR="007E77B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7E77B3">
        <w:rPr>
          <w:rStyle w:val="default"/>
          <w:rFonts w:cs="FrankRuehl" w:hint="cs"/>
          <w:rtl/>
        </w:rPr>
        <w:t xml:space="preserve">שטח </w:t>
      </w:r>
      <w:r w:rsidR="007B77B6">
        <w:rPr>
          <w:rStyle w:val="default"/>
          <w:rFonts w:cs="FrankRuehl" w:hint="cs"/>
          <w:rtl/>
        </w:rPr>
        <w:t>ה</w:t>
      </w:r>
      <w:r w:rsidR="007E77B3">
        <w:rPr>
          <w:rStyle w:val="default"/>
          <w:rFonts w:cs="FrankRuehl" w:hint="cs"/>
          <w:rtl/>
        </w:rPr>
        <w:t xml:space="preserve">שיפוט של </w:t>
      </w:r>
      <w:r w:rsidR="007B77B6">
        <w:rPr>
          <w:rStyle w:val="default"/>
          <w:rFonts w:cs="FrankRuehl" w:hint="cs"/>
          <w:rtl/>
        </w:rPr>
        <w:t>המועצה האזורית מטה אשר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>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06FDB">
        <w:rPr>
          <w:rStyle w:val="default"/>
          <w:rFonts w:cs="FrankRuehl" w:hint="cs"/>
          <w:rtl/>
        </w:rPr>
        <w:t>ג/</w:t>
      </w:r>
      <w:r w:rsidR="007E77B3">
        <w:rPr>
          <w:rStyle w:val="default"/>
          <w:rFonts w:cs="FrankRuehl" w:hint="cs"/>
          <w:rtl/>
        </w:rPr>
        <w:t>12</w:t>
      </w:r>
      <w:r w:rsidR="007B77B6">
        <w:rPr>
          <w:rStyle w:val="default"/>
          <w:rFonts w:cs="FrankRuehl" w:hint="cs"/>
          <w:rtl/>
        </w:rPr>
        <w:t>65</w:t>
      </w:r>
      <w:r w:rsidR="007E77B3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מס'</w:t>
      </w:r>
      <w:r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57</w:t>
      </w:r>
      <w:r w:rsidR="007B77B6">
        <w:rPr>
          <w:rStyle w:val="default"/>
          <w:rFonts w:cs="FrankRuehl" w:hint="cs"/>
          <w:rtl/>
        </w:rPr>
        <w:t>53</w:t>
      </w:r>
      <w:r>
        <w:rPr>
          <w:rStyle w:val="default"/>
          <w:rFonts w:cs="FrankRuehl" w:hint="cs"/>
          <w:rtl/>
        </w:rPr>
        <w:t xml:space="preserve">, </w:t>
      </w:r>
      <w:r w:rsidR="007B77B6">
        <w:rPr>
          <w:rStyle w:val="default"/>
          <w:rFonts w:cs="FrankRuehl" w:hint="cs"/>
          <w:rtl/>
        </w:rPr>
        <w:t>הת</w:t>
      </w:r>
      <w:r w:rsidR="007E77B3">
        <w:rPr>
          <w:rStyle w:val="default"/>
          <w:rFonts w:cs="FrankRuehl" w:hint="cs"/>
          <w:rtl/>
        </w:rPr>
        <w:t>שס"ח</w:t>
      </w:r>
      <w:r w:rsidR="00A70F47">
        <w:rPr>
          <w:rStyle w:val="default"/>
          <w:rFonts w:cs="FrankRuehl" w:hint="cs"/>
          <w:rtl/>
        </w:rPr>
        <w:t xml:space="preserve">, עמ' </w:t>
      </w:r>
      <w:r w:rsidR="007B77B6">
        <w:rPr>
          <w:rStyle w:val="default"/>
          <w:rFonts w:cs="FrankRuehl" w:hint="cs"/>
          <w:rtl/>
        </w:rPr>
        <w:t>1073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מיום י"ז בטבת התשס"ח (26 בדצמבר 2007).</w:t>
      </w:r>
    </w:p>
    <w:p w:rsidR="007B77B6" w:rsidRDefault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B77B6" w:rsidP="007B77B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בתשרי התש"ע (21 בספטמבר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:rsidR="009C432F" w:rsidRDefault="009C432F" w:rsidP="007B77B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B77B6">
        <w:rPr>
          <w:rFonts w:hint="cs"/>
          <w:rtl/>
        </w:rPr>
        <w:t>הפנים</w:t>
      </w:r>
    </w:p>
    <w:p w:rsidR="007B77B6" w:rsidRPr="006E39E0" w:rsidRDefault="007B77B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B3AD2" w:rsidRDefault="00DB3AD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3AD2" w:rsidRDefault="00DB3AD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3AD2" w:rsidRDefault="00DB3AD2" w:rsidP="00DB3A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646A21" w:rsidRPr="00DB3AD2" w:rsidRDefault="00646A21" w:rsidP="00DB3A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6A21" w:rsidRPr="00DB3A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079" w:rsidRDefault="00A95079">
      <w:r>
        <w:separator/>
      </w:r>
    </w:p>
  </w:endnote>
  <w:endnote w:type="continuationSeparator" w:id="0">
    <w:p w:rsidR="00A95079" w:rsidRDefault="00A9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3A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079" w:rsidRDefault="00A9507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95079" w:rsidRDefault="00A95079">
      <w:r>
        <w:continuationSeparator/>
      </w:r>
    </w:p>
  </w:footnote>
  <w:footnote w:id="1">
    <w:p w:rsidR="007F2F16" w:rsidRPr="00E31D0A" w:rsidRDefault="00E31D0A" w:rsidP="007F2F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F2F1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F2F16">
          <w:rPr>
            <w:rStyle w:val="Hyperlink"/>
            <w:rFonts w:hint="cs"/>
            <w:sz w:val="20"/>
            <w:rtl/>
          </w:rPr>
          <w:t>תש</w:t>
        </w:r>
        <w:r w:rsidR="007B77B6" w:rsidRPr="007F2F16">
          <w:rPr>
            <w:rStyle w:val="Hyperlink"/>
            <w:rFonts w:hint="cs"/>
            <w:sz w:val="20"/>
            <w:rtl/>
          </w:rPr>
          <w:t>"</w:t>
        </w:r>
        <w:r w:rsidR="008E74C9" w:rsidRPr="007F2F16">
          <w:rPr>
            <w:rStyle w:val="Hyperlink"/>
            <w:rFonts w:hint="cs"/>
            <w:sz w:val="20"/>
            <w:rtl/>
          </w:rPr>
          <w:t>ע</w:t>
        </w:r>
        <w:r w:rsidRPr="007F2F16">
          <w:rPr>
            <w:rStyle w:val="Hyperlink"/>
            <w:rFonts w:hint="cs"/>
            <w:sz w:val="20"/>
            <w:rtl/>
          </w:rPr>
          <w:t xml:space="preserve"> מס' </w:t>
        </w:r>
        <w:r w:rsidR="007B77B6" w:rsidRPr="007F2F16">
          <w:rPr>
            <w:rStyle w:val="Hyperlink"/>
            <w:rFonts w:hint="cs"/>
            <w:sz w:val="20"/>
            <w:rtl/>
          </w:rPr>
          <w:t>6821</w:t>
        </w:r>
      </w:hyperlink>
      <w:r>
        <w:rPr>
          <w:rFonts w:hint="cs"/>
          <w:sz w:val="20"/>
          <w:rtl/>
        </w:rPr>
        <w:t xml:space="preserve"> מיום </w:t>
      </w:r>
      <w:r w:rsidR="007B77B6">
        <w:rPr>
          <w:rFonts w:hint="cs"/>
          <w:sz w:val="20"/>
          <w:rtl/>
        </w:rPr>
        <w:t>29.10.2009</w:t>
      </w:r>
      <w:r>
        <w:rPr>
          <w:rFonts w:hint="cs"/>
          <w:sz w:val="20"/>
          <w:rtl/>
        </w:rPr>
        <w:t xml:space="preserve"> עמ' </w:t>
      </w:r>
      <w:r w:rsidR="007B77B6">
        <w:rPr>
          <w:rFonts w:hint="cs"/>
          <w:sz w:val="20"/>
          <w:rtl/>
        </w:rPr>
        <w:t>94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7B77B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7B6">
      <w:rPr>
        <w:rFonts w:hAnsi="FrankRuehl" w:cs="FrankRuehl" w:hint="cs"/>
        <w:color w:val="000000"/>
        <w:sz w:val="28"/>
        <w:szCs w:val="28"/>
        <w:rtl/>
      </w:rPr>
      <w:t>שמורת טבע נחל בצת הרחבה</w:t>
    </w:r>
    <w:r w:rsidR="00A9410B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7B77B6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A9410B">
      <w:rPr>
        <w:rFonts w:hAnsi="FrankRuehl" w:cs="FrankRuehl" w:hint="cs"/>
        <w:color w:val="000000"/>
        <w:sz w:val="28"/>
        <w:szCs w:val="28"/>
        <w:rtl/>
      </w:rPr>
      <w:t>ג/</w:t>
    </w:r>
    <w:r w:rsidR="007B77B6">
      <w:rPr>
        <w:rFonts w:hAnsi="FrankRuehl" w:cs="FrankRuehl" w:hint="cs"/>
        <w:color w:val="000000"/>
        <w:sz w:val="28"/>
        <w:szCs w:val="28"/>
        <w:rtl/>
      </w:rPr>
      <w:t>12659</w:t>
    </w:r>
    <w:r w:rsidR="000B68DD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7B77B6">
      <w:rPr>
        <w:rFonts w:hAnsi="FrankRuehl" w:cs="FrankRuehl" w:hint="cs"/>
        <w:color w:val="000000"/>
        <w:sz w:val="28"/>
        <w:szCs w:val="28"/>
        <w:rtl/>
      </w:rPr>
      <w:t>תש"ע-2009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216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7B6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2F16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5079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3AD2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37EFC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0F75868-EEB6-40D9-8C8F-B87AF501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1679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בצת הרחבה, לפי תכנית מס' ג/12659), תש"ע-2009</vt:lpwstr>
  </property>
  <property fmtid="{D5CDD505-2E9C-101B-9397-08002B2CF9AE}" pid="5" name="LAWNUMBER">
    <vt:lpwstr>0430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http://www.nevo.co.il/Law_word/law06/tak-6821.pdf;‎רשומות - תקנות כלליות#פורסמה ק"ת תש"ע מס' ‏‏6821 #מיום 29.10.2009 עמ' 94‏</vt:lpwstr>
  </property>
</Properties>
</file>