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E323" w14:textId="77777777" w:rsidR="00DF76EB" w:rsidRDefault="00DF76EB" w:rsidP="009F4ED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271969">
        <w:rPr>
          <w:rFonts w:hint="cs"/>
          <w:rtl/>
        </w:rPr>
        <w:t>שמורת טבע</w:t>
      </w:r>
      <w:r w:rsidR="00F11172">
        <w:rPr>
          <w:rFonts w:hint="cs"/>
          <w:rtl/>
        </w:rPr>
        <w:t xml:space="preserve"> </w:t>
      </w:r>
      <w:r w:rsidR="009F4ED7">
        <w:rPr>
          <w:rFonts w:hint="cs"/>
          <w:rtl/>
        </w:rPr>
        <w:t>נחל יבנאל לפי תכנית ג/12720</w:t>
      </w:r>
      <w:r w:rsidR="00A23593">
        <w:rPr>
          <w:rFonts w:hint="cs"/>
          <w:rtl/>
        </w:rPr>
        <w:t>), תשע"</w:t>
      </w:r>
      <w:r w:rsidR="009F4ED7">
        <w:rPr>
          <w:rFonts w:hint="cs"/>
          <w:rtl/>
        </w:rPr>
        <w:t>ה-2014</w:t>
      </w:r>
    </w:p>
    <w:p w14:paraId="407D776D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85B75E7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57C6E89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97FB3" w:rsidRPr="00497FB3" w14:paraId="7ED244D0" w14:textId="77777777" w:rsidTr="00497FB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D51816" w14:textId="77777777" w:rsidR="00497FB3" w:rsidRPr="00497FB3" w:rsidRDefault="00497FB3" w:rsidP="00497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E09BECF" w14:textId="77777777" w:rsidR="00497FB3" w:rsidRPr="00497FB3" w:rsidRDefault="00497FB3" w:rsidP="00497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6E9FB97" w14:textId="77777777" w:rsidR="00497FB3" w:rsidRPr="00497FB3" w:rsidRDefault="00497FB3" w:rsidP="00497F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497F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65BB60" w14:textId="77777777" w:rsidR="00497FB3" w:rsidRPr="00497FB3" w:rsidRDefault="00497FB3" w:rsidP="00497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97FB3" w:rsidRPr="00497FB3" w14:paraId="0C88AF5D" w14:textId="77777777" w:rsidTr="00497FB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A6D1D4" w14:textId="77777777" w:rsidR="00497FB3" w:rsidRPr="00497FB3" w:rsidRDefault="00497FB3" w:rsidP="00497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1CC8C02" w14:textId="77777777" w:rsidR="00497FB3" w:rsidRPr="00497FB3" w:rsidRDefault="00497FB3" w:rsidP="00497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F23E1F8" w14:textId="77777777" w:rsidR="00497FB3" w:rsidRPr="00497FB3" w:rsidRDefault="00497FB3" w:rsidP="00497F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497F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A0DE9B" w14:textId="77777777" w:rsidR="00497FB3" w:rsidRPr="00497FB3" w:rsidRDefault="00497FB3" w:rsidP="00497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97FB3" w:rsidRPr="00497FB3" w14:paraId="4138F98C" w14:textId="77777777" w:rsidTr="00497FB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BC2819" w14:textId="77777777" w:rsidR="00497FB3" w:rsidRPr="00497FB3" w:rsidRDefault="00497FB3" w:rsidP="00497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75B3275" w14:textId="77777777" w:rsidR="00497FB3" w:rsidRPr="00497FB3" w:rsidRDefault="00497FB3" w:rsidP="00497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0AB7138" w14:textId="77777777" w:rsidR="00497FB3" w:rsidRPr="00497FB3" w:rsidRDefault="00497FB3" w:rsidP="00497F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97F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234C76" w14:textId="77777777" w:rsidR="00497FB3" w:rsidRPr="00497FB3" w:rsidRDefault="00497FB3" w:rsidP="00497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1CA4FEB" w14:textId="77777777" w:rsidR="009C432F" w:rsidRDefault="009C432F">
      <w:pPr>
        <w:pStyle w:val="big-header"/>
        <w:ind w:left="0" w:right="1134"/>
        <w:rPr>
          <w:rtl/>
        </w:rPr>
      </w:pPr>
    </w:p>
    <w:p w14:paraId="0968BEF8" w14:textId="77777777" w:rsidR="009C432F" w:rsidRPr="002E4507" w:rsidRDefault="009C432F" w:rsidP="009F4ED7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9F4ED7">
        <w:rPr>
          <w:rFonts w:hint="cs"/>
          <w:rtl/>
        </w:rPr>
        <w:t>שמורת טבע נחל יבנאל לפי תכנית ג/12720), תשע"ה-2014</w:t>
      </w:r>
      <w:r w:rsidR="00E31D0A">
        <w:rPr>
          <w:rStyle w:val="a6"/>
          <w:rtl/>
        </w:rPr>
        <w:footnoteReference w:customMarkFollows="1" w:id="1"/>
        <w:t>*</w:t>
      </w:r>
    </w:p>
    <w:p w14:paraId="1272E658" w14:textId="77777777"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השר להגנת הסביבה ולאחר שהתקיימו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CFB84ED" w14:textId="77777777" w:rsidR="009C432F" w:rsidRDefault="009C432F" w:rsidP="009F4E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8FBE1E3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5F08CDEB" w14:textId="77777777" w:rsidR="009C432F" w:rsidRDefault="00DB2D99" w:rsidP="00527B5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9F4ED7">
        <w:rPr>
          <w:rStyle w:val="default"/>
          <w:rFonts w:cs="FrankRuehl" w:hint="cs"/>
          <w:rtl/>
        </w:rPr>
        <w:t>בנחל יבנאל ממערב לירדן</w:t>
      </w:r>
      <w:r w:rsidR="00527B5D">
        <w:rPr>
          <w:rStyle w:val="default"/>
          <w:rFonts w:cs="FrankRuehl" w:hint="cs"/>
          <w:rtl/>
        </w:rPr>
        <w:t xml:space="preserve">, 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>מקווקו בקווים אלכסוניים ירוקים ומוקף בקו</w:t>
      </w:r>
      <w:r w:rsidR="00F11172">
        <w:rPr>
          <w:rStyle w:val="default"/>
          <w:rFonts w:cs="FrankRuehl" w:hint="cs"/>
          <w:rtl/>
        </w:rPr>
        <w:t xml:space="preserve"> </w:t>
      </w:r>
      <w:r w:rsidR="009F4ED7">
        <w:rPr>
          <w:rStyle w:val="default"/>
          <w:rFonts w:cs="FrankRuehl" w:hint="cs"/>
          <w:rtl/>
        </w:rPr>
        <w:t>ירוק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</w:t>
      </w:r>
      <w:r w:rsidR="00F11172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ש/</w:t>
      </w:r>
      <w:r w:rsidR="009F4ED7">
        <w:rPr>
          <w:rStyle w:val="default"/>
          <w:rFonts w:cs="FrankRuehl" w:hint="cs"/>
          <w:rtl/>
        </w:rPr>
        <w:t>צפ/ג/12720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9F4ED7">
        <w:rPr>
          <w:rStyle w:val="default"/>
          <w:rFonts w:cs="FrankRuehl" w:hint="cs"/>
          <w:rtl/>
        </w:rPr>
        <w:t>5,0</w:t>
      </w:r>
      <w:r w:rsidR="00527B5D">
        <w:rPr>
          <w:rStyle w:val="default"/>
          <w:rFonts w:cs="FrankRuehl" w:hint="cs"/>
          <w:rtl/>
        </w:rPr>
        <w:t xml:space="preserve">00 והחתום ביום </w:t>
      </w:r>
      <w:r w:rsidR="009F4ED7">
        <w:rPr>
          <w:rStyle w:val="default"/>
          <w:rFonts w:cs="FrankRuehl" w:hint="cs"/>
          <w:rtl/>
        </w:rPr>
        <w:t>ט' בחשוון התשע"ה (2 בנובמבר 2014</w:t>
      </w:r>
      <w:r w:rsidR="00527B5D">
        <w:rPr>
          <w:rStyle w:val="default"/>
          <w:rFonts w:cs="FrankRuehl" w:hint="cs"/>
          <w:rtl/>
        </w:rPr>
        <w:t>) ביד שר הפנים,</w:t>
      </w:r>
      <w:r w:rsidR="00B64FE5">
        <w:rPr>
          <w:rStyle w:val="default"/>
          <w:rFonts w:cs="FrankRuehl" w:hint="cs"/>
          <w:rtl/>
        </w:rPr>
        <w:t xml:space="preserve"> הוא </w:t>
      </w:r>
      <w:r w:rsidR="00527B5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8275276" w14:textId="77777777" w:rsidR="009C432F" w:rsidRDefault="009C432F" w:rsidP="009F4E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2158162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07AF276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026DD1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9F4ED7">
        <w:rPr>
          <w:rStyle w:val="default"/>
          <w:rFonts w:cs="FrankRuehl" w:hint="cs"/>
          <w:rtl/>
        </w:rPr>
        <w:t>הצפון בנצרת עילית</w:t>
      </w:r>
      <w:r w:rsidR="00527B5D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9F4ED7">
        <w:rPr>
          <w:rStyle w:val="default"/>
          <w:rFonts w:cs="FrankRuehl" w:hint="cs"/>
          <w:rtl/>
        </w:rPr>
        <w:t>הגליל המזרחי</w:t>
      </w:r>
      <w:r w:rsidR="00F11172">
        <w:rPr>
          <w:rStyle w:val="default"/>
          <w:rFonts w:cs="FrankRuehl" w:hint="cs"/>
          <w:rtl/>
        </w:rPr>
        <w:t xml:space="preserve"> ובמשרדי הוועדה המקומית לתכנון ולבנייה </w:t>
      </w:r>
      <w:r w:rsidR="009F4ED7">
        <w:rPr>
          <w:rStyle w:val="default"/>
          <w:rFonts w:cs="FrankRuehl" w:hint="cs"/>
          <w:rtl/>
        </w:rPr>
        <w:t>עמק הירדן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F1117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F4ED7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79354F4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2EF78C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06DB86B6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ECBA738" w14:textId="77777777" w:rsidR="00527B5D" w:rsidRDefault="00527B5D" w:rsidP="009F4E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השטח האמור בסעיף 1 נמצא בתחום שטח</w:t>
      </w:r>
      <w:r w:rsidR="009F4ED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השיפוט של המועצה </w:t>
      </w:r>
      <w:r w:rsidR="009F4ED7">
        <w:rPr>
          <w:rStyle w:val="default"/>
          <w:rFonts w:cs="FrankRuehl" w:hint="cs"/>
          <w:rtl/>
        </w:rPr>
        <w:t>המקומית יבנאל ושל המועצה האזורית עמק הירדן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שב</w:t>
      </w:r>
      <w:r w:rsidR="00F11172">
        <w:rPr>
          <w:rStyle w:val="default"/>
          <w:rFonts w:cs="FrankRuehl" w:hint="cs"/>
          <w:rtl/>
        </w:rPr>
        <w:t>הם</w:t>
      </w:r>
      <w:r>
        <w:rPr>
          <w:rStyle w:val="default"/>
          <w:rFonts w:cs="FrankRuehl" w:hint="cs"/>
          <w:rtl/>
        </w:rPr>
        <w:t xml:space="preserve"> חלה תכנית </w:t>
      </w:r>
      <w:r w:rsidR="009F4ED7">
        <w:rPr>
          <w:rStyle w:val="default"/>
          <w:rFonts w:cs="FrankRuehl" w:hint="cs"/>
          <w:rtl/>
        </w:rPr>
        <w:t>ג/12720,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9F4ED7">
        <w:rPr>
          <w:rStyle w:val="default"/>
          <w:rFonts w:cs="FrankRuehl" w:hint="cs"/>
          <w:rtl/>
        </w:rPr>
        <w:t>5876</w:t>
      </w:r>
      <w:r>
        <w:rPr>
          <w:rStyle w:val="default"/>
          <w:rFonts w:cs="FrankRuehl" w:hint="cs"/>
          <w:rtl/>
        </w:rPr>
        <w:t xml:space="preserve">, מיום </w:t>
      </w:r>
      <w:r w:rsidR="009F4ED7">
        <w:rPr>
          <w:rStyle w:val="default"/>
          <w:rFonts w:cs="FrankRuehl" w:hint="cs"/>
          <w:rtl/>
        </w:rPr>
        <w:t>ז' בכסלו התשס"ט (4 בדצמבר 2008</w:t>
      </w:r>
      <w:r>
        <w:rPr>
          <w:rStyle w:val="default"/>
          <w:rFonts w:cs="FrankRuehl" w:hint="cs"/>
          <w:rtl/>
        </w:rPr>
        <w:t xml:space="preserve">), עמ' </w:t>
      </w:r>
      <w:r w:rsidR="009F4ED7">
        <w:rPr>
          <w:rStyle w:val="default"/>
          <w:rFonts w:cs="FrankRuehl" w:hint="cs"/>
          <w:rtl/>
        </w:rPr>
        <w:t>842</w:t>
      </w:r>
      <w:r w:rsidR="00F11172">
        <w:rPr>
          <w:rStyle w:val="default"/>
          <w:rFonts w:cs="FrankRuehl" w:hint="cs"/>
          <w:rtl/>
        </w:rPr>
        <w:t>, והוא כולל גוש</w:t>
      </w:r>
      <w:r w:rsidR="009F4ED7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14:paraId="55DAE489" w14:textId="77777777" w:rsidR="00527B5D" w:rsidRDefault="00527B5D" w:rsidP="009F4E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9F4ED7">
        <w:rPr>
          <w:rStyle w:val="default"/>
          <w:rFonts w:cs="FrankRuehl" w:hint="cs"/>
          <w:rtl/>
        </w:rPr>
        <w:t xml:space="preserve">15445 </w:t>
      </w:r>
      <w:r w:rsidR="009F4ED7">
        <w:rPr>
          <w:rStyle w:val="default"/>
          <w:rFonts w:cs="FrankRuehl"/>
          <w:rtl/>
        </w:rPr>
        <w:t>–</w:t>
      </w:r>
      <w:r w:rsidR="009F4ED7">
        <w:rPr>
          <w:rStyle w:val="default"/>
          <w:rFonts w:cs="FrankRuehl" w:hint="cs"/>
          <w:rtl/>
        </w:rPr>
        <w:t xml:space="preserve"> חלקי חלקה 3;</w:t>
      </w:r>
    </w:p>
    <w:p w14:paraId="497E49C4" w14:textId="77777777" w:rsidR="009F4ED7" w:rsidRDefault="009F4ED7" w:rsidP="009F4E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15447 </w:t>
      </w:r>
      <w:r w:rsidR="00F16806">
        <w:rPr>
          <w:rStyle w:val="default"/>
          <w:rFonts w:cs="FrankRuehl"/>
          <w:rtl/>
        </w:rPr>
        <w:t>–</w:t>
      </w:r>
      <w:r w:rsidR="00F16806">
        <w:rPr>
          <w:rStyle w:val="default"/>
          <w:rFonts w:cs="FrankRuehl" w:hint="cs"/>
          <w:rtl/>
        </w:rPr>
        <w:t xml:space="preserve"> חלקות במלואן 34, 36;</w:t>
      </w:r>
    </w:p>
    <w:p w14:paraId="0CE0B08F" w14:textId="77777777" w:rsidR="00F16806" w:rsidRDefault="00F16806" w:rsidP="009F4E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15456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24, 26, 29, 33; חלקי חלקות 27, 31;</w:t>
      </w:r>
    </w:p>
    <w:p w14:paraId="22E214F3" w14:textId="77777777" w:rsidR="00F16806" w:rsidRDefault="00F16806" w:rsidP="009F4E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17364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20;</w:t>
      </w:r>
    </w:p>
    <w:p w14:paraId="564A6E31" w14:textId="77777777" w:rsidR="00F16806" w:rsidRDefault="00F16806" w:rsidP="009F4E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17365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17; חלקי חלקה 1;</w:t>
      </w:r>
    </w:p>
    <w:p w14:paraId="00722552" w14:textId="77777777" w:rsidR="00F16806" w:rsidRDefault="00F16806" w:rsidP="009F4E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17366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20; חלקי חלקות 18, 19, 21;</w:t>
      </w:r>
    </w:p>
    <w:p w14:paraId="360E7443" w14:textId="77777777" w:rsidR="00F16806" w:rsidRDefault="00F16806" w:rsidP="009F4E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17367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27, 28;</w:t>
      </w:r>
    </w:p>
    <w:p w14:paraId="638EEE07" w14:textId="77777777" w:rsidR="00F16806" w:rsidRDefault="00F16806" w:rsidP="009F4E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17373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2, 35;</w:t>
      </w:r>
    </w:p>
    <w:p w14:paraId="7D4E76FA" w14:textId="77777777" w:rsidR="00F16806" w:rsidRDefault="00F16806" w:rsidP="009F4E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17374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14:paraId="46375F5D" w14:textId="77777777" w:rsidR="00F16806" w:rsidRDefault="00F16806" w:rsidP="009F4E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17375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1.</w:t>
      </w:r>
    </w:p>
    <w:p w14:paraId="55524714" w14:textId="77777777" w:rsidR="009F4ED7" w:rsidRDefault="009F4E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7DB15E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0A3A98" w14:textId="77777777" w:rsidR="009C432F" w:rsidRDefault="00F16806" w:rsidP="00F16806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</w:t>
      </w:r>
      <w:r w:rsidR="00F11172">
        <w:rPr>
          <w:rStyle w:val="default"/>
          <w:rFonts w:cs="FrankRuehl" w:hint="cs"/>
          <w:rtl/>
        </w:rPr>
        <w:t>' בחשוון</w:t>
      </w:r>
      <w:r w:rsidR="008C782A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ה</w:t>
      </w:r>
      <w:r w:rsidR="008C782A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 בנובמבר 2014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C782A">
        <w:rPr>
          <w:rStyle w:val="default"/>
          <w:rFonts w:cs="FrankRuehl" w:hint="cs"/>
          <w:rtl/>
        </w:rPr>
        <w:t>גדעון סער</w:t>
      </w:r>
    </w:p>
    <w:p w14:paraId="00768BBA" w14:textId="77777777" w:rsidR="009C432F" w:rsidRDefault="009C432F" w:rsidP="008C782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8C782A">
        <w:rPr>
          <w:rFonts w:hint="cs"/>
          <w:rtl/>
        </w:rPr>
        <w:t>הפנים</w:t>
      </w:r>
    </w:p>
    <w:p w14:paraId="5EDAFC04" w14:textId="77777777" w:rsidR="009F4ED7" w:rsidRPr="006E39E0" w:rsidRDefault="009F4ED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03198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F81DA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8955014" w14:textId="77777777" w:rsidR="00497FB3" w:rsidRDefault="00497FB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2DD7A6" w14:textId="77777777" w:rsidR="00497FB3" w:rsidRDefault="00497FB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B6C09E" w14:textId="77777777" w:rsidR="00497FB3" w:rsidRDefault="00497FB3" w:rsidP="00497FB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E08218C" w14:textId="77777777" w:rsidR="008F0436" w:rsidRPr="00497FB3" w:rsidRDefault="008F0436" w:rsidP="00497FB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F0436" w:rsidRPr="00497FB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9695" w14:textId="77777777" w:rsidR="00F71554" w:rsidRDefault="00F71554">
      <w:r>
        <w:separator/>
      </w:r>
    </w:p>
  </w:endnote>
  <w:endnote w:type="continuationSeparator" w:id="0">
    <w:p w14:paraId="32735107" w14:textId="77777777" w:rsidR="00F71554" w:rsidRDefault="00F7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139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6E69F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BE2ED1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17C79">
      <w:rPr>
        <w:rFonts w:cs="TopType Jerushalmi"/>
        <w:noProof/>
        <w:color w:val="000000"/>
        <w:sz w:val="14"/>
        <w:szCs w:val="14"/>
      </w:rPr>
      <w:t>Z:\000-law\yael\2014\2014-11-19\065_414.doc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AA6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97FB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51D399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D37DE8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17C79">
      <w:rPr>
        <w:rFonts w:cs="TopType Jerushalmi"/>
        <w:noProof/>
        <w:color w:val="000000"/>
        <w:sz w:val="14"/>
        <w:szCs w:val="14"/>
      </w:rPr>
      <w:t>Z:\000-law\yael\2014\2014-11-19\065_414.doc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13DC1" w14:textId="77777777" w:rsidR="00F71554" w:rsidRDefault="00F7155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613CDF7" w14:textId="77777777" w:rsidR="00F71554" w:rsidRDefault="00F71554">
      <w:r>
        <w:continuationSeparator/>
      </w:r>
    </w:p>
  </w:footnote>
  <w:footnote w:id="1">
    <w:p w14:paraId="1BB40301" w14:textId="77777777" w:rsidR="00817C79" w:rsidRPr="00E31D0A" w:rsidRDefault="00E31D0A" w:rsidP="00817C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817C79">
          <w:rPr>
            <w:rStyle w:val="Hyperlink"/>
            <w:rFonts w:hint="cs"/>
            <w:sz w:val="20"/>
            <w:rtl/>
          </w:rPr>
          <w:t xml:space="preserve">ק"ת </w:t>
        </w:r>
        <w:r w:rsidR="008E74C9" w:rsidRPr="00817C79">
          <w:rPr>
            <w:rStyle w:val="Hyperlink"/>
            <w:rFonts w:hint="cs"/>
            <w:sz w:val="20"/>
            <w:rtl/>
          </w:rPr>
          <w:t>תשע</w:t>
        </w:r>
        <w:r w:rsidR="00FF53C1" w:rsidRPr="00817C79">
          <w:rPr>
            <w:rStyle w:val="Hyperlink"/>
            <w:rFonts w:hint="cs"/>
            <w:sz w:val="20"/>
            <w:rtl/>
          </w:rPr>
          <w:t>"</w:t>
        </w:r>
        <w:r w:rsidR="009F4ED7" w:rsidRPr="00817C79">
          <w:rPr>
            <w:rStyle w:val="Hyperlink"/>
            <w:rFonts w:hint="cs"/>
            <w:sz w:val="20"/>
            <w:rtl/>
          </w:rPr>
          <w:t>ה</w:t>
        </w:r>
        <w:r w:rsidRPr="00817C79">
          <w:rPr>
            <w:rStyle w:val="Hyperlink"/>
            <w:rFonts w:hint="cs"/>
            <w:sz w:val="20"/>
            <w:rtl/>
          </w:rPr>
          <w:t xml:space="preserve"> מס' </w:t>
        </w:r>
        <w:r w:rsidR="009F4ED7" w:rsidRPr="00817C79">
          <w:rPr>
            <w:rStyle w:val="Hyperlink"/>
            <w:rFonts w:hint="cs"/>
            <w:sz w:val="20"/>
            <w:rtl/>
          </w:rPr>
          <w:t>7440</w:t>
        </w:r>
      </w:hyperlink>
      <w:r>
        <w:rPr>
          <w:rFonts w:hint="cs"/>
          <w:sz w:val="20"/>
          <w:rtl/>
        </w:rPr>
        <w:t xml:space="preserve"> מיום </w:t>
      </w:r>
      <w:r w:rsidR="009F4ED7">
        <w:rPr>
          <w:rFonts w:hint="cs"/>
          <w:sz w:val="20"/>
          <w:rtl/>
        </w:rPr>
        <w:t>16.11.2014</w:t>
      </w:r>
      <w:r>
        <w:rPr>
          <w:rFonts w:hint="cs"/>
          <w:sz w:val="20"/>
          <w:rtl/>
        </w:rPr>
        <w:t xml:space="preserve"> עמ' </w:t>
      </w:r>
      <w:r w:rsidR="009F4ED7">
        <w:rPr>
          <w:rFonts w:hint="cs"/>
          <w:sz w:val="20"/>
          <w:rtl/>
        </w:rPr>
        <w:t>2</w:t>
      </w:r>
      <w:r w:rsidR="00F11172">
        <w:rPr>
          <w:rFonts w:hint="cs"/>
          <w:sz w:val="20"/>
          <w:rtl/>
        </w:rPr>
        <w:t>06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1A3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44FB50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E07E3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3CEC" w14:textId="77777777" w:rsidR="009C432F" w:rsidRDefault="00DF76EB" w:rsidP="009F4ED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271969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9F4ED7">
      <w:rPr>
        <w:rFonts w:hAnsi="FrankRuehl" w:cs="FrankRuehl" w:hint="cs"/>
        <w:color w:val="000000"/>
        <w:sz w:val="28"/>
        <w:szCs w:val="28"/>
        <w:rtl/>
      </w:rPr>
      <w:t>נחל יבנאל לפי תכנית ג/12720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9F4ED7">
      <w:rPr>
        <w:rFonts w:hAnsi="FrankRuehl" w:cs="FrankRuehl" w:hint="cs"/>
        <w:color w:val="000000"/>
        <w:sz w:val="28"/>
        <w:szCs w:val="28"/>
        <w:rtl/>
      </w:rPr>
      <w:t>ה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9F4ED7">
      <w:rPr>
        <w:rFonts w:hAnsi="FrankRuehl" w:cs="FrankRuehl" w:hint="cs"/>
        <w:color w:val="000000"/>
        <w:sz w:val="28"/>
        <w:szCs w:val="28"/>
        <w:rtl/>
      </w:rPr>
      <w:t>4</w:t>
    </w:r>
  </w:p>
  <w:p w14:paraId="0875F12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B0CFE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23226"/>
    <w:rsid w:val="00026DD1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97FB3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27B5D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17C79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0687E"/>
    <w:rsid w:val="00C1004D"/>
    <w:rsid w:val="00C127B3"/>
    <w:rsid w:val="00C1560C"/>
    <w:rsid w:val="00C1578E"/>
    <w:rsid w:val="00C23818"/>
    <w:rsid w:val="00C24A27"/>
    <w:rsid w:val="00C332B2"/>
    <w:rsid w:val="00C34F0C"/>
    <w:rsid w:val="00C36AF0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16728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1554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F01F2F"/>
  <w15:chartTrackingRefBased/>
  <w15:docId w15:val="{8015B2FE-9931-42C6-81AA-52B30C9E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2117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יבנאל לפי תכנית ג/12720), תשע"ה-2014</vt:lpwstr>
  </property>
  <property fmtid="{D5CDD505-2E9C-101B-9397-08002B2CF9AE}" pid="5" name="LAWNUMBER">
    <vt:lpwstr>0414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http://www.nevo.co.il/law_word/law06/tak-7440.pdf;‎רשומות - תקנות כלליות#פורסמה ק"ת תשע"ה ‏מס' 7440 #מיום 16.11.2014 עמ' 206‏</vt:lpwstr>
  </property>
</Properties>
</file>