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0981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D7EFD">
        <w:rPr>
          <w:rFonts w:hint="cs"/>
          <w:rtl/>
        </w:rPr>
        <w:t>שמורת טבע נחל שילה</w:t>
      </w:r>
      <w:r w:rsidR="006F3C6A">
        <w:rPr>
          <w:rFonts w:hint="cs"/>
          <w:rtl/>
        </w:rPr>
        <w:t xml:space="preserve">, לפי תכנית </w:t>
      </w:r>
      <w:r w:rsidR="003B3185">
        <w:rPr>
          <w:rFonts w:hint="cs"/>
          <w:rtl/>
        </w:rPr>
        <w:t xml:space="preserve">מס' </w:t>
      </w:r>
      <w:r w:rsidR="007D7EFD">
        <w:rPr>
          <w:rFonts w:hint="cs"/>
          <w:rtl/>
        </w:rPr>
        <w:t>מח/160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3B3185">
        <w:rPr>
          <w:rFonts w:hint="cs"/>
          <w:rtl/>
        </w:rPr>
        <w:t>8</w:t>
      </w:r>
    </w:p>
    <w:p w14:paraId="02626638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3F82958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256D4E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C6CC5" w:rsidRPr="001C6CC5" w14:paraId="4794E74B" w14:textId="77777777" w:rsidTr="001C6C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31D09F" w14:textId="77777777" w:rsidR="001C6CC5" w:rsidRPr="001C6CC5" w:rsidRDefault="001C6CC5" w:rsidP="001C6C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A1D3A88" w14:textId="77777777" w:rsidR="001C6CC5" w:rsidRPr="001C6CC5" w:rsidRDefault="001C6CC5" w:rsidP="001C6C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E5B33EC" w14:textId="77777777" w:rsidR="001C6CC5" w:rsidRPr="001C6CC5" w:rsidRDefault="001C6CC5" w:rsidP="001C6C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C6C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E3A745" w14:textId="77777777" w:rsidR="001C6CC5" w:rsidRPr="001C6CC5" w:rsidRDefault="001C6CC5" w:rsidP="001C6C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C6CC5" w:rsidRPr="001C6CC5" w14:paraId="5011A490" w14:textId="77777777" w:rsidTr="001C6C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7A114C" w14:textId="77777777" w:rsidR="001C6CC5" w:rsidRPr="001C6CC5" w:rsidRDefault="001C6CC5" w:rsidP="001C6C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3F65D6A" w14:textId="77777777" w:rsidR="001C6CC5" w:rsidRPr="001C6CC5" w:rsidRDefault="001C6CC5" w:rsidP="001C6C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D6A65F4" w14:textId="77777777" w:rsidR="001C6CC5" w:rsidRPr="001C6CC5" w:rsidRDefault="001C6CC5" w:rsidP="001C6C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C6C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D60F32" w14:textId="77777777" w:rsidR="001C6CC5" w:rsidRPr="001C6CC5" w:rsidRDefault="001C6CC5" w:rsidP="001C6C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C6CC5" w:rsidRPr="001C6CC5" w14:paraId="35AB8DED" w14:textId="77777777" w:rsidTr="001C6C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E31961" w14:textId="77777777" w:rsidR="001C6CC5" w:rsidRPr="001C6CC5" w:rsidRDefault="001C6CC5" w:rsidP="001C6C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6517BBF" w14:textId="77777777" w:rsidR="001C6CC5" w:rsidRPr="001C6CC5" w:rsidRDefault="001C6CC5" w:rsidP="001C6C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F05429B" w14:textId="77777777" w:rsidR="001C6CC5" w:rsidRPr="001C6CC5" w:rsidRDefault="001C6CC5" w:rsidP="001C6CC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C6C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D8DD38" w14:textId="77777777" w:rsidR="001C6CC5" w:rsidRPr="001C6CC5" w:rsidRDefault="001C6CC5" w:rsidP="001C6CC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1709C1C" w14:textId="77777777" w:rsidR="009C432F" w:rsidRDefault="009C432F">
      <w:pPr>
        <w:pStyle w:val="big-header"/>
        <w:ind w:left="0" w:right="1134"/>
        <w:rPr>
          <w:rtl/>
        </w:rPr>
      </w:pPr>
    </w:p>
    <w:p w14:paraId="28219DF0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E064DD">
        <w:rPr>
          <w:rFonts w:hint="cs"/>
          <w:rtl/>
        </w:rPr>
        <w:t>שמורת טבע נחל שילה, לפי תכנית מס' מח/160</w:t>
      </w:r>
      <w:r w:rsidR="003B3185">
        <w:rPr>
          <w:rFonts w:hint="cs"/>
          <w:rtl/>
        </w:rPr>
        <w:t>), תשע"ט-2018</w:t>
      </w:r>
      <w:r w:rsidR="00E31D0A">
        <w:rPr>
          <w:rStyle w:val="a6"/>
          <w:rtl/>
        </w:rPr>
        <w:footnoteReference w:customMarkFollows="1" w:id="1"/>
        <w:t>*</w:t>
      </w:r>
    </w:p>
    <w:p w14:paraId="2CB4C9C5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37772B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EAD4C48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71D867E"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14:paraId="4EFBA465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064D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E064DD">
        <w:rPr>
          <w:rStyle w:val="default"/>
          <w:rFonts w:cs="FrankRuehl" w:hint="cs"/>
          <w:rtl/>
        </w:rPr>
        <w:t>ממזרח ליישוב אלעד</w:t>
      </w:r>
      <w:r w:rsidR="00DC3BF2">
        <w:rPr>
          <w:rStyle w:val="default"/>
          <w:rFonts w:cs="FrankRuehl" w:hint="cs"/>
          <w:rtl/>
        </w:rPr>
        <w:t>, צבוע בירוק</w:t>
      </w:r>
      <w:r w:rsidR="00E064DD">
        <w:rPr>
          <w:rStyle w:val="default"/>
          <w:rFonts w:cs="FrankRuehl" w:hint="cs"/>
          <w:rtl/>
        </w:rPr>
        <w:t xml:space="preserve"> ו</w:t>
      </w:r>
      <w:r w:rsidR="00DC3BF2">
        <w:rPr>
          <w:rStyle w:val="default"/>
          <w:rFonts w:cs="FrankRuehl" w:hint="cs"/>
          <w:rtl/>
        </w:rPr>
        <w:t xml:space="preserve">מקווקו בקווים אלכסוניים </w:t>
      </w:r>
      <w:r w:rsidR="008F2663">
        <w:rPr>
          <w:rStyle w:val="default"/>
          <w:rFonts w:cs="FrankRuehl" w:hint="cs"/>
          <w:rtl/>
        </w:rPr>
        <w:t xml:space="preserve">ומצולבים </w:t>
      </w:r>
      <w:r w:rsidR="0037772B">
        <w:rPr>
          <w:rStyle w:val="default"/>
          <w:rFonts w:cs="FrankRuehl" w:hint="cs"/>
          <w:rtl/>
        </w:rPr>
        <w:t>ירוקים</w:t>
      </w:r>
      <w:r w:rsidR="00B7182C">
        <w:rPr>
          <w:rStyle w:val="default"/>
          <w:rFonts w:cs="FrankRuehl" w:hint="cs"/>
          <w:rtl/>
        </w:rPr>
        <w:t xml:space="preserve"> ומוק</w:t>
      </w:r>
      <w:r w:rsidR="00E064DD">
        <w:rPr>
          <w:rStyle w:val="default"/>
          <w:rFonts w:cs="FrankRuehl" w:hint="cs"/>
          <w:rtl/>
        </w:rPr>
        <w:t>ף</w:t>
      </w:r>
      <w:r w:rsidR="00B7182C">
        <w:rPr>
          <w:rStyle w:val="default"/>
          <w:rFonts w:cs="FrankRuehl" w:hint="cs"/>
          <w:rtl/>
        </w:rPr>
        <w:t xml:space="preserve"> בקו </w:t>
      </w:r>
      <w:r w:rsidR="003B3185">
        <w:rPr>
          <w:rStyle w:val="default"/>
          <w:rFonts w:cs="FrankRuehl" w:hint="cs"/>
          <w:rtl/>
        </w:rPr>
        <w:t>חום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3B3185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>ש/מר/מח/160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E064DD">
        <w:rPr>
          <w:rStyle w:val="default"/>
          <w:rFonts w:cs="FrankRuehl" w:hint="cs"/>
          <w:rtl/>
        </w:rPr>
        <w:t>10</w:t>
      </w:r>
      <w:r w:rsidR="00DB2F49">
        <w:rPr>
          <w:rStyle w:val="default"/>
          <w:rFonts w:cs="FrankRuehl" w:hint="cs"/>
          <w:rtl/>
        </w:rPr>
        <w:t>,00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B3185">
        <w:rPr>
          <w:rStyle w:val="default"/>
          <w:rFonts w:cs="FrankRuehl" w:hint="cs"/>
          <w:rtl/>
        </w:rPr>
        <w:t>י"ז באב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7772B">
        <w:rPr>
          <w:rStyle w:val="default"/>
          <w:rFonts w:cs="FrankRuehl" w:hint="cs"/>
          <w:rtl/>
        </w:rPr>
        <w:t>ח</w:t>
      </w:r>
      <w:r w:rsidR="00A70F47">
        <w:rPr>
          <w:rStyle w:val="default"/>
          <w:rFonts w:cs="FrankRuehl" w:hint="cs"/>
          <w:rtl/>
        </w:rPr>
        <w:t xml:space="preserve"> (</w:t>
      </w:r>
      <w:r w:rsidR="003B3185">
        <w:rPr>
          <w:rStyle w:val="default"/>
          <w:rFonts w:cs="FrankRuehl" w:hint="cs"/>
          <w:rtl/>
        </w:rPr>
        <w:t>29 ביולי 2018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49542519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2BD681E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4EDF0F9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70541">
        <w:rPr>
          <w:rStyle w:val="default"/>
          <w:rFonts w:cs="FrankRuehl" w:hint="cs"/>
          <w:rtl/>
        </w:rPr>
        <w:t>במשרדי הוועדה המחוזית לתכנון ולבנייה מחוז המרכז ברמלה</w:t>
      </w:r>
      <w:r w:rsidR="00E064DD">
        <w:rPr>
          <w:rStyle w:val="default"/>
          <w:rFonts w:cs="FrankRuehl" w:hint="cs"/>
          <w:rtl/>
        </w:rPr>
        <w:t>,</w:t>
      </w:r>
      <w:r w:rsidR="00070541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 xml:space="preserve">במשרדי הוועדה המקומית לתכנון ולבנייה חבל מודיעין </w:t>
      </w:r>
      <w:r w:rsidR="00070541">
        <w:rPr>
          <w:rStyle w:val="default"/>
          <w:rFonts w:cs="FrankRuehl" w:hint="cs"/>
          <w:rtl/>
        </w:rPr>
        <w:t xml:space="preserve">ובמשרדי הוועדה המקומית לתכנון ולבנייה </w:t>
      </w:r>
      <w:r w:rsidR="00E064DD">
        <w:rPr>
          <w:rStyle w:val="default"/>
          <w:rFonts w:cs="FrankRuehl" w:hint="cs"/>
          <w:rtl/>
        </w:rPr>
        <w:t>ראש העין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6F3C6A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C1FF9BD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BC9058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9FA3ACA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FAE2169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המועצה האזורית </w:t>
      </w:r>
      <w:r w:rsidR="00695E4F">
        <w:rPr>
          <w:rStyle w:val="default"/>
          <w:rFonts w:cs="FrankRuehl" w:hint="cs"/>
          <w:rtl/>
        </w:rPr>
        <w:t>חבל מודיעין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95E4F">
        <w:rPr>
          <w:rStyle w:val="default"/>
          <w:rFonts w:cs="FrankRuehl" w:hint="cs"/>
          <w:rtl/>
        </w:rPr>
        <w:t>מח/160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7772B">
        <w:rPr>
          <w:rStyle w:val="default"/>
          <w:rFonts w:cs="FrankRuehl" w:hint="cs"/>
          <w:rtl/>
        </w:rPr>
        <w:t xml:space="preserve">מס' </w:t>
      </w:r>
      <w:r w:rsidR="00695E4F">
        <w:rPr>
          <w:rStyle w:val="default"/>
          <w:rFonts w:cs="FrankRuehl" w:hint="cs"/>
          <w:rtl/>
        </w:rPr>
        <w:t>6542</w:t>
      </w:r>
      <w:r>
        <w:rPr>
          <w:rStyle w:val="default"/>
          <w:rFonts w:cs="FrankRuehl" w:hint="cs"/>
          <w:rtl/>
        </w:rPr>
        <w:t xml:space="preserve">, מיום </w:t>
      </w:r>
      <w:r w:rsidR="00695E4F">
        <w:rPr>
          <w:rStyle w:val="default"/>
          <w:rFonts w:cs="FrankRuehl" w:hint="cs"/>
          <w:rtl/>
        </w:rPr>
        <w:t>כ' בשבט התשע"ג (31 בינואר 2013</w:t>
      </w:r>
      <w:r w:rsidR="00DC3BF2">
        <w:rPr>
          <w:rStyle w:val="default"/>
          <w:rFonts w:cs="FrankRuehl" w:hint="cs"/>
          <w:rtl/>
        </w:rPr>
        <w:t xml:space="preserve">), עמ' </w:t>
      </w:r>
      <w:r w:rsidR="00695E4F">
        <w:rPr>
          <w:rStyle w:val="default"/>
          <w:rFonts w:cs="FrankRuehl" w:hint="cs"/>
          <w:rtl/>
        </w:rPr>
        <w:t>2572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5644A4AA" w14:textId="77777777" w:rsidR="00E1548A" w:rsidRDefault="00EF2AD9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95E4F">
        <w:rPr>
          <w:rStyle w:val="default"/>
          <w:rFonts w:cs="FrankRuehl" w:hint="cs"/>
          <w:rtl/>
        </w:rPr>
        <w:t>5503</w:t>
      </w:r>
      <w:r w:rsidR="00656D0A">
        <w:rPr>
          <w:rStyle w:val="default"/>
          <w:rFonts w:cs="FrankRuehl" w:hint="cs"/>
          <w:rtl/>
        </w:rPr>
        <w:t xml:space="preserve"> </w:t>
      </w:r>
      <w:r w:rsidR="00656D0A">
        <w:rPr>
          <w:rStyle w:val="default"/>
          <w:rFonts w:cs="FrankRuehl"/>
          <w:rtl/>
        </w:rPr>
        <w:t>–</w:t>
      </w:r>
      <w:r w:rsidR="0037772B">
        <w:rPr>
          <w:rStyle w:val="default"/>
          <w:rFonts w:cs="FrankRuehl"/>
          <w:rtl/>
        </w:rPr>
        <w:tab/>
      </w:r>
      <w:r w:rsidR="00070541">
        <w:rPr>
          <w:rStyle w:val="default"/>
          <w:rFonts w:cs="FrankRuehl" w:hint="cs"/>
          <w:rtl/>
        </w:rPr>
        <w:t xml:space="preserve">חלקי חלקות </w:t>
      </w:r>
      <w:r w:rsidR="00695E4F">
        <w:rPr>
          <w:rStyle w:val="default"/>
          <w:rFonts w:cs="FrankRuehl" w:hint="cs"/>
          <w:rtl/>
        </w:rPr>
        <w:t>1, 5</w:t>
      </w:r>
      <w:r w:rsidR="0037772B">
        <w:rPr>
          <w:rStyle w:val="default"/>
          <w:rFonts w:cs="FrankRuehl" w:hint="cs"/>
          <w:rtl/>
        </w:rPr>
        <w:t>;</w:t>
      </w:r>
    </w:p>
    <w:p w14:paraId="226E00C6" w14:textId="77777777" w:rsidR="00695E4F" w:rsidRDefault="00695E4F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5505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4, 5;</w:t>
      </w:r>
    </w:p>
    <w:p w14:paraId="71207ECC" w14:textId="77777777" w:rsidR="00695E4F" w:rsidRDefault="00695E4F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5506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במלואו;</w:t>
      </w:r>
    </w:p>
    <w:p w14:paraId="06AD5445" w14:textId="77777777" w:rsidR="00695E4F" w:rsidRDefault="00695E4F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5550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75-1, 78, 82, 83, 85, 86, 89; חלקי חלקות 34-32, 64, 76, 77, 81-79, 84, 87, 88;</w:t>
      </w:r>
    </w:p>
    <w:p w14:paraId="42868DCB" w14:textId="77777777" w:rsidR="00695E4F" w:rsidRDefault="00695E4F" w:rsidP="003777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5573 </w:t>
      </w:r>
      <w:r w:rsidR="00441B6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441B6F">
        <w:rPr>
          <w:rStyle w:val="default"/>
          <w:rFonts w:cs="FrankRuehl" w:hint="cs"/>
          <w:rtl/>
        </w:rPr>
        <w:t>חלקות במלואן 97-1, 99; חלקי חלקות 90, 98;</w:t>
      </w:r>
    </w:p>
    <w:p w14:paraId="3EFA7D76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5574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201-1, 215-203, 222-217, 224; חלקי חלקות 202, 216, 223;</w:t>
      </w:r>
    </w:p>
    <w:p w14:paraId="2AABF41B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5575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278-14, 280; חלקי חלקות 13-1, 279, 281;</w:t>
      </w:r>
    </w:p>
    <w:p w14:paraId="21C07A4A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5586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במלואו;</w:t>
      </w:r>
    </w:p>
    <w:p w14:paraId="7020317C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5587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במלואו;</w:t>
      </w:r>
    </w:p>
    <w:p w14:paraId="1E1762A0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5588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במלואו;</w:t>
      </w:r>
    </w:p>
    <w:p w14:paraId="022F6248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5589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5-3; חלקי חלקה 2;</w:t>
      </w:r>
    </w:p>
    <w:p w14:paraId="6EDA0293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5590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24-1, 116-28, 122-118, 124; חלקי חלקות 27-25, 117, 123;</w:t>
      </w:r>
    </w:p>
    <w:p w14:paraId="3CA1B7DE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5660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4, 5; חלקי חלקות 2, 3, 6, 8;</w:t>
      </w:r>
    </w:p>
    <w:p w14:paraId="231790CC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5663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2, 7; חלקי חלקות 5-3;</w:t>
      </w:r>
    </w:p>
    <w:p w14:paraId="5A1AB115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5665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2, 4;</w:t>
      </w:r>
    </w:p>
    <w:p w14:paraId="4D085DB3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5666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במלואו;</w:t>
      </w:r>
    </w:p>
    <w:p w14:paraId="54FF8B85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5667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5-3;</w:t>
      </w:r>
    </w:p>
    <w:p w14:paraId="6A9851F1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5668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1; חלקי חלקות 2, 3;</w:t>
      </w:r>
    </w:p>
    <w:p w14:paraId="708C8894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5669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3, 5; חלקי חלקות 1, 2, 4;</w:t>
      </w:r>
    </w:p>
    <w:p w14:paraId="5A608389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24202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14:paraId="43A2FCA8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 xml:space="preserve">גוש 24203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7; חלקי חלקות 2, 5, 6, 8;</w:t>
      </w:r>
    </w:p>
    <w:p w14:paraId="5EC3835C" w14:textId="77777777" w:rsidR="00441B6F" w:rsidRDefault="00441B6F" w:rsidP="00441B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24204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במלואו.</w:t>
      </w:r>
    </w:p>
    <w:p w14:paraId="0D934175" w14:textId="77777777" w:rsidR="00E064DD" w:rsidRDefault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42E198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D577FB" w14:textId="77777777" w:rsidR="009C432F" w:rsidRDefault="00B50AF0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י"ז באב</w:t>
      </w:r>
      <w:r w:rsidR="004C783C">
        <w:rPr>
          <w:rStyle w:val="default"/>
          <w:rFonts w:cs="FrankRuehl" w:hint="cs"/>
          <w:rtl/>
        </w:rPr>
        <w:t xml:space="preserve"> התשע"ח (</w:t>
      </w:r>
      <w:r>
        <w:rPr>
          <w:rStyle w:val="default"/>
          <w:rFonts w:cs="FrankRuehl" w:hint="cs"/>
          <w:rtl/>
        </w:rPr>
        <w:t>29 ביולי 2018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0568CA61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202897D3" w14:textId="77777777" w:rsidR="003B3185" w:rsidRPr="006E39E0" w:rsidRDefault="003B318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55300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21379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85F7A85" w14:textId="77777777" w:rsidR="001C6CC5" w:rsidRDefault="001C6CC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EC1D27" w14:textId="77777777" w:rsidR="001C6CC5" w:rsidRDefault="001C6CC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273D08" w14:textId="77777777" w:rsidR="001C6CC5" w:rsidRDefault="001C6CC5" w:rsidP="001C6CC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E5D29E8" w14:textId="77777777" w:rsidR="001153B7" w:rsidRPr="001C6CC5" w:rsidRDefault="001153B7" w:rsidP="001C6CC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153B7" w:rsidRPr="001C6CC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C9A8" w14:textId="77777777" w:rsidR="00CB71F0" w:rsidRDefault="00CB71F0">
      <w:r>
        <w:separator/>
      </w:r>
    </w:p>
  </w:endnote>
  <w:endnote w:type="continuationSeparator" w:id="0">
    <w:p w14:paraId="103A0E1C" w14:textId="77777777" w:rsidR="00CB71F0" w:rsidRDefault="00CB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7BF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B66D9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196AA5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E6E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C6CC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DD3DD1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3D4DB6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004B" w14:textId="77777777" w:rsidR="00CB71F0" w:rsidRDefault="00CB71F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4D3C69E" w14:textId="77777777" w:rsidR="00CB71F0" w:rsidRDefault="00CB71F0">
      <w:r>
        <w:continuationSeparator/>
      </w:r>
    </w:p>
  </w:footnote>
  <w:footnote w:id="1">
    <w:p w14:paraId="72D53EB7" w14:textId="77777777" w:rsidR="00ED0BC9" w:rsidRPr="00E31D0A" w:rsidRDefault="00E31D0A" w:rsidP="00ED0B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D0BC9">
          <w:rPr>
            <w:rStyle w:val="Hyperlink"/>
            <w:rFonts w:hint="cs"/>
            <w:sz w:val="20"/>
            <w:rtl/>
          </w:rPr>
          <w:t xml:space="preserve">ק"ת </w:t>
        </w:r>
        <w:r w:rsidR="008E74C9" w:rsidRPr="00ED0BC9">
          <w:rPr>
            <w:rStyle w:val="Hyperlink"/>
            <w:rFonts w:hint="cs"/>
            <w:sz w:val="20"/>
            <w:rtl/>
          </w:rPr>
          <w:t>תשע</w:t>
        </w:r>
        <w:r w:rsidR="00FF53C1" w:rsidRPr="00ED0BC9">
          <w:rPr>
            <w:rStyle w:val="Hyperlink"/>
            <w:rFonts w:hint="cs"/>
            <w:sz w:val="20"/>
            <w:rtl/>
          </w:rPr>
          <w:t>"</w:t>
        </w:r>
        <w:r w:rsidR="003B3185" w:rsidRPr="00ED0BC9">
          <w:rPr>
            <w:rStyle w:val="Hyperlink"/>
            <w:rFonts w:hint="cs"/>
            <w:sz w:val="20"/>
            <w:rtl/>
          </w:rPr>
          <w:t>ט</w:t>
        </w:r>
        <w:r w:rsidRPr="00ED0BC9">
          <w:rPr>
            <w:rStyle w:val="Hyperlink"/>
            <w:rFonts w:hint="cs"/>
            <w:sz w:val="20"/>
            <w:rtl/>
          </w:rPr>
          <w:t xml:space="preserve"> מס' </w:t>
        </w:r>
        <w:r w:rsidR="003B3185" w:rsidRPr="00ED0BC9">
          <w:rPr>
            <w:rStyle w:val="Hyperlink"/>
            <w:rFonts w:hint="cs"/>
            <w:sz w:val="20"/>
            <w:rtl/>
          </w:rPr>
          <w:t>8073</w:t>
        </w:r>
      </w:hyperlink>
      <w:r>
        <w:rPr>
          <w:rFonts w:hint="cs"/>
          <w:sz w:val="20"/>
          <w:rtl/>
        </w:rPr>
        <w:t xml:space="preserve"> מיום </w:t>
      </w:r>
      <w:r w:rsidR="003B3185">
        <w:rPr>
          <w:rFonts w:hint="cs"/>
          <w:sz w:val="20"/>
          <w:rtl/>
        </w:rPr>
        <w:t>17.9.2018</w:t>
      </w:r>
      <w:r>
        <w:rPr>
          <w:rFonts w:hint="cs"/>
          <w:sz w:val="20"/>
          <w:rtl/>
        </w:rPr>
        <w:t xml:space="preserve"> עמ' </w:t>
      </w:r>
      <w:r w:rsidR="003B3185">
        <w:rPr>
          <w:rFonts w:hint="cs"/>
          <w:sz w:val="20"/>
          <w:rtl/>
        </w:rPr>
        <w:t>4</w:t>
      </w:r>
      <w:r w:rsidR="00E064DD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943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B950E8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5A27A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0E49F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D7EFD">
      <w:rPr>
        <w:rFonts w:hAnsi="FrankRuehl" w:cs="FrankRuehl" w:hint="cs"/>
        <w:color w:val="000000"/>
        <w:sz w:val="28"/>
        <w:szCs w:val="28"/>
        <w:rtl/>
      </w:rPr>
      <w:t>שמורת טבע נחל שילה</w:t>
    </w:r>
    <w:r w:rsidR="006F3C6A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3B3185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7D7EFD">
      <w:rPr>
        <w:rFonts w:hAnsi="FrankRuehl" w:cs="FrankRuehl" w:hint="cs"/>
        <w:color w:val="000000"/>
        <w:sz w:val="28"/>
        <w:szCs w:val="28"/>
        <w:rtl/>
      </w:rPr>
      <w:t>מח/160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B3185">
      <w:rPr>
        <w:rFonts w:hAnsi="FrankRuehl" w:cs="FrankRuehl" w:hint="cs"/>
        <w:color w:val="000000"/>
        <w:sz w:val="28"/>
        <w:szCs w:val="28"/>
        <w:rtl/>
      </w:rPr>
      <w:t>8</w:t>
    </w:r>
  </w:p>
  <w:p w14:paraId="3E4FA48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67466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C6CC5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B71F0"/>
    <w:rsid w:val="00CD5BE9"/>
    <w:rsid w:val="00CE5844"/>
    <w:rsid w:val="00CF0413"/>
    <w:rsid w:val="00CF4E6A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6207"/>
    <w:rsid w:val="00DF6658"/>
    <w:rsid w:val="00DF76EB"/>
    <w:rsid w:val="00DF7D9F"/>
    <w:rsid w:val="00E00CAC"/>
    <w:rsid w:val="00E064DD"/>
    <w:rsid w:val="00E07F76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28B8"/>
    <w:rsid w:val="00EB325E"/>
    <w:rsid w:val="00EB435F"/>
    <w:rsid w:val="00EB6A2A"/>
    <w:rsid w:val="00EC38B8"/>
    <w:rsid w:val="00EC4FF4"/>
    <w:rsid w:val="00ED0BC9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E839D0"/>
  <w15:chartTrackingRefBased/>
  <w15:docId w15:val="{891157D8-43E9-431D-AC18-EF0D13F8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2698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שילה, לפי תכנית מס' מח/160), תשע"ט-2018</vt:lpwstr>
  </property>
  <property fmtid="{D5CDD505-2E9C-101B-9397-08002B2CF9AE}" pid="5" name="LAWNUMBER">
    <vt:lpwstr>0452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http://www.nevo.co.il/Law_word/law06/TAK-8073.pdf;‎רשומות - תקנות כלליות#פורסמה ק"ת תשע"ט ‏מס' 8073 #מיום 17.9.2018 עמ' 48‏</vt:lpwstr>
  </property>
</Properties>
</file>