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AB28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1826AB">
        <w:rPr>
          <w:rFonts w:hint="cs"/>
          <w:rtl/>
        </w:rPr>
        <w:t>נחל תבור הרחבה</w:t>
      </w:r>
      <w:r w:rsidR="00412470" w:rsidRPr="006B23C4">
        <w:rPr>
          <w:rFonts w:hint="cs"/>
          <w:rtl/>
        </w:rPr>
        <w:t xml:space="preserve">, לפי תכנית מס' </w:t>
      </w:r>
      <w:r w:rsidR="001826AB">
        <w:rPr>
          <w:rFonts w:hint="cs"/>
          <w:rtl/>
        </w:rPr>
        <w:t>ג/14610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18711D5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68027C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D825FC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5299" w:rsidRPr="00E45299" w14:paraId="3C3FC186" w14:textId="77777777" w:rsidTr="00E452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A0F30A" w14:textId="77777777" w:rsidR="00E45299" w:rsidRPr="00E45299" w:rsidRDefault="00E45299" w:rsidP="00E452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298A4BE" w14:textId="77777777" w:rsidR="00E45299" w:rsidRPr="00E45299" w:rsidRDefault="00E45299" w:rsidP="00E452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4F4EC42" w14:textId="77777777" w:rsidR="00E45299" w:rsidRPr="00E45299" w:rsidRDefault="00E45299" w:rsidP="00E452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452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1874A5" w14:textId="77777777" w:rsidR="00E45299" w:rsidRPr="00E45299" w:rsidRDefault="00E45299" w:rsidP="00E452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5299" w:rsidRPr="00E45299" w14:paraId="53745CE3" w14:textId="77777777" w:rsidTr="00E452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EFF483" w14:textId="77777777" w:rsidR="00E45299" w:rsidRPr="00E45299" w:rsidRDefault="00E45299" w:rsidP="00E452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48446B1" w14:textId="77777777" w:rsidR="00E45299" w:rsidRPr="00E45299" w:rsidRDefault="00E45299" w:rsidP="00E452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198CCF1" w14:textId="77777777" w:rsidR="00E45299" w:rsidRPr="00E45299" w:rsidRDefault="00E45299" w:rsidP="00E452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452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FB0ED1" w14:textId="77777777" w:rsidR="00E45299" w:rsidRPr="00E45299" w:rsidRDefault="00E45299" w:rsidP="00E452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5299" w:rsidRPr="00E45299" w14:paraId="5EBC3AF5" w14:textId="77777777" w:rsidTr="00E452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1C5F23" w14:textId="77777777" w:rsidR="00E45299" w:rsidRPr="00E45299" w:rsidRDefault="00E45299" w:rsidP="00E452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57A800F" w14:textId="77777777" w:rsidR="00E45299" w:rsidRPr="00E45299" w:rsidRDefault="00E45299" w:rsidP="00E452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78F77B8" w14:textId="77777777" w:rsidR="00E45299" w:rsidRPr="00E45299" w:rsidRDefault="00E45299" w:rsidP="00E452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452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F0B77E" w14:textId="77777777" w:rsidR="00E45299" w:rsidRPr="00E45299" w:rsidRDefault="00E45299" w:rsidP="00E452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62EAF34" w14:textId="77777777" w:rsidR="009C432F" w:rsidRDefault="009C432F">
      <w:pPr>
        <w:pStyle w:val="big-header"/>
        <w:ind w:left="0" w:right="1134"/>
        <w:rPr>
          <w:rtl/>
        </w:rPr>
      </w:pPr>
    </w:p>
    <w:p w14:paraId="780454CC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1826AB" w:rsidRPr="006B23C4">
        <w:rPr>
          <w:rFonts w:hint="cs"/>
          <w:rtl/>
        </w:rPr>
        <w:t xml:space="preserve">שמורת טבע </w:t>
      </w:r>
      <w:r w:rsidR="001826AB">
        <w:rPr>
          <w:rFonts w:hint="cs"/>
          <w:rtl/>
        </w:rPr>
        <w:t>נחל תבור הרחבה</w:t>
      </w:r>
      <w:r w:rsidR="001826AB" w:rsidRPr="006B23C4">
        <w:rPr>
          <w:rFonts w:hint="cs"/>
          <w:rtl/>
        </w:rPr>
        <w:t xml:space="preserve">, לפי תכנית מס' </w:t>
      </w:r>
      <w:r w:rsidR="001826AB">
        <w:rPr>
          <w:rFonts w:hint="cs"/>
          <w:rtl/>
        </w:rPr>
        <w:t>ג/14610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59362080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C89BB39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4B15897"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14:paraId="222FDAC9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1826AB">
        <w:rPr>
          <w:rStyle w:val="default"/>
          <w:rFonts w:cs="FrankRuehl" w:hint="cs"/>
          <w:rtl/>
        </w:rPr>
        <w:t>הכולל את כתפיו הרחבות של נחל תבור ממערב לכביש 90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1826AB">
        <w:rPr>
          <w:rStyle w:val="default"/>
          <w:rFonts w:cs="FrankRuehl" w:hint="cs"/>
          <w:rtl/>
        </w:rPr>
        <w:t xml:space="preserve"> או בסגול</w:t>
      </w:r>
      <w:r w:rsidR="0029079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374908">
        <w:rPr>
          <w:rStyle w:val="default"/>
          <w:rFonts w:cs="FrankRuehl" w:hint="cs"/>
          <w:rtl/>
        </w:rPr>
        <w:t xml:space="preserve"> ומוקף בקו </w:t>
      </w:r>
      <w:r w:rsidR="001826AB">
        <w:rPr>
          <w:rStyle w:val="default"/>
          <w:rFonts w:cs="FrankRuehl" w:hint="cs"/>
          <w:rtl/>
        </w:rPr>
        <w:t>ירוק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</w:t>
      </w:r>
      <w:r w:rsidR="001826AB">
        <w:rPr>
          <w:rStyle w:val="default"/>
          <w:rFonts w:cs="FrankRuehl" w:hint="cs"/>
          <w:rtl/>
        </w:rPr>
        <w:t>צפ/ג/14610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1826AB">
        <w:rPr>
          <w:rStyle w:val="default"/>
          <w:rFonts w:cs="FrankRuehl" w:hint="cs"/>
          <w:rtl/>
        </w:rPr>
        <w:t>2</w:t>
      </w:r>
      <w:r w:rsidR="008351DD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AE042B1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2A05E6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76C81A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1826AB">
        <w:rPr>
          <w:rStyle w:val="default"/>
          <w:rFonts w:cs="FrankRuehl" w:hint="cs"/>
          <w:rtl/>
        </w:rPr>
        <w:t>הצפון בנצרת עילית</w:t>
      </w:r>
      <w:r w:rsidR="000E7C76">
        <w:rPr>
          <w:rStyle w:val="default"/>
          <w:rFonts w:cs="FrankRuehl" w:hint="cs"/>
          <w:rtl/>
        </w:rPr>
        <w:t xml:space="preserve"> </w:t>
      </w:r>
      <w:r w:rsidR="003D04B1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>הוועד</w:t>
      </w:r>
      <w:r w:rsidR="00290797">
        <w:rPr>
          <w:rStyle w:val="default"/>
          <w:rFonts w:cs="FrankRuehl" w:hint="cs"/>
          <w:rtl/>
        </w:rPr>
        <w:t>ות</w:t>
      </w:r>
      <w:r w:rsidR="00E064DD">
        <w:rPr>
          <w:rStyle w:val="default"/>
          <w:rFonts w:cs="FrankRuehl" w:hint="cs"/>
          <w:rtl/>
        </w:rPr>
        <w:t xml:space="preserve"> המקומי</w:t>
      </w:r>
      <w:r w:rsidR="00290797">
        <w:rPr>
          <w:rStyle w:val="default"/>
          <w:rFonts w:cs="FrankRuehl" w:hint="cs"/>
          <w:rtl/>
        </w:rPr>
        <w:t>ו</w:t>
      </w:r>
      <w:r w:rsidR="00E064DD">
        <w:rPr>
          <w:rStyle w:val="default"/>
          <w:rFonts w:cs="FrankRuehl" w:hint="cs"/>
          <w:rtl/>
        </w:rPr>
        <w:t xml:space="preserve">ת לתכנון ולבנייה </w:t>
      </w:r>
      <w:r w:rsidR="001826AB">
        <w:rPr>
          <w:rStyle w:val="default"/>
          <w:rFonts w:cs="FrankRuehl" w:hint="cs"/>
          <w:rtl/>
        </w:rPr>
        <w:t>עמק הירדן, עמק המעיינות, הגלבוע, יזרעאלים והגליל התחתון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86B30A2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357066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425BFB7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7388DF8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290797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CA1EF0">
        <w:rPr>
          <w:rStyle w:val="default"/>
          <w:rFonts w:cs="FrankRuehl" w:hint="cs"/>
          <w:rtl/>
        </w:rPr>
        <w:t>המועצ</w:t>
      </w:r>
      <w:r w:rsidR="00290797">
        <w:rPr>
          <w:rStyle w:val="default"/>
          <w:rFonts w:cs="FrankRuehl" w:hint="cs"/>
          <w:rtl/>
        </w:rPr>
        <w:t>ות</w:t>
      </w:r>
      <w:r w:rsidR="00CA1EF0">
        <w:rPr>
          <w:rStyle w:val="default"/>
          <w:rFonts w:cs="FrankRuehl" w:hint="cs"/>
          <w:rtl/>
        </w:rPr>
        <w:t xml:space="preserve"> </w:t>
      </w:r>
      <w:r w:rsidR="007550AE">
        <w:rPr>
          <w:rStyle w:val="default"/>
          <w:rFonts w:cs="FrankRuehl" w:hint="cs"/>
          <w:rtl/>
        </w:rPr>
        <w:t>האזורי</w:t>
      </w:r>
      <w:r w:rsidR="00290797">
        <w:rPr>
          <w:rStyle w:val="default"/>
          <w:rFonts w:cs="FrankRuehl" w:hint="cs"/>
          <w:rtl/>
        </w:rPr>
        <w:t>ו</w:t>
      </w:r>
      <w:r w:rsidR="007550AE">
        <w:rPr>
          <w:rStyle w:val="default"/>
          <w:rFonts w:cs="FrankRuehl" w:hint="cs"/>
          <w:rtl/>
        </w:rPr>
        <w:t xml:space="preserve">ת </w:t>
      </w:r>
      <w:r w:rsidR="001826AB">
        <w:rPr>
          <w:rStyle w:val="default"/>
          <w:rFonts w:cs="FrankRuehl" w:hint="cs"/>
          <w:rtl/>
        </w:rPr>
        <w:t>עמק הירדן, עמק המעיינות, הגלבוע, עמק יזרעאל והגליל התחתון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290797">
        <w:rPr>
          <w:rStyle w:val="default"/>
          <w:rFonts w:cs="FrankRuehl" w:hint="cs"/>
          <w:rtl/>
        </w:rPr>
        <w:t>הם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1826AB">
        <w:rPr>
          <w:rStyle w:val="default"/>
          <w:rFonts w:cs="FrankRuehl" w:hint="cs"/>
          <w:rtl/>
        </w:rPr>
        <w:t>ג/14610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1826AB">
        <w:rPr>
          <w:rStyle w:val="default"/>
          <w:rFonts w:cs="FrankRuehl" w:hint="cs"/>
          <w:rtl/>
        </w:rPr>
        <w:t>6404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1826AB">
        <w:rPr>
          <w:rStyle w:val="default"/>
          <w:rFonts w:cs="FrankRuehl" w:hint="cs"/>
          <w:rtl/>
        </w:rPr>
        <w:t>ב' באייר</w:t>
      </w:r>
      <w:r w:rsidR="00290797">
        <w:rPr>
          <w:rStyle w:val="default"/>
          <w:rFonts w:cs="FrankRuehl" w:hint="cs"/>
          <w:rtl/>
        </w:rPr>
        <w:t xml:space="preserve"> התשע"</w:t>
      </w:r>
      <w:r w:rsidR="001826AB">
        <w:rPr>
          <w:rStyle w:val="default"/>
          <w:rFonts w:cs="FrankRuehl" w:hint="cs"/>
          <w:rtl/>
        </w:rPr>
        <w:t>ב</w:t>
      </w:r>
      <w:r w:rsidR="00290797">
        <w:rPr>
          <w:rStyle w:val="default"/>
          <w:rFonts w:cs="FrankRuehl" w:hint="cs"/>
          <w:rtl/>
        </w:rPr>
        <w:t xml:space="preserve"> (</w:t>
      </w:r>
      <w:r w:rsidR="001826AB">
        <w:rPr>
          <w:rStyle w:val="default"/>
          <w:rFonts w:cs="FrankRuehl" w:hint="cs"/>
          <w:rtl/>
        </w:rPr>
        <w:t>24 באפריל</w:t>
      </w:r>
      <w:r w:rsidR="00290797">
        <w:rPr>
          <w:rStyle w:val="default"/>
          <w:rFonts w:cs="FrankRuehl" w:hint="cs"/>
          <w:rtl/>
        </w:rPr>
        <w:t xml:space="preserve"> 2012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1826AB">
        <w:rPr>
          <w:rStyle w:val="default"/>
          <w:rFonts w:cs="FrankRuehl" w:hint="cs"/>
          <w:rtl/>
        </w:rPr>
        <w:t>3533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2FAB4FAB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826AB">
        <w:rPr>
          <w:rStyle w:val="default"/>
          <w:rFonts w:cs="FrankRuehl" w:hint="cs"/>
          <w:rtl/>
        </w:rPr>
        <w:t xml:space="preserve">15374 </w:t>
      </w:r>
      <w:r w:rsidR="001826AB">
        <w:rPr>
          <w:rStyle w:val="default"/>
          <w:rFonts w:cs="FrankRuehl"/>
          <w:rtl/>
        </w:rPr>
        <w:t>–</w:t>
      </w:r>
      <w:r w:rsidR="001826AB">
        <w:rPr>
          <w:rStyle w:val="default"/>
          <w:rFonts w:cs="FrankRuehl" w:hint="cs"/>
          <w:rtl/>
        </w:rPr>
        <w:t xml:space="preserve"> חלקות במלואן 3, 6; חלקי חלקות: 2, 5, 7, 8</w:t>
      </w:r>
      <w:r w:rsidR="003D04B1">
        <w:rPr>
          <w:rStyle w:val="default"/>
          <w:rFonts w:cs="FrankRuehl" w:hint="cs"/>
          <w:rtl/>
        </w:rPr>
        <w:t>;</w:t>
      </w:r>
    </w:p>
    <w:p w14:paraId="5A1C0E2A" w14:textId="77777777" w:rsidR="001826AB" w:rsidRDefault="001826AB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15375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7; חלקי חלקות: 2 עד 6, 8;</w:t>
      </w:r>
    </w:p>
    <w:p w14:paraId="01584032" w14:textId="77777777" w:rsidR="001826AB" w:rsidRDefault="001826AB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15376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1, 2;</w:t>
      </w:r>
    </w:p>
    <w:p w14:paraId="31A376F6" w14:textId="77777777" w:rsidR="001826AB" w:rsidRDefault="001826AB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22538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2 עד 7;</w:t>
      </w:r>
    </w:p>
    <w:p w14:paraId="67178911" w14:textId="77777777" w:rsidR="001826AB" w:rsidRDefault="001826AB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22568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22 עד 26; חלקי חלקות: 2, 3, 5, 7, 8, 21;</w:t>
      </w:r>
    </w:p>
    <w:p w14:paraId="0CF24462" w14:textId="77777777" w:rsidR="001826AB" w:rsidRDefault="001826AB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22569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2 עד 8, 15, 27 עד 29;</w:t>
      </w:r>
    </w:p>
    <w:p w14:paraId="45360E50" w14:textId="77777777" w:rsidR="001826AB" w:rsidRDefault="001826AB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22581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1 עד 3;</w:t>
      </w:r>
    </w:p>
    <w:p w14:paraId="45CFDB12" w14:textId="77777777" w:rsidR="001826AB" w:rsidRDefault="001826AB" w:rsidP="00EA19C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22595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5 עד 9, 21, 22, 70 עד 101; חלקי חלקות: 2 עד 4, 10, 11, 23, 68, 69, 102 עד 105;</w:t>
      </w:r>
    </w:p>
    <w:p w14:paraId="52140A5E" w14:textId="77777777" w:rsidR="001826AB" w:rsidRDefault="001826AB" w:rsidP="00EA19C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22632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27 עד 29, 31, 34, 35, 38, 40, 45, 47 עד 49, 901, 902, 906, 2001 עד 2003; חלקי חלקות: 39, 41, 46, 50 עד 53, 903 עד 905, 2006, 2015;</w:t>
      </w:r>
    </w:p>
    <w:p w14:paraId="65DEA744" w14:textId="77777777" w:rsidR="001826AB" w:rsidRDefault="001826AB" w:rsidP="00EA19C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22657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9 עד 21, 29 עד 32, 36, 40 עד 46, 48, 50, 53, 54, 57, 58, 61, 65 עד 70, 72 עד 76, 79, 81, 88, 621 עד 625; חלקי חלקות: 8, 22, 23, 33, 71, 84, 87, 89;</w:t>
      </w:r>
    </w:p>
    <w:p w14:paraId="29C3C3DB" w14:textId="77777777" w:rsidR="001826AB" w:rsidRDefault="001826AB" w:rsidP="00EA19C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22660 </w:t>
      </w:r>
      <w:r w:rsidR="00EA19C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EA19C0">
        <w:rPr>
          <w:rStyle w:val="default"/>
          <w:rFonts w:cs="FrankRuehl" w:hint="cs"/>
          <w:rtl/>
        </w:rPr>
        <w:t>חלקות במלואן 108, 113, 121, 122, 137, 143; חלקי חלקות: 3, 57, 114, 118, 131, 132, 138, 160, 169, 176, 179, 192;</w:t>
      </w:r>
    </w:p>
    <w:p w14:paraId="563D6E77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22755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2, 6, 7, 12;</w:t>
      </w:r>
    </w:p>
    <w:p w14:paraId="0DC3B721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23218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11 עד 14;</w:t>
      </w:r>
    </w:p>
    <w:p w14:paraId="2855360C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23249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2, 11;</w:t>
      </w:r>
    </w:p>
    <w:p w14:paraId="680721A8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23251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66;</w:t>
      </w:r>
    </w:p>
    <w:p w14:paraId="74A305D1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 xml:space="preserve">גוש 23252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102, 103, 106 עד 108;</w:t>
      </w:r>
    </w:p>
    <w:p w14:paraId="2D231053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24; חלקי חלקה: 21;</w:t>
      </w:r>
    </w:p>
    <w:p w14:paraId="3535FB1F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4, 7, 9, 10, 13;</w:t>
      </w:r>
    </w:p>
    <w:p w14:paraId="72EFAC3A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5, 7, 8; חלקי חלקות: 2 עד 4, 6, 15, 19, 20;</w:t>
      </w:r>
    </w:p>
    <w:p w14:paraId="6FAF1059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5 עד 7, 9, 10, 13, 29;</w:t>
      </w:r>
    </w:p>
    <w:p w14:paraId="2A131A19" w14:textId="77777777" w:rsidR="00EA19C0" w:rsidRDefault="00EA19C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23276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2, 4, 6, 7; חלקי חלקות: 3, 5, 18, 19, 22;</w:t>
      </w:r>
    </w:p>
    <w:p w14:paraId="39DCFCFC" w14:textId="77777777" w:rsidR="00EA19C0" w:rsidRDefault="00EA19C0" w:rsidP="002F711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23277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28, 37; חלקי חלקות: 2, 4 עד 6, 8, 10, 19, 22, 25 עד 27, 33, 34, 36.</w:t>
      </w:r>
    </w:p>
    <w:p w14:paraId="6DE22975" w14:textId="77777777" w:rsidR="001826AB" w:rsidRDefault="001826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5D6C83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188C92" w14:textId="77777777"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6FD5929B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6F662EC7" w14:textId="77777777"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1D8CD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B0FA6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682591E" w14:textId="77777777" w:rsidR="00E45299" w:rsidRDefault="00E4529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A1B3BB" w14:textId="77777777" w:rsidR="00E45299" w:rsidRDefault="00E4529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78F2FC" w14:textId="77777777" w:rsidR="00E45299" w:rsidRDefault="00E45299" w:rsidP="00E452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20E9687" w14:textId="77777777" w:rsidR="007D2AC3" w:rsidRPr="00E45299" w:rsidRDefault="007D2AC3" w:rsidP="00E452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D2AC3" w:rsidRPr="00E4529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F2A1" w14:textId="77777777" w:rsidR="00A72F25" w:rsidRDefault="00A72F25">
      <w:r>
        <w:separator/>
      </w:r>
    </w:p>
  </w:endnote>
  <w:endnote w:type="continuationSeparator" w:id="0">
    <w:p w14:paraId="6D506375" w14:textId="77777777" w:rsidR="00A72F25" w:rsidRDefault="00A7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C91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8F7BF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F92595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CDC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529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C028B1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89F8B0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0260" w14:textId="77777777" w:rsidR="00A72F25" w:rsidRDefault="00A72F2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802D58" w14:textId="77777777" w:rsidR="00A72F25" w:rsidRDefault="00A72F25">
      <w:r>
        <w:continuationSeparator/>
      </w:r>
    </w:p>
  </w:footnote>
  <w:footnote w:id="1">
    <w:p w14:paraId="3D5E4AA9" w14:textId="77777777" w:rsidR="004F50DE" w:rsidRPr="00E31D0A" w:rsidRDefault="00E31D0A" w:rsidP="004F50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F50D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4F50DE">
          <w:rPr>
            <w:rStyle w:val="Hyperlink"/>
            <w:rFonts w:hint="cs"/>
            <w:sz w:val="20"/>
            <w:rtl/>
          </w:rPr>
          <w:t>תש</w:t>
        </w:r>
        <w:r w:rsidR="00A544B8" w:rsidRPr="004F50DE">
          <w:rPr>
            <w:rStyle w:val="Hyperlink"/>
            <w:rFonts w:hint="cs"/>
            <w:sz w:val="20"/>
            <w:rtl/>
          </w:rPr>
          <w:t>"ף</w:t>
        </w:r>
        <w:r w:rsidRPr="004F50DE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4F50DE">
          <w:rPr>
            <w:rStyle w:val="Hyperlink"/>
            <w:rFonts w:hint="cs"/>
            <w:sz w:val="20"/>
            <w:rtl/>
          </w:rPr>
          <w:t>8</w:t>
        </w:r>
        <w:r w:rsidR="001C0AC5" w:rsidRPr="004F50DE">
          <w:rPr>
            <w:rStyle w:val="Hyperlink"/>
            <w:rFonts w:hint="cs"/>
            <w:sz w:val="20"/>
            <w:rtl/>
          </w:rPr>
          <w:t>2</w:t>
        </w:r>
        <w:r w:rsidR="00A544B8" w:rsidRPr="004F50DE">
          <w:rPr>
            <w:rStyle w:val="Hyperlink"/>
            <w:rFonts w:hint="cs"/>
            <w:sz w:val="20"/>
            <w:rtl/>
          </w:rPr>
          <w:t>8</w:t>
        </w:r>
        <w:r w:rsidR="00290797" w:rsidRPr="004F50DE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290797">
        <w:rPr>
          <w:rFonts w:hint="cs"/>
          <w:sz w:val="20"/>
          <w:rtl/>
        </w:rPr>
        <w:t>11</w:t>
      </w:r>
      <w:r w:rsidR="00527A44">
        <w:rPr>
          <w:rFonts w:hint="cs"/>
          <w:sz w:val="20"/>
          <w:rtl/>
        </w:rPr>
        <w:t>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290797">
        <w:rPr>
          <w:rFonts w:hint="cs"/>
          <w:sz w:val="20"/>
          <w:rtl/>
        </w:rPr>
        <w:t>10</w:t>
      </w:r>
      <w:r w:rsidR="001826AB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F76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45CEF8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5CED7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18B9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1826AB">
      <w:rPr>
        <w:rFonts w:hAnsi="FrankRuehl" w:cs="FrankRuehl" w:hint="cs"/>
        <w:color w:val="000000"/>
        <w:sz w:val="28"/>
        <w:szCs w:val="28"/>
        <w:rtl/>
      </w:rPr>
      <w:t>נחל תבור הרחבה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1826AB">
      <w:rPr>
        <w:rFonts w:hAnsi="FrankRuehl" w:cs="FrankRuehl" w:hint="cs"/>
        <w:color w:val="000000"/>
        <w:sz w:val="28"/>
        <w:szCs w:val="28"/>
        <w:rtl/>
      </w:rPr>
      <w:t>ג/14610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14:paraId="1A324D5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CEF90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11F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50DE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6D05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7F3DF4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376A0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2987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2F25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45299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40F3C8"/>
  <w15:chartTrackingRefBased/>
  <w15:docId w15:val="{CEF1B7B7-AAA0-4314-8426-9875A6B4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3290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תבור הרחבה, לפי תכנית מס' ג/14610), תש"ף-2019</vt:lpwstr>
  </property>
  <property fmtid="{D5CDD505-2E9C-101B-9397-08002B2CF9AE}" pid="5" name="LAWNUMBER">
    <vt:lpwstr>0481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http://www.nevo.co.il/Law_word/law06/tak-8289.pdf;‎רשומות - תקנות כלליות#פורסמה ק"ת תש"ף מס' ‏‏8289 #מיום 11.11.2019 עמ' 108‏</vt:lpwstr>
  </property>
</Properties>
</file>