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05E7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F2663">
        <w:rPr>
          <w:rFonts w:hint="cs"/>
          <w:rtl/>
        </w:rPr>
        <w:t xml:space="preserve">שמורת טבע </w:t>
      </w:r>
      <w:r w:rsidR="007A4679">
        <w:rPr>
          <w:rFonts w:hint="cs"/>
          <w:rtl/>
        </w:rPr>
        <w:t xml:space="preserve">סנסן הרחבה </w:t>
      </w:r>
      <w:r w:rsidR="008F2663">
        <w:rPr>
          <w:rFonts w:hint="cs"/>
          <w:rtl/>
        </w:rPr>
        <w:t xml:space="preserve">לפי תכנית </w:t>
      </w:r>
      <w:r w:rsidR="009070AD">
        <w:rPr>
          <w:rFonts w:hint="cs"/>
          <w:rtl/>
        </w:rPr>
        <w:t xml:space="preserve">מס' </w:t>
      </w:r>
      <w:r w:rsidR="007A4679">
        <w:rPr>
          <w:rFonts w:hint="cs"/>
          <w:rtl/>
        </w:rPr>
        <w:t>מי/1031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48A81F8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4CF1347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7237E5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90549" w:rsidRPr="00890549" w14:paraId="4D686AA1" w14:textId="77777777" w:rsidTr="008905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B26051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25CA4F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1CF0C18" w14:textId="77777777" w:rsidR="00890549" w:rsidRPr="00890549" w:rsidRDefault="00890549" w:rsidP="008905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905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0FD4ED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90549" w:rsidRPr="00890549" w14:paraId="050208B6" w14:textId="77777777" w:rsidTr="008905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CF76EF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7127D7F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B6566B3" w14:textId="77777777" w:rsidR="00890549" w:rsidRPr="00890549" w:rsidRDefault="00890549" w:rsidP="008905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905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21BAA5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90549" w:rsidRPr="00890549" w14:paraId="4F0A6776" w14:textId="77777777" w:rsidTr="008905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14ED82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FE86154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0EAA9D6" w14:textId="77777777" w:rsidR="00890549" w:rsidRPr="00890549" w:rsidRDefault="00890549" w:rsidP="008905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905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8233CF" w14:textId="77777777" w:rsidR="00890549" w:rsidRPr="00890549" w:rsidRDefault="00890549" w:rsidP="008905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D2FFCD9" w14:textId="77777777" w:rsidR="009C432F" w:rsidRDefault="009C432F">
      <w:pPr>
        <w:pStyle w:val="big-header"/>
        <w:ind w:left="0" w:right="1134"/>
        <w:rPr>
          <w:rtl/>
        </w:rPr>
      </w:pPr>
    </w:p>
    <w:p w14:paraId="1503E8A7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A4679">
        <w:rPr>
          <w:rFonts w:hint="cs"/>
          <w:rtl/>
        </w:rPr>
        <w:t>שמורת טבע סנסן הרחבה לפי תכנית מס' מי/1031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5200FDA6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DC3BF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B0F9EE0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23B553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6923059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F266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B7182C">
        <w:rPr>
          <w:rStyle w:val="default"/>
          <w:rFonts w:cs="FrankRuehl" w:hint="cs"/>
          <w:rtl/>
        </w:rPr>
        <w:t>מדרום מערב</w:t>
      </w:r>
      <w:r w:rsidR="009070AD">
        <w:rPr>
          <w:rStyle w:val="default"/>
          <w:rFonts w:cs="FrankRuehl" w:hint="cs"/>
          <w:rtl/>
        </w:rPr>
        <w:t xml:space="preserve"> </w:t>
      </w:r>
      <w:r w:rsidR="00B7182C">
        <w:rPr>
          <w:rStyle w:val="default"/>
          <w:rFonts w:cs="FrankRuehl" w:hint="cs"/>
          <w:rtl/>
        </w:rPr>
        <w:t>לצור הדסה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DC3BF2">
        <w:rPr>
          <w:rStyle w:val="default"/>
          <w:rFonts w:cs="FrankRuehl" w:hint="cs"/>
          <w:rtl/>
        </w:rPr>
        <w:t>ירוקים</w:t>
      </w:r>
      <w:r w:rsidR="00B7182C">
        <w:rPr>
          <w:rStyle w:val="default"/>
          <w:rFonts w:cs="FrankRuehl" w:hint="cs"/>
          <w:rtl/>
        </w:rPr>
        <w:t xml:space="preserve"> ומוקף בקו חום עבה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C3BF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ש/</w:t>
      </w:r>
      <w:r w:rsidR="009070AD">
        <w:rPr>
          <w:rStyle w:val="default"/>
          <w:rFonts w:cs="FrankRuehl" w:hint="cs"/>
          <w:rtl/>
        </w:rPr>
        <w:t>יר/</w:t>
      </w:r>
      <w:r w:rsidR="00B7182C">
        <w:rPr>
          <w:rStyle w:val="default"/>
          <w:rFonts w:cs="FrankRuehl" w:hint="cs"/>
          <w:rtl/>
        </w:rPr>
        <w:t>מי/1031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B7182C">
        <w:rPr>
          <w:rStyle w:val="default"/>
          <w:rFonts w:cs="FrankRuehl" w:hint="cs"/>
          <w:rtl/>
        </w:rPr>
        <w:t>10,00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B7182C">
        <w:rPr>
          <w:rStyle w:val="default"/>
          <w:rFonts w:cs="FrankRuehl" w:hint="cs"/>
          <w:rtl/>
        </w:rPr>
        <w:t>כ"ו בתמוז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B7182C">
        <w:rPr>
          <w:rStyle w:val="default"/>
          <w:rFonts w:cs="FrankRuehl" w:hint="cs"/>
          <w:rtl/>
        </w:rPr>
        <w:t>20 ביולי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14EBB7B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941DFE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6FB0E3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</w:t>
      </w:r>
      <w:r w:rsidR="00E40371">
        <w:rPr>
          <w:rStyle w:val="default"/>
          <w:rFonts w:cs="FrankRuehl" w:hint="cs"/>
          <w:rtl/>
        </w:rPr>
        <w:t>בלשכת התכנון המחוזית ירושלים</w:t>
      </w:r>
      <w:r w:rsidR="009070AD">
        <w:rPr>
          <w:rStyle w:val="default"/>
          <w:rFonts w:cs="FrankRuehl" w:hint="cs"/>
          <w:rtl/>
        </w:rPr>
        <w:t xml:space="preserve"> בירושלים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E40371">
        <w:rPr>
          <w:rStyle w:val="default"/>
          <w:rFonts w:cs="FrankRuehl" w:hint="cs"/>
          <w:rtl/>
        </w:rPr>
        <w:t>מטה יהודה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47B6227" w14:textId="77777777" w:rsidR="00B7182C" w:rsidRDefault="00B718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7177C4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680C6EF2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0092476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</w:t>
      </w:r>
      <w:r w:rsidR="0071620A">
        <w:rPr>
          <w:rStyle w:val="default"/>
          <w:rFonts w:cs="FrankRuehl" w:hint="cs"/>
          <w:rtl/>
        </w:rPr>
        <w:t>המועצה האזורית מטה יהודה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71620A">
        <w:rPr>
          <w:rStyle w:val="default"/>
          <w:rFonts w:cs="FrankRuehl" w:hint="cs"/>
          <w:rtl/>
        </w:rPr>
        <w:t>מי/1031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71620A">
        <w:rPr>
          <w:rStyle w:val="default"/>
          <w:rFonts w:cs="FrankRuehl" w:hint="cs"/>
          <w:rtl/>
        </w:rPr>
        <w:t>6640</w:t>
      </w:r>
      <w:r>
        <w:rPr>
          <w:rStyle w:val="default"/>
          <w:rFonts w:cs="FrankRuehl" w:hint="cs"/>
          <w:rtl/>
        </w:rPr>
        <w:t xml:space="preserve">, מיום </w:t>
      </w:r>
      <w:r w:rsidR="0071620A">
        <w:rPr>
          <w:rStyle w:val="default"/>
          <w:rFonts w:cs="FrankRuehl" w:hint="cs"/>
          <w:rtl/>
        </w:rPr>
        <w:t>ל'</w:t>
      </w:r>
      <w:r w:rsidR="009070AD">
        <w:rPr>
          <w:rStyle w:val="default"/>
          <w:rFonts w:cs="FrankRuehl" w:hint="cs"/>
          <w:rtl/>
        </w:rPr>
        <w:t xml:space="preserve"> באב התש</w:t>
      </w:r>
      <w:r w:rsidR="0071620A">
        <w:rPr>
          <w:rStyle w:val="default"/>
          <w:rFonts w:cs="FrankRuehl" w:hint="cs"/>
          <w:rtl/>
        </w:rPr>
        <w:t>ע"ג</w:t>
      </w:r>
      <w:r w:rsidR="009070AD">
        <w:rPr>
          <w:rStyle w:val="default"/>
          <w:rFonts w:cs="FrankRuehl" w:hint="cs"/>
          <w:rtl/>
        </w:rPr>
        <w:t xml:space="preserve"> (</w:t>
      </w:r>
      <w:r w:rsidR="0071620A">
        <w:rPr>
          <w:rStyle w:val="default"/>
          <w:rFonts w:cs="FrankRuehl" w:hint="cs"/>
          <w:rtl/>
        </w:rPr>
        <w:t>6</w:t>
      </w:r>
      <w:r w:rsidR="009070AD">
        <w:rPr>
          <w:rStyle w:val="default"/>
          <w:rFonts w:cs="FrankRuehl" w:hint="cs"/>
          <w:rtl/>
        </w:rPr>
        <w:t xml:space="preserve"> באוגוסט 20</w:t>
      </w:r>
      <w:r w:rsidR="0071620A">
        <w:rPr>
          <w:rStyle w:val="default"/>
          <w:rFonts w:cs="FrankRuehl" w:hint="cs"/>
          <w:rtl/>
        </w:rPr>
        <w:t>13</w:t>
      </w:r>
      <w:r w:rsidR="00DC3BF2">
        <w:rPr>
          <w:rStyle w:val="default"/>
          <w:rFonts w:cs="FrankRuehl" w:hint="cs"/>
          <w:rtl/>
        </w:rPr>
        <w:t xml:space="preserve">), עמ' </w:t>
      </w:r>
      <w:r w:rsidR="0071620A">
        <w:rPr>
          <w:rStyle w:val="default"/>
          <w:rFonts w:cs="FrankRuehl" w:hint="cs"/>
          <w:rtl/>
        </w:rPr>
        <w:t>7260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39C8A7F2" w14:textId="77777777" w:rsidR="00514AE2" w:rsidRDefault="00EF2AD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1620A">
        <w:rPr>
          <w:rStyle w:val="default"/>
          <w:rFonts w:cs="FrankRuehl" w:hint="cs"/>
          <w:rtl/>
        </w:rPr>
        <w:t>29803</w:t>
      </w:r>
      <w:r w:rsidR="0088523B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/>
          <w:rtl/>
        </w:rPr>
        <w:t>–</w:t>
      </w:r>
      <w:r w:rsidR="0088523B">
        <w:rPr>
          <w:rStyle w:val="default"/>
          <w:rFonts w:cs="FrankRuehl" w:hint="cs"/>
          <w:rtl/>
        </w:rPr>
        <w:t xml:space="preserve"> </w:t>
      </w:r>
      <w:r w:rsidR="0071620A">
        <w:rPr>
          <w:rStyle w:val="default"/>
          <w:rFonts w:cs="FrankRuehl" w:hint="cs"/>
          <w:rtl/>
        </w:rPr>
        <w:t>חלקי חלקה 15</w:t>
      </w:r>
      <w:r w:rsidR="00B06562">
        <w:rPr>
          <w:rStyle w:val="default"/>
          <w:rFonts w:cs="FrankRuehl" w:hint="cs"/>
          <w:rtl/>
        </w:rPr>
        <w:t>;</w:t>
      </w:r>
    </w:p>
    <w:p w14:paraId="61DFCA06" w14:textId="77777777" w:rsidR="0071620A" w:rsidRDefault="0071620A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5-3, 8, 9;</w:t>
      </w:r>
    </w:p>
    <w:p w14:paraId="61564396" w14:textId="77777777" w:rsidR="0071620A" w:rsidRDefault="0071620A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5, 9, 10;</w:t>
      </w:r>
    </w:p>
    <w:p w14:paraId="456BB18D" w14:textId="77777777" w:rsidR="0071620A" w:rsidRDefault="0071620A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29808 </w:t>
      </w:r>
      <w:r w:rsidR="008A430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A430F">
        <w:rPr>
          <w:rStyle w:val="default"/>
          <w:rFonts w:cs="FrankRuehl" w:hint="cs"/>
          <w:rtl/>
        </w:rPr>
        <w:t>חלקי חלקות 2, 3, 5;</w:t>
      </w:r>
    </w:p>
    <w:p w14:paraId="4F8742D1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29809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3; חלקי חלקות 1, 2, 4, 5;</w:t>
      </w:r>
    </w:p>
    <w:p w14:paraId="131B288A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29810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2, 3; חלקי חלקה 1;</w:t>
      </w:r>
    </w:p>
    <w:p w14:paraId="13EEFD18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29811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2;</w:t>
      </w:r>
    </w:p>
    <w:p w14:paraId="527035B8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29813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2;</w:t>
      </w:r>
    </w:p>
    <w:p w14:paraId="35C9AFEE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29845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1; חלקי חלקות 5-3;</w:t>
      </w:r>
    </w:p>
    <w:p w14:paraId="156F205F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29862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15, 17;</w:t>
      </w:r>
    </w:p>
    <w:p w14:paraId="633986FF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29865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30FCBE1A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3; חלקי חלקה 4;</w:t>
      </w:r>
    </w:p>
    <w:p w14:paraId="6B15C0A3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3C8C1B36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29973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5, 6; חלקי חלקות 1, 3, 4, 7;</w:t>
      </w:r>
    </w:p>
    <w:p w14:paraId="65FCB2F8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34289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6, 12;</w:t>
      </w:r>
    </w:p>
    <w:p w14:paraId="2A6AB175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34290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14;</w:t>
      </w:r>
    </w:p>
    <w:p w14:paraId="5A26956B" w14:textId="77777777" w:rsidR="008A430F" w:rsidRDefault="008A430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34303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14, 16; חלקי חלקות 3-1, 11-9, 15.</w:t>
      </w:r>
    </w:p>
    <w:p w14:paraId="153F0164" w14:textId="77777777" w:rsidR="00B7182C" w:rsidRDefault="00B718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2512CD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4F022A" w14:textId="77777777" w:rsidR="009C432F" w:rsidRDefault="008A430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</w:t>
      </w:r>
      <w:r w:rsidR="00DC3BF2">
        <w:rPr>
          <w:rStyle w:val="default"/>
          <w:rFonts w:cs="FrankRuehl" w:hint="cs"/>
          <w:rtl/>
        </w:rPr>
        <w:t xml:space="preserve"> בתמוז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ביולי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2C12C7DF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678A7BD8" w14:textId="77777777" w:rsidR="00B7182C" w:rsidRPr="006E39E0" w:rsidRDefault="00B7182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BE096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7B788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2CBB127" w14:textId="77777777" w:rsidR="00890549" w:rsidRDefault="0089054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580467" w14:textId="77777777" w:rsidR="00890549" w:rsidRDefault="0089054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ADB817" w14:textId="77777777" w:rsidR="00890549" w:rsidRDefault="00890549" w:rsidP="008905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57C0792" w14:textId="77777777" w:rsidR="008F22EC" w:rsidRPr="00890549" w:rsidRDefault="008F22EC" w:rsidP="0089054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22EC" w:rsidRPr="0089054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952D" w14:textId="77777777" w:rsidR="000D1C2C" w:rsidRDefault="000D1C2C">
      <w:r>
        <w:separator/>
      </w:r>
    </w:p>
  </w:endnote>
  <w:endnote w:type="continuationSeparator" w:id="0">
    <w:p w14:paraId="3C51F0AA" w14:textId="77777777" w:rsidR="000D1C2C" w:rsidRDefault="000D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032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33A2D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5FC053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416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054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9EF008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0F37C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7531E" w14:textId="77777777" w:rsidR="000D1C2C" w:rsidRDefault="000D1C2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4818DA" w14:textId="77777777" w:rsidR="000D1C2C" w:rsidRDefault="000D1C2C">
      <w:r>
        <w:continuationSeparator/>
      </w:r>
    </w:p>
  </w:footnote>
  <w:footnote w:id="1">
    <w:p w14:paraId="4BCB97FE" w14:textId="77777777" w:rsidR="00C163B6" w:rsidRPr="00E31D0A" w:rsidRDefault="00E31D0A" w:rsidP="00C163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163B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163B6">
          <w:rPr>
            <w:rStyle w:val="Hyperlink"/>
            <w:rFonts w:hint="cs"/>
            <w:sz w:val="20"/>
            <w:rtl/>
          </w:rPr>
          <w:t>תשע</w:t>
        </w:r>
        <w:r w:rsidR="00FF53C1" w:rsidRPr="00C163B6">
          <w:rPr>
            <w:rStyle w:val="Hyperlink"/>
            <w:rFonts w:hint="cs"/>
            <w:sz w:val="20"/>
            <w:rtl/>
          </w:rPr>
          <w:t>"</w:t>
        </w:r>
        <w:r w:rsidR="00333CF3" w:rsidRPr="00C163B6">
          <w:rPr>
            <w:rStyle w:val="Hyperlink"/>
            <w:rFonts w:hint="cs"/>
            <w:sz w:val="20"/>
            <w:rtl/>
          </w:rPr>
          <w:t>ז</w:t>
        </w:r>
        <w:r w:rsidRPr="00C163B6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C163B6">
          <w:rPr>
            <w:rStyle w:val="Hyperlink"/>
            <w:rFonts w:hint="cs"/>
            <w:sz w:val="20"/>
            <w:rtl/>
          </w:rPr>
          <w:t>78</w:t>
        </w:r>
        <w:r w:rsidR="007A4679" w:rsidRPr="00C163B6">
          <w:rPr>
            <w:rStyle w:val="Hyperlink"/>
            <w:rFonts w:hint="cs"/>
            <w:sz w:val="20"/>
            <w:rtl/>
          </w:rPr>
          <w:t>59</w:t>
        </w:r>
      </w:hyperlink>
      <w:r>
        <w:rPr>
          <w:rFonts w:hint="cs"/>
          <w:sz w:val="20"/>
          <w:rtl/>
        </w:rPr>
        <w:t xml:space="preserve"> מיום </w:t>
      </w:r>
      <w:r w:rsidR="007A4679">
        <w:rPr>
          <w:rFonts w:hint="cs"/>
          <w:sz w:val="20"/>
          <w:rtl/>
        </w:rPr>
        <w:t>5.9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7A4679">
        <w:rPr>
          <w:rFonts w:hint="cs"/>
          <w:sz w:val="20"/>
          <w:rtl/>
        </w:rPr>
        <w:t>1726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1E76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98666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145CE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33E3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F26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7A4679">
      <w:rPr>
        <w:rFonts w:hAnsi="FrankRuehl" w:cs="FrankRuehl" w:hint="cs"/>
        <w:color w:val="000000"/>
        <w:sz w:val="28"/>
        <w:szCs w:val="28"/>
        <w:rtl/>
      </w:rPr>
      <w:t>סנסן הרחבה לפי תכנית מס' מי/1031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571584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76BE0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1C2C"/>
    <w:rsid w:val="000D7953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418A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E1003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90549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413D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163B6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3BF2"/>
    <w:rsid w:val="00DC539B"/>
    <w:rsid w:val="00DD4B99"/>
    <w:rsid w:val="00DD6CA8"/>
    <w:rsid w:val="00DD7033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730967"/>
  <w15:chartTrackingRefBased/>
  <w15:docId w15:val="{FE19E100-3635-404A-A0AC-290022A0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סנסן הרחבה לפי תכנית מס' מי/1031), תשע"ז-2017</vt:lpwstr>
  </property>
  <property fmtid="{D5CDD505-2E9C-101B-9397-08002B2CF9AE}" pid="5" name="LAWNUMBER">
    <vt:lpwstr>0444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http://www.nevo.co.il/Law_word/law06/tak-7859.pdf;‎רשומות - תקנות כלליות#פורסמה ק"ת תשע"ז ‏מס' 7859 #מיום 5.9.2017 עמ' 1726‏</vt:lpwstr>
  </property>
</Properties>
</file>