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8F2663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8F2663">
        <w:rPr>
          <w:rFonts w:hint="cs"/>
          <w:rtl/>
        </w:rPr>
        <w:t>שמורת טבע פארק הלס, לפי תכנית 491/02/7</w:t>
      </w:r>
      <w:r w:rsidR="00A23593">
        <w:rPr>
          <w:rFonts w:hint="cs"/>
          <w:rtl/>
        </w:rPr>
        <w:t>), תשע"</w:t>
      </w:r>
      <w:r w:rsidR="00333CF3">
        <w:rPr>
          <w:rFonts w:hint="cs"/>
          <w:rtl/>
        </w:rPr>
        <w:t>ז</w:t>
      </w:r>
      <w:r w:rsidR="009F4ED7">
        <w:rPr>
          <w:rFonts w:hint="cs"/>
          <w:rtl/>
        </w:rPr>
        <w:t>-201</w:t>
      </w:r>
      <w:r w:rsidR="0036219F">
        <w:rPr>
          <w:rFonts w:hint="cs"/>
          <w:rtl/>
        </w:rPr>
        <w:t>7</w:t>
      </w:r>
    </w:p>
    <w:p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53DA3" w:rsidRPr="00453DA3" w:rsidTr="00453DA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53DA3" w:rsidRPr="00453DA3" w:rsidRDefault="00453DA3" w:rsidP="00453DA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453DA3" w:rsidRPr="00453DA3" w:rsidRDefault="00453DA3" w:rsidP="00453DA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453DA3" w:rsidRPr="00453DA3" w:rsidRDefault="00453DA3" w:rsidP="00453DA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453DA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53DA3" w:rsidRPr="00453DA3" w:rsidRDefault="00453DA3" w:rsidP="00453DA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53DA3" w:rsidRPr="00453DA3" w:rsidTr="00453DA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53DA3" w:rsidRPr="00453DA3" w:rsidRDefault="00453DA3" w:rsidP="00453DA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453DA3" w:rsidRPr="00453DA3" w:rsidRDefault="00453DA3" w:rsidP="00453DA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453DA3" w:rsidRPr="00453DA3" w:rsidRDefault="00453DA3" w:rsidP="00453DA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453DA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53DA3" w:rsidRPr="00453DA3" w:rsidRDefault="00453DA3" w:rsidP="00453DA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53DA3" w:rsidRPr="00453DA3" w:rsidTr="00453DA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53DA3" w:rsidRPr="00453DA3" w:rsidRDefault="00453DA3" w:rsidP="00453DA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453DA3" w:rsidRPr="00453DA3" w:rsidRDefault="00453DA3" w:rsidP="00453DA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453DA3" w:rsidRPr="00453DA3" w:rsidRDefault="00453DA3" w:rsidP="00453DA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453DA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53DA3" w:rsidRPr="00453DA3" w:rsidRDefault="00453DA3" w:rsidP="00453DA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2E4507" w:rsidRDefault="009C432F" w:rsidP="008F2663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8F2663">
        <w:rPr>
          <w:rFonts w:hint="cs"/>
          <w:rtl/>
        </w:rPr>
        <w:t>שמורת טבע פארק הלס, לפי תכנית 491/02/7</w:t>
      </w:r>
      <w:r w:rsidR="0036219F">
        <w:rPr>
          <w:rFonts w:hint="cs"/>
          <w:rtl/>
        </w:rPr>
        <w:t>), תשע"ז-2017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333C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27146">
        <w:rPr>
          <w:rStyle w:val="default"/>
          <w:rFonts w:cs="FrankRuehl" w:hint="cs"/>
          <w:rtl/>
        </w:rPr>
        <w:t>השר להגנת הסביבה ולאחר ש</w:t>
      </w:r>
      <w:r w:rsidR="00A9410B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כאמור בסעיף 22(ב)(1), (2), (4) </w:t>
      </w:r>
      <w:r w:rsidR="00DC3BF2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227146" w:rsidRDefault="009C432F" w:rsidP="008F26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8F2663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</w:t>
      </w:r>
      <w:r w:rsidR="008F2663">
        <w:rPr>
          <w:rStyle w:val="default"/>
          <w:rFonts w:cs="FrankRuehl" w:hint="cs"/>
          <w:rtl/>
        </w:rPr>
        <w:t>בין צאלים לחצרים</w:t>
      </w:r>
      <w:r w:rsidR="00DC3BF2">
        <w:rPr>
          <w:rStyle w:val="default"/>
          <w:rFonts w:cs="FrankRuehl" w:hint="cs"/>
          <w:rtl/>
        </w:rPr>
        <w:t xml:space="preserve">, צבוע בירוק ומקווקו בקווים אלכסוניים </w:t>
      </w:r>
      <w:r w:rsidR="008F2663">
        <w:rPr>
          <w:rStyle w:val="default"/>
          <w:rFonts w:cs="FrankRuehl" w:hint="cs"/>
          <w:rtl/>
        </w:rPr>
        <w:t xml:space="preserve">ומצולבים </w:t>
      </w:r>
      <w:r w:rsidR="00DC3BF2">
        <w:rPr>
          <w:rStyle w:val="default"/>
          <w:rFonts w:cs="FrankRuehl" w:hint="cs"/>
          <w:rtl/>
        </w:rPr>
        <w:t xml:space="preserve">ירוקים ומוקף בקו </w:t>
      </w:r>
      <w:r w:rsidR="008F2663">
        <w:rPr>
          <w:rStyle w:val="default"/>
          <w:rFonts w:cs="FrankRuehl" w:hint="cs"/>
          <w:rtl/>
        </w:rPr>
        <w:t>שחור עבה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D31CF6">
        <w:rPr>
          <w:rStyle w:val="default"/>
          <w:rFonts w:cs="FrankRuehl" w:hint="cs"/>
          <w:rtl/>
        </w:rPr>
        <w:t>מס</w:t>
      </w:r>
      <w:r w:rsidR="00DC3BF2">
        <w:rPr>
          <w:rStyle w:val="default"/>
          <w:rFonts w:cs="FrankRuehl" w:hint="cs"/>
          <w:rtl/>
        </w:rPr>
        <w:t>'</w:t>
      </w:r>
      <w:r w:rsidR="00527B5D">
        <w:rPr>
          <w:rStyle w:val="default"/>
          <w:rFonts w:cs="FrankRuehl" w:hint="cs"/>
          <w:rtl/>
        </w:rPr>
        <w:t xml:space="preserve"> </w:t>
      </w:r>
      <w:r w:rsidR="008F2663">
        <w:rPr>
          <w:rStyle w:val="default"/>
          <w:rFonts w:cs="FrankRuehl" w:hint="cs"/>
          <w:rtl/>
        </w:rPr>
        <w:t>ש/דר/491/02/7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8F2663">
        <w:rPr>
          <w:rStyle w:val="default"/>
          <w:rFonts w:cs="FrankRuehl" w:hint="cs"/>
          <w:rtl/>
        </w:rPr>
        <w:t>20</w:t>
      </w:r>
      <w:r w:rsidR="00514AE2">
        <w:rPr>
          <w:rStyle w:val="default"/>
          <w:rFonts w:cs="FrankRuehl" w:hint="cs"/>
          <w:rtl/>
        </w:rPr>
        <w:t>,0</w:t>
      </w:r>
      <w:r w:rsidR="00A70F47">
        <w:rPr>
          <w:rStyle w:val="default"/>
          <w:rFonts w:cs="FrankRuehl" w:hint="cs"/>
          <w:rtl/>
        </w:rPr>
        <w:t>0</w:t>
      </w:r>
      <w:r w:rsidR="00527B5D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DC3BF2">
        <w:rPr>
          <w:rStyle w:val="default"/>
          <w:rFonts w:cs="FrankRuehl" w:hint="cs"/>
          <w:rtl/>
        </w:rPr>
        <w:t>א' בתמוז</w:t>
      </w:r>
      <w:r w:rsidR="00A70F47">
        <w:rPr>
          <w:rStyle w:val="default"/>
          <w:rFonts w:cs="FrankRuehl" w:hint="cs"/>
          <w:rtl/>
        </w:rPr>
        <w:t xml:space="preserve"> התשע"</w:t>
      </w:r>
      <w:r w:rsidR="00333CF3">
        <w:rPr>
          <w:rStyle w:val="default"/>
          <w:rFonts w:cs="FrankRuehl" w:hint="cs"/>
          <w:rtl/>
        </w:rPr>
        <w:t>ז</w:t>
      </w:r>
      <w:r w:rsidR="00A70F47">
        <w:rPr>
          <w:rStyle w:val="default"/>
          <w:rFonts w:cs="FrankRuehl" w:hint="cs"/>
          <w:rtl/>
        </w:rPr>
        <w:t xml:space="preserve"> (</w:t>
      </w:r>
      <w:r w:rsidR="00DC3BF2">
        <w:rPr>
          <w:rStyle w:val="default"/>
          <w:rFonts w:cs="FrankRuehl" w:hint="cs"/>
          <w:rtl/>
        </w:rPr>
        <w:t>25 ביוני</w:t>
      </w:r>
      <w:r w:rsidR="0036219F">
        <w:rPr>
          <w:rStyle w:val="default"/>
          <w:rFonts w:cs="FrankRuehl" w:hint="cs"/>
          <w:rtl/>
        </w:rPr>
        <w:t xml:space="preserve"> 2017</w:t>
      </w:r>
      <w:r w:rsidR="00527B5D">
        <w:rPr>
          <w:rStyle w:val="default"/>
          <w:rFonts w:cs="FrankRuehl" w:hint="cs"/>
          <w:rtl/>
        </w:rPr>
        <w:t xml:space="preserve">) ביד שר </w:t>
      </w:r>
      <w:r w:rsidR="00A70F47">
        <w:rPr>
          <w:rStyle w:val="default"/>
          <w:rFonts w:cs="FrankRuehl" w:hint="cs"/>
          <w:rtl/>
        </w:rPr>
        <w:t>האוצר</w:t>
      </w:r>
      <w:r w:rsidR="00527B5D">
        <w:rPr>
          <w:rStyle w:val="default"/>
          <w:rFonts w:cs="FrankRuehl" w:hint="cs"/>
          <w:rtl/>
        </w:rPr>
        <w:t>,</w:t>
      </w:r>
      <w:r w:rsidR="00B64FE5">
        <w:rPr>
          <w:rStyle w:val="default"/>
          <w:rFonts w:cs="FrankRuehl" w:hint="cs"/>
          <w:rtl/>
        </w:rPr>
        <w:t xml:space="preserve"> ה</w:t>
      </w:r>
      <w:r w:rsidR="00EF2AD9">
        <w:rPr>
          <w:rStyle w:val="default"/>
          <w:rFonts w:cs="FrankRuehl" w:hint="cs"/>
          <w:rtl/>
        </w:rPr>
        <w:t>וא</w:t>
      </w:r>
      <w:r w:rsidR="00B64FE5">
        <w:rPr>
          <w:rStyle w:val="default"/>
          <w:rFonts w:cs="FrankRuehl" w:hint="cs"/>
          <w:rtl/>
        </w:rPr>
        <w:t xml:space="preserve"> </w:t>
      </w:r>
      <w:r w:rsidR="008F2663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8F26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1C6B3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A70F47">
        <w:rPr>
          <w:rStyle w:val="default"/>
          <w:rFonts w:cs="FrankRuehl" w:hint="cs"/>
          <w:rtl/>
        </w:rPr>
        <w:t>ב</w:t>
      </w:r>
      <w:r w:rsidR="00DC3BF2">
        <w:rPr>
          <w:rStyle w:val="default"/>
          <w:rFonts w:cs="FrankRuehl" w:hint="cs"/>
          <w:rtl/>
        </w:rPr>
        <w:t xml:space="preserve">משרדי </w:t>
      </w:r>
      <w:r w:rsidR="00A70F47">
        <w:rPr>
          <w:rStyle w:val="default"/>
          <w:rFonts w:cs="FrankRuehl" w:hint="cs"/>
          <w:rtl/>
        </w:rPr>
        <w:t>מינהל התכנון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26DD1">
        <w:rPr>
          <w:rStyle w:val="default"/>
          <w:rFonts w:cs="FrankRuehl" w:hint="cs"/>
          <w:rtl/>
        </w:rPr>
        <w:t xml:space="preserve">, במשרדי הממונה על מחוז </w:t>
      </w:r>
      <w:r w:rsidR="008F2663">
        <w:rPr>
          <w:rStyle w:val="default"/>
          <w:rFonts w:cs="FrankRuehl" w:hint="cs"/>
          <w:rtl/>
        </w:rPr>
        <w:t>הדרום בבאר שבע</w:t>
      </w:r>
      <w:r w:rsidR="00DC3BF2">
        <w:rPr>
          <w:rStyle w:val="default"/>
          <w:rFonts w:cs="FrankRuehl" w:hint="cs"/>
          <w:rtl/>
        </w:rPr>
        <w:t>,</w:t>
      </w:r>
      <w:r w:rsidR="00333CF3">
        <w:rPr>
          <w:rStyle w:val="default"/>
          <w:rFonts w:cs="FrankRuehl" w:hint="cs"/>
          <w:rtl/>
        </w:rPr>
        <w:t xml:space="preserve"> במשרדי הוועדה המקומית לתכנון ולבנייה </w:t>
      </w:r>
      <w:r w:rsidR="008F2663">
        <w:rPr>
          <w:rStyle w:val="default"/>
          <w:rFonts w:cs="FrankRuehl" w:hint="cs"/>
          <w:rtl/>
        </w:rPr>
        <w:t>נגב מערבי</w:t>
      </w:r>
      <w:r w:rsidR="00333CF3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7E77B3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527B5D" w:rsidRDefault="00527B5D" w:rsidP="008F26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333CF3">
        <w:rPr>
          <w:rStyle w:val="default"/>
          <w:rFonts w:cs="FrankRuehl" w:hint="cs"/>
          <w:rtl/>
        </w:rPr>
        <w:t xml:space="preserve">שטח השיפוט של המועצה האזורית </w:t>
      </w:r>
      <w:r w:rsidR="008F2663">
        <w:rPr>
          <w:rStyle w:val="default"/>
          <w:rFonts w:cs="FrankRuehl" w:hint="cs"/>
          <w:rtl/>
        </w:rPr>
        <w:t>מרחבים ובתחום שטח השיפוט של המועצה האזורית אשכול</w:t>
      </w:r>
      <w:r w:rsidR="00B06562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333CF3">
        <w:rPr>
          <w:rStyle w:val="default"/>
          <w:rFonts w:cs="FrankRuehl" w:hint="cs"/>
          <w:rtl/>
        </w:rPr>
        <w:t>שב</w:t>
      </w:r>
      <w:r w:rsidR="008F2663">
        <w:rPr>
          <w:rStyle w:val="default"/>
          <w:rFonts w:cs="FrankRuehl" w:hint="cs"/>
          <w:rtl/>
        </w:rPr>
        <w:t>הם</w:t>
      </w:r>
      <w:r w:rsidR="00333CF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8F2663">
        <w:rPr>
          <w:rStyle w:val="default"/>
          <w:rFonts w:cs="FrankRuehl" w:hint="cs"/>
          <w:rtl/>
        </w:rPr>
        <w:t>491/02/7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7E77B3">
        <w:rPr>
          <w:rStyle w:val="default"/>
          <w:rFonts w:cs="FrankRuehl" w:hint="cs"/>
          <w:rtl/>
        </w:rPr>
        <w:t xml:space="preserve"> </w:t>
      </w:r>
      <w:r w:rsidR="008F2663">
        <w:rPr>
          <w:rStyle w:val="default"/>
          <w:rFonts w:cs="FrankRuehl" w:hint="cs"/>
          <w:rtl/>
        </w:rPr>
        <w:t>6729</w:t>
      </w:r>
      <w:r>
        <w:rPr>
          <w:rStyle w:val="default"/>
          <w:rFonts w:cs="FrankRuehl" w:hint="cs"/>
          <w:rtl/>
        </w:rPr>
        <w:t xml:space="preserve">, מיום </w:t>
      </w:r>
      <w:r w:rsidR="008F2663">
        <w:rPr>
          <w:rStyle w:val="default"/>
          <w:rFonts w:cs="FrankRuehl" w:hint="cs"/>
          <w:rtl/>
        </w:rPr>
        <w:t>ו' בשבט התשע"ד (7 בינואר 2014</w:t>
      </w:r>
      <w:r w:rsidR="00DC3BF2">
        <w:rPr>
          <w:rStyle w:val="default"/>
          <w:rFonts w:cs="FrankRuehl" w:hint="cs"/>
          <w:rtl/>
        </w:rPr>
        <w:t xml:space="preserve">), עמ' </w:t>
      </w:r>
      <w:r w:rsidR="008F2663">
        <w:rPr>
          <w:rStyle w:val="default"/>
          <w:rFonts w:cs="FrankRuehl" w:hint="cs"/>
          <w:rtl/>
        </w:rPr>
        <w:t>2803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וה</w:t>
      </w:r>
      <w:r w:rsidR="00EF2AD9">
        <w:rPr>
          <w:rStyle w:val="default"/>
          <w:rFonts w:cs="FrankRuehl" w:hint="cs"/>
          <w:rtl/>
        </w:rPr>
        <w:t>וא</w:t>
      </w:r>
      <w:r w:rsidR="00F11172">
        <w:rPr>
          <w:rStyle w:val="default"/>
          <w:rFonts w:cs="FrankRuehl" w:hint="cs"/>
          <w:rtl/>
        </w:rPr>
        <w:t xml:space="preserve"> כולל גוש</w:t>
      </w:r>
      <w:r w:rsidR="00B06562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B06562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ת רישום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:rsidR="00514AE2" w:rsidRDefault="00EF2AD9" w:rsidP="008F26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8F2663">
        <w:rPr>
          <w:rStyle w:val="default"/>
          <w:rFonts w:cs="FrankRuehl" w:hint="cs"/>
          <w:rtl/>
        </w:rPr>
        <w:t>100200</w:t>
      </w:r>
      <w:r w:rsidR="00E5706A">
        <w:rPr>
          <w:rStyle w:val="default"/>
          <w:rFonts w:cs="FrankRuehl" w:hint="cs"/>
          <w:rtl/>
        </w:rPr>
        <w:t xml:space="preserve"> </w:t>
      </w:r>
      <w:r w:rsidR="00E5706A">
        <w:rPr>
          <w:rStyle w:val="default"/>
          <w:rFonts w:cs="FrankRuehl"/>
          <w:rtl/>
        </w:rPr>
        <w:t>–</w:t>
      </w:r>
      <w:r w:rsidR="00E5706A">
        <w:rPr>
          <w:rStyle w:val="default"/>
          <w:rFonts w:cs="FrankRuehl" w:hint="cs"/>
          <w:rtl/>
        </w:rPr>
        <w:t xml:space="preserve"> </w:t>
      </w:r>
      <w:r w:rsidR="008F2663">
        <w:rPr>
          <w:rStyle w:val="default"/>
          <w:rFonts w:cs="FrankRuehl" w:hint="cs"/>
          <w:rtl/>
        </w:rPr>
        <w:t>לא מוסדר</w:t>
      </w:r>
      <w:r w:rsidR="00B06562">
        <w:rPr>
          <w:rStyle w:val="default"/>
          <w:rFonts w:cs="FrankRuehl" w:hint="cs"/>
          <w:rtl/>
        </w:rPr>
        <w:t>;</w:t>
      </w:r>
    </w:p>
    <w:p w:rsidR="008F2663" w:rsidRDefault="008F2663" w:rsidP="008F26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100200/1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1;</w:t>
      </w:r>
    </w:p>
    <w:p w:rsidR="008F2663" w:rsidRDefault="008F2663" w:rsidP="008F26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100201/1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1;</w:t>
      </w:r>
    </w:p>
    <w:p w:rsidR="008F2663" w:rsidRDefault="008F2663" w:rsidP="008F26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100202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לא מוסדר;</w:t>
      </w:r>
    </w:p>
    <w:p w:rsidR="008F2663" w:rsidRDefault="008F2663" w:rsidP="008F26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100202/3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1, 2, 3;</w:t>
      </w:r>
    </w:p>
    <w:p w:rsidR="008F2663" w:rsidRDefault="008F2663" w:rsidP="008F26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100203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בהסדר;</w:t>
      </w:r>
    </w:p>
    <w:p w:rsidR="008F2663" w:rsidRDefault="008F2663" w:rsidP="008F26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100204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לא מוסדר;</w:t>
      </w:r>
    </w:p>
    <w:p w:rsidR="008F2663" w:rsidRDefault="008F2663" w:rsidP="008F26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100204/1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חלקי 1;</w:t>
      </w:r>
    </w:p>
    <w:p w:rsidR="008F2663" w:rsidRDefault="008F2663" w:rsidP="008F26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100204/2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11, 12, 16, 21, 24; חלקי חלקות 1, 4, 5, 7, 8, 10, 15, 17, 22, 23;</w:t>
      </w:r>
    </w:p>
    <w:p w:rsidR="008F2663" w:rsidRDefault="008F2663" w:rsidP="008F26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100205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לא מוסדר;</w:t>
      </w:r>
    </w:p>
    <w:p w:rsidR="008F2663" w:rsidRDefault="008F2663" w:rsidP="008F26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100205/1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1;</w:t>
      </w:r>
    </w:p>
    <w:p w:rsidR="008F2663" w:rsidRDefault="008F2663" w:rsidP="008F26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100206/1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1;</w:t>
      </w:r>
    </w:p>
    <w:p w:rsidR="008F2663" w:rsidRDefault="008F2663" w:rsidP="008F26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100207/1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1;</w:t>
      </w:r>
    </w:p>
    <w:p w:rsidR="008F2663" w:rsidRDefault="008F2663" w:rsidP="008F26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100208/1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1;</w:t>
      </w:r>
    </w:p>
    <w:p w:rsidR="008F2663" w:rsidRDefault="008F2663" w:rsidP="008F26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100209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לא מוסדר;</w:t>
      </w:r>
    </w:p>
    <w:p w:rsidR="008F2663" w:rsidRDefault="008F2663" w:rsidP="008F26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100209/2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1;</w:t>
      </w:r>
    </w:p>
    <w:p w:rsidR="008F2663" w:rsidRDefault="008F2663" w:rsidP="008F26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100995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1;</w:t>
      </w:r>
    </w:p>
    <w:p w:rsidR="00591FAC" w:rsidRDefault="00591FAC" w:rsidP="008F26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101005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1;</w:t>
      </w:r>
    </w:p>
    <w:p w:rsidR="008F2663" w:rsidRDefault="00591FAC" w:rsidP="008F26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101039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לא מוסדר;</w:t>
      </w:r>
    </w:p>
    <w:p w:rsidR="00591FAC" w:rsidRDefault="00591FAC" w:rsidP="008F26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 xml:space="preserve">גוש 101047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לא מוסדר;</w:t>
      </w:r>
    </w:p>
    <w:p w:rsidR="00591FAC" w:rsidRDefault="00591FAC" w:rsidP="008F26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400107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1;</w:t>
      </w:r>
    </w:p>
    <w:p w:rsidR="00591FAC" w:rsidRDefault="00591FAC" w:rsidP="008F26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400391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גוש במלואו;</w:t>
      </w:r>
    </w:p>
    <w:p w:rsidR="00591FAC" w:rsidRDefault="00591FAC" w:rsidP="008F26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400595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גוש במלואו;</w:t>
      </w:r>
    </w:p>
    <w:p w:rsidR="00591FAC" w:rsidRDefault="00591FAC" w:rsidP="008F26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400985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בהסדר;</w:t>
      </w:r>
    </w:p>
    <w:p w:rsidR="00591FAC" w:rsidRDefault="00591FAC" w:rsidP="008F26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401012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גוש במלואו.</w:t>
      </w:r>
    </w:p>
    <w:p w:rsidR="008F2663" w:rsidRDefault="008F26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27B5D" w:rsidRDefault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DC3BF2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א' בתמוז</w:t>
      </w:r>
      <w:r w:rsidR="00E80A64">
        <w:rPr>
          <w:rStyle w:val="default"/>
          <w:rFonts w:cs="FrankRuehl" w:hint="cs"/>
          <w:rtl/>
        </w:rPr>
        <w:t xml:space="preserve"> התשע"</w:t>
      </w:r>
      <w:r w:rsidR="00333CF3">
        <w:rPr>
          <w:rStyle w:val="default"/>
          <w:rFonts w:cs="FrankRuehl" w:hint="cs"/>
          <w:rtl/>
        </w:rPr>
        <w:t>ז</w:t>
      </w:r>
      <w:r w:rsidR="00E80A64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25 ביוני</w:t>
      </w:r>
      <w:r w:rsidR="0036219F">
        <w:rPr>
          <w:rStyle w:val="default"/>
          <w:rFonts w:cs="FrankRuehl" w:hint="cs"/>
          <w:rtl/>
        </w:rPr>
        <w:t xml:space="preserve"> 2017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A70F47">
        <w:rPr>
          <w:rStyle w:val="default"/>
          <w:rFonts w:cs="FrankRuehl" w:hint="cs"/>
          <w:rtl/>
        </w:rPr>
        <w:t>משה כחלון</w:t>
      </w:r>
    </w:p>
    <w:p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A70F47">
        <w:rPr>
          <w:rFonts w:hint="cs"/>
          <w:rtl/>
        </w:rPr>
        <w:t>האוצר</w:t>
      </w:r>
    </w:p>
    <w:p w:rsidR="00DC3BF2" w:rsidRPr="006E39E0" w:rsidRDefault="00DC3BF2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453DA3" w:rsidRDefault="00453DA3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53DA3" w:rsidRDefault="00453DA3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53DA3" w:rsidRDefault="00453DA3" w:rsidP="00453DA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AF6872" w:rsidRPr="00453DA3" w:rsidRDefault="00AF6872" w:rsidP="00453DA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F6872" w:rsidRPr="00453DA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7A84" w:rsidRDefault="00347A84">
      <w:r>
        <w:separator/>
      </w:r>
    </w:p>
  </w:endnote>
  <w:endnote w:type="continuationSeparator" w:id="0">
    <w:p w:rsidR="00347A84" w:rsidRDefault="00347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53DA3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7A84" w:rsidRDefault="00347A84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347A84" w:rsidRDefault="00347A84">
      <w:r>
        <w:continuationSeparator/>
      </w:r>
    </w:p>
  </w:footnote>
  <w:footnote w:id="1">
    <w:p w:rsidR="00696B64" w:rsidRPr="00E31D0A" w:rsidRDefault="00E31D0A" w:rsidP="00696B6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696B64">
          <w:rPr>
            <w:rStyle w:val="Hyperlink"/>
            <w:rFonts w:hint="cs"/>
            <w:sz w:val="20"/>
            <w:rtl/>
          </w:rPr>
          <w:t xml:space="preserve">ק"ת </w:t>
        </w:r>
        <w:r w:rsidR="008E74C9" w:rsidRPr="00696B64">
          <w:rPr>
            <w:rStyle w:val="Hyperlink"/>
            <w:rFonts w:hint="cs"/>
            <w:sz w:val="20"/>
            <w:rtl/>
          </w:rPr>
          <w:t>תשע</w:t>
        </w:r>
        <w:r w:rsidR="00FF53C1" w:rsidRPr="00696B64">
          <w:rPr>
            <w:rStyle w:val="Hyperlink"/>
            <w:rFonts w:hint="cs"/>
            <w:sz w:val="20"/>
            <w:rtl/>
          </w:rPr>
          <w:t>"</w:t>
        </w:r>
        <w:r w:rsidR="00333CF3" w:rsidRPr="00696B64">
          <w:rPr>
            <w:rStyle w:val="Hyperlink"/>
            <w:rFonts w:hint="cs"/>
            <w:sz w:val="20"/>
            <w:rtl/>
          </w:rPr>
          <w:t>ז</w:t>
        </w:r>
        <w:r w:rsidRPr="00696B64">
          <w:rPr>
            <w:rStyle w:val="Hyperlink"/>
            <w:rFonts w:hint="cs"/>
            <w:sz w:val="20"/>
            <w:rtl/>
          </w:rPr>
          <w:t xml:space="preserve"> מס' </w:t>
        </w:r>
        <w:r w:rsidR="0036219F" w:rsidRPr="00696B64">
          <w:rPr>
            <w:rStyle w:val="Hyperlink"/>
            <w:rFonts w:hint="cs"/>
            <w:sz w:val="20"/>
            <w:rtl/>
          </w:rPr>
          <w:t>78</w:t>
        </w:r>
        <w:r w:rsidR="00DC3BF2" w:rsidRPr="00696B64">
          <w:rPr>
            <w:rStyle w:val="Hyperlink"/>
            <w:rFonts w:hint="cs"/>
            <w:sz w:val="20"/>
            <w:rtl/>
          </w:rPr>
          <w:t>40</w:t>
        </w:r>
      </w:hyperlink>
      <w:r>
        <w:rPr>
          <w:rFonts w:hint="cs"/>
          <w:sz w:val="20"/>
          <w:rtl/>
        </w:rPr>
        <w:t xml:space="preserve"> מיום </w:t>
      </w:r>
      <w:r w:rsidR="00DC3BF2">
        <w:rPr>
          <w:rFonts w:hint="cs"/>
          <w:sz w:val="20"/>
          <w:rtl/>
        </w:rPr>
        <w:t>24.7</w:t>
      </w:r>
      <w:r w:rsidR="0036219F">
        <w:rPr>
          <w:rFonts w:hint="cs"/>
          <w:sz w:val="20"/>
          <w:rtl/>
        </w:rPr>
        <w:t>.2017</w:t>
      </w:r>
      <w:r>
        <w:rPr>
          <w:rFonts w:hint="cs"/>
          <w:sz w:val="20"/>
          <w:rtl/>
        </w:rPr>
        <w:t xml:space="preserve"> עמ' </w:t>
      </w:r>
      <w:r w:rsidR="00DC3BF2">
        <w:rPr>
          <w:rFonts w:hint="cs"/>
          <w:sz w:val="20"/>
          <w:rtl/>
        </w:rPr>
        <w:t>137</w:t>
      </w:r>
      <w:r w:rsidR="008F2663">
        <w:rPr>
          <w:rFonts w:hint="cs"/>
          <w:sz w:val="20"/>
          <w:rtl/>
        </w:rPr>
        <w:t>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8F2663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8F2663">
      <w:rPr>
        <w:rFonts w:hAnsi="FrankRuehl" w:cs="FrankRuehl" w:hint="cs"/>
        <w:color w:val="000000"/>
        <w:sz w:val="28"/>
        <w:szCs w:val="28"/>
        <w:rtl/>
      </w:rPr>
      <w:t>שמורת טבע פארק הלס, לפי תכנית 491/02/7</w:t>
    </w:r>
    <w:r w:rsidR="00333CF3">
      <w:rPr>
        <w:rFonts w:hAnsi="FrankRuehl" w:cs="FrankRuehl" w:hint="cs"/>
        <w:color w:val="000000"/>
        <w:sz w:val="28"/>
        <w:szCs w:val="28"/>
        <w:rtl/>
      </w:rPr>
      <w:t>), תשע"ז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36219F">
      <w:rPr>
        <w:rFonts w:hAnsi="FrankRuehl" w:cs="FrankRuehl" w:hint="cs"/>
        <w:color w:val="000000"/>
        <w:sz w:val="28"/>
        <w:szCs w:val="28"/>
        <w:rtl/>
      </w:rPr>
      <w:t>7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2F21"/>
    <w:rsid w:val="00014F41"/>
    <w:rsid w:val="0001512D"/>
    <w:rsid w:val="00015658"/>
    <w:rsid w:val="0001675D"/>
    <w:rsid w:val="00017662"/>
    <w:rsid w:val="00017B8F"/>
    <w:rsid w:val="00023226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80EAF"/>
    <w:rsid w:val="00083412"/>
    <w:rsid w:val="000860C0"/>
    <w:rsid w:val="000871B7"/>
    <w:rsid w:val="00091A16"/>
    <w:rsid w:val="0009209F"/>
    <w:rsid w:val="00093B34"/>
    <w:rsid w:val="000A17D5"/>
    <w:rsid w:val="000A2ED3"/>
    <w:rsid w:val="000A60A9"/>
    <w:rsid w:val="000A6C83"/>
    <w:rsid w:val="000B2B31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452D"/>
    <w:rsid w:val="00107979"/>
    <w:rsid w:val="00107C88"/>
    <w:rsid w:val="00112227"/>
    <w:rsid w:val="00112BEC"/>
    <w:rsid w:val="001150FC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291C"/>
    <w:rsid w:val="001939F8"/>
    <w:rsid w:val="0019438D"/>
    <w:rsid w:val="001A02FC"/>
    <w:rsid w:val="001A0FEC"/>
    <w:rsid w:val="001A33A9"/>
    <w:rsid w:val="001A3C73"/>
    <w:rsid w:val="001A57CC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C6B3D"/>
    <w:rsid w:val="001D0377"/>
    <w:rsid w:val="001D0815"/>
    <w:rsid w:val="001D20FD"/>
    <w:rsid w:val="001D4F8C"/>
    <w:rsid w:val="001D692E"/>
    <w:rsid w:val="001D792F"/>
    <w:rsid w:val="001E25B4"/>
    <w:rsid w:val="001E477F"/>
    <w:rsid w:val="001E7754"/>
    <w:rsid w:val="001F2007"/>
    <w:rsid w:val="001F418A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7A12"/>
    <w:rsid w:val="00240B01"/>
    <w:rsid w:val="00240FBF"/>
    <w:rsid w:val="002442EB"/>
    <w:rsid w:val="00250926"/>
    <w:rsid w:val="00256570"/>
    <w:rsid w:val="002571C0"/>
    <w:rsid w:val="00267DAB"/>
    <w:rsid w:val="00271969"/>
    <w:rsid w:val="00272C87"/>
    <w:rsid w:val="002747F5"/>
    <w:rsid w:val="0027510E"/>
    <w:rsid w:val="002767FF"/>
    <w:rsid w:val="00277EB3"/>
    <w:rsid w:val="00285040"/>
    <w:rsid w:val="00286C27"/>
    <w:rsid w:val="00290306"/>
    <w:rsid w:val="00290E28"/>
    <w:rsid w:val="00294843"/>
    <w:rsid w:val="00297BC5"/>
    <w:rsid w:val="002A20CE"/>
    <w:rsid w:val="002A3683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7C9D"/>
    <w:rsid w:val="0034242B"/>
    <w:rsid w:val="00345CF8"/>
    <w:rsid w:val="00347A84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2FC6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456FF"/>
    <w:rsid w:val="00447D69"/>
    <w:rsid w:val="004507FE"/>
    <w:rsid w:val="004529B7"/>
    <w:rsid w:val="00453DA3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1256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4AE2"/>
    <w:rsid w:val="005171B6"/>
    <w:rsid w:val="00517E93"/>
    <w:rsid w:val="005202A7"/>
    <w:rsid w:val="00527B5D"/>
    <w:rsid w:val="00531839"/>
    <w:rsid w:val="00533885"/>
    <w:rsid w:val="00533E46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1FAC"/>
    <w:rsid w:val="00592310"/>
    <w:rsid w:val="005936AE"/>
    <w:rsid w:val="0059395D"/>
    <w:rsid w:val="00594D46"/>
    <w:rsid w:val="00597E01"/>
    <w:rsid w:val="005A10D9"/>
    <w:rsid w:val="005A4424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4426"/>
    <w:rsid w:val="00606109"/>
    <w:rsid w:val="00606FDB"/>
    <w:rsid w:val="00611066"/>
    <w:rsid w:val="006152C3"/>
    <w:rsid w:val="00617012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60693"/>
    <w:rsid w:val="0066367A"/>
    <w:rsid w:val="006642AB"/>
    <w:rsid w:val="006675A8"/>
    <w:rsid w:val="00667938"/>
    <w:rsid w:val="006708A5"/>
    <w:rsid w:val="00683523"/>
    <w:rsid w:val="006835AD"/>
    <w:rsid w:val="00683F83"/>
    <w:rsid w:val="006911C2"/>
    <w:rsid w:val="0069304A"/>
    <w:rsid w:val="006950DD"/>
    <w:rsid w:val="006952FF"/>
    <w:rsid w:val="00696B64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655D"/>
    <w:rsid w:val="007109CE"/>
    <w:rsid w:val="007111D7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D6885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E4D"/>
    <w:rsid w:val="00815D0E"/>
    <w:rsid w:val="00817B40"/>
    <w:rsid w:val="00820797"/>
    <w:rsid w:val="008269EA"/>
    <w:rsid w:val="00840282"/>
    <w:rsid w:val="0084597B"/>
    <w:rsid w:val="0085187D"/>
    <w:rsid w:val="00862571"/>
    <w:rsid w:val="00864A9A"/>
    <w:rsid w:val="00866ED5"/>
    <w:rsid w:val="00873D85"/>
    <w:rsid w:val="00874367"/>
    <w:rsid w:val="00874487"/>
    <w:rsid w:val="00881879"/>
    <w:rsid w:val="0088452C"/>
    <w:rsid w:val="00884F35"/>
    <w:rsid w:val="0088585A"/>
    <w:rsid w:val="00885ABF"/>
    <w:rsid w:val="0088730F"/>
    <w:rsid w:val="00890114"/>
    <w:rsid w:val="008B01AE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59C"/>
    <w:rsid w:val="008F2663"/>
    <w:rsid w:val="008F544A"/>
    <w:rsid w:val="008F6C34"/>
    <w:rsid w:val="008F6CB1"/>
    <w:rsid w:val="009058BA"/>
    <w:rsid w:val="009130D2"/>
    <w:rsid w:val="00914531"/>
    <w:rsid w:val="009147EE"/>
    <w:rsid w:val="00916781"/>
    <w:rsid w:val="0093504E"/>
    <w:rsid w:val="00940229"/>
    <w:rsid w:val="009417FD"/>
    <w:rsid w:val="00943952"/>
    <w:rsid w:val="00944207"/>
    <w:rsid w:val="00947E44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2AD1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0F47"/>
    <w:rsid w:val="00A7734A"/>
    <w:rsid w:val="00A87687"/>
    <w:rsid w:val="00A93627"/>
    <w:rsid w:val="00A9410B"/>
    <w:rsid w:val="00A968A6"/>
    <w:rsid w:val="00AA005C"/>
    <w:rsid w:val="00AA3D35"/>
    <w:rsid w:val="00AA4795"/>
    <w:rsid w:val="00AA5EB6"/>
    <w:rsid w:val="00AA6500"/>
    <w:rsid w:val="00AA71E4"/>
    <w:rsid w:val="00AB2831"/>
    <w:rsid w:val="00AB3A7B"/>
    <w:rsid w:val="00AB50AD"/>
    <w:rsid w:val="00AC5479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2E7C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76CEC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7BC3"/>
    <w:rsid w:val="00DC09D1"/>
    <w:rsid w:val="00DC3BF2"/>
    <w:rsid w:val="00DC539B"/>
    <w:rsid w:val="00DD4B99"/>
    <w:rsid w:val="00DD6CA8"/>
    <w:rsid w:val="00DD7033"/>
    <w:rsid w:val="00DF6207"/>
    <w:rsid w:val="00DF6658"/>
    <w:rsid w:val="00DF76EB"/>
    <w:rsid w:val="00DF7D9F"/>
    <w:rsid w:val="00E00CAC"/>
    <w:rsid w:val="00E13AD7"/>
    <w:rsid w:val="00E15FD4"/>
    <w:rsid w:val="00E21481"/>
    <w:rsid w:val="00E21A6A"/>
    <w:rsid w:val="00E273C0"/>
    <w:rsid w:val="00E305F4"/>
    <w:rsid w:val="00E30C2E"/>
    <w:rsid w:val="00E31D0A"/>
    <w:rsid w:val="00E33553"/>
    <w:rsid w:val="00E33B00"/>
    <w:rsid w:val="00E375A3"/>
    <w:rsid w:val="00E37AE7"/>
    <w:rsid w:val="00E421DD"/>
    <w:rsid w:val="00E446CB"/>
    <w:rsid w:val="00E52AD8"/>
    <w:rsid w:val="00E531AA"/>
    <w:rsid w:val="00E54519"/>
    <w:rsid w:val="00E55C7E"/>
    <w:rsid w:val="00E5706A"/>
    <w:rsid w:val="00E6156B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28B8"/>
    <w:rsid w:val="00EB325E"/>
    <w:rsid w:val="00EB435F"/>
    <w:rsid w:val="00EB6A2A"/>
    <w:rsid w:val="00EC38B8"/>
    <w:rsid w:val="00EC4FF4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5000"/>
    <w:rsid w:val="00F0418B"/>
    <w:rsid w:val="00F053F7"/>
    <w:rsid w:val="00F0578C"/>
    <w:rsid w:val="00F06B49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22C1"/>
    <w:rsid w:val="00F53160"/>
    <w:rsid w:val="00F5326F"/>
    <w:rsid w:val="00F537C2"/>
    <w:rsid w:val="00F55AD5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DA68037-ACE7-4CDD-962F-A3F3A3A0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84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2450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7995392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http://www.nevo.co.il/Law_word/law06/tak-7840.pdf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פארק הלס, לפי תכנית 491/02/7), תשע"ז-2017</vt:lpwstr>
  </property>
  <property fmtid="{D5CDD505-2E9C-101B-9397-08002B2CF9AE}" pid="5" name="LAWNUMBER">
    <vt:lpwstr>0441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22X</vt:lpwstr>
  </property>
  <property fmtid="{D5CDD505-2E9C-101B-9397-08002B2CF9AE}" pid="64" name="LINKK1">
    <vt:lpwstr>http://www.nevo.co.il/Law_word/law06/tak-7840.pdf;‎רשומות - תקנות כלליות#פורסמה ק"ת תשע"ז ‏מס' 7840 #מיום 24.7.2017 עמ' 1376‏</vt:lpwstr>
  </property>
</Properties>
</file>