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2F9C" w14:textId="77777777" w:rsidR="00DF76EB" w:rsidRDefault="00DF76EB" w:rsidP="007217B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F6658">
        <w:rPr>
          <w:rFonts w:hint="cs"/>
          <w:rtl/>
        </w:rPr>
        <w:t xml:space="preserve">שמורת טבע </w:t>
      </w:r>
      <w:r w:rsidR="007217B8">
        <w:rPr>
          <w:rFonts w:hint="cs"/>
          <w:rtl/>
        </w:rPr>
        <w:t>רכס אדמי</w:t>
      </w:r>
      <w:r w:rsidR="008E74C9">
        <w:rPr>
          <w:rFonts w:hint="cs"/>
          <w:rtl/>
        </w:rPr>
        <w:t xml:space="preserve">, לפי תכנית מס' </w:t>
      </w:r>
      <w:r w:rsidR="007217B8">
        <w:rPr>
          <w:rFonts w:hint="cs"/>
          <w:rtl/>
        </w:rPr>
        <w:t>ג/13493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09BD4785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D6D769C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B6C087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1994" w:rsidRPr="00871994" w14:paraId="58FCEC4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8E06EF" w14:textId="77777777" w:rsidR="00871994" w:rsidRPr="00871994" w:rsidRDefault="00871994" w:rsidP="008719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ACFE20" w14:textId="77777777" w:rsidR="00871994" w:rsidRPr="00871994" w:rsidRDefault="00871994" w:rsidP="008719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89E02C4" w14:textId="77777777" w:rsidR="00871994" w:rsidRPr="00871994" w:rsidRDefault="00871994" w:rsidP="008719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719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DCFDAF" w14:textId="77777777" w:rsidR="00871994" w:rsidRPr="00871994" w:rsidRDefault="00871994" w:rsidP="008719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1994" w:rsidRPr="00871994" w14:paraId="11A61E3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023BFB" w14:textId="77777777" w:rsidR="00871994" w:rsidRPr="00871994" w:rsidRDefault="00871994" w:rsidP="008719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2C40F9C" w14:textId="77777777" w:rsidR="00871994" w:rsidRPr="00871994" w:rsidRDefault="00871994" w:rsidP="008719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6979E39" w14:textId="77777777" w:rsidR="00871994" w:rsidRPr="00871994" w:rsidRDefault="00871994" w:rsidP="0087199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719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9DE6A5" w14:textId="77777777" w:rsidR="00871994" w:rsidRPr="00871994" w:rsidRDefault="00871994" w:rsidP="0087199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CE0CD8A" w14:textId="77777777" w:rsidR="009C432F" w:rsidRDefault="009C432F">
      <w:pPr>
        <w:pStyle w:val="big-header"/>
        <w:ind w:left="0" w:right="1134"/>
        <w:rPr>
          <w:rtl/>
        </w:rPr>
      </w:pPr>
    </w:p>
    <w:p w14:paraId="4739E027" w14:textId="77777777" w:rsidR="009C432F" w:rsidRPr="002E4507" w:rsidRDefault="009C432F" w:rsidP="007217B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D6E5B">
        <w:rPr>
          <w:rFonts w:hint="cs"/>
          <w:rtl/>
        </w:rPr>
        <w:t xml:space="preserve">שמורת טבע </w:t>
      </w:r>
      <w:r w:rsidR="007217B8">
        <w:rPr>
          <w:rFonts w:hint="cs"/>
          <w:rtl/>
        </w:rPr>
        <w:t>רכס אדמי</w:t>
      </w:r>
      <w:r w:rsidR="00BD6E5B">
        <w:rPr>
          <w:rFonts w:hint="cs"/>
          <w:rtl/>
        </w:rPr>
        <w:t xml:space="preserve">, לפי תכנית מס' </w:t>
      </w:r>
      <w:r w:rsidR="007217B8">
        <w:rPr>
          <w:rFonts w:hint="cs"/>
          <w:rtl/>
        </w:rPr>
        <w:t>ג/13493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12591AC7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F64F944" w14:textId="77777777" w:rsidR="009C432F" w:rsidRDefault="009C432F" w:rsidP="007217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E04C6B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1098C37" w14:textId="77777777" w:rsidR="009C432F" w:rsidRDefault="00DB2D99" w:rsidP="006911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11C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7217B8">
        <w:rPr>
          <w:rStyle w:val="default"/>
          <w:rFonts w:cs="FrankRuehl" w:hint="cs"/>
          <w:rtl/>
        </w:rPr>
        <w:t>ברכס אדמי שבגליל התחתון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E33B00">
        <w:rPr>
          <w:rStyle w:val="default"/>
          <w:rFonts w:cs="FrankRuehl" w:hint="cs"/>
          <w:rtl/>
        </w:rPr>
        <w:t>ש/</w:t>
      </w:r>
      <w:r w:rsidR="007217B8">
        <w:rPr>
          <w:rStyle w:val="default"/>
          <w:rFonts w:cs="FrankRuehl" w:hint="cs"/>
          <w:rtl/>
        </w:rPr>
        <w:t>צפ/ג/13493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7217B8">
        <w:rPr>
          <w:rStyle w:val="default"/>
          <w:rFonts w:cs="FrankRuehl" w:hint="cs"/>
          <w:rtl/>
        </w:rPr>
        <w:t>10</w:t>
      </w:r>
      <w:r w:rsidR="00BD6E5B">
        <w:rPr>
          <w:rStyle w:val="default"/>
          <w:rFonts w:cs="FrankRuehl" w:hint="cs"/>
          <w:rtl/>
        </w:rPr>
        <w:t>,000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</w:t>
      </w:r>
      <w:r w:rsidR="007217B8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FBB8FA6" w14:textId="77777777" w:rsidR="009C432F" w:rsidRDefault="009C432F" w:rsidP="007217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848E4B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0DEC1B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7217B8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ולבניה </w:t>
      </w:r>
      <w:r w:rsidR="007217B8">
        <w:rPr>
          <w:rStyle w:val="default"/>
          <w:rFonts w:cs="FrankRuehl" w:hint="cs"/>
          <w:rtl/>
        </w:rPr>
        <w:t>הגליל התחתון,</w:t>
      </w:r>
      <w:r w:rsidR="00BD6E5B">
        <w:rPr>
          <w:rStyle w:val="default"/>
          <w:rFonts w:cs="FrankRuehl" w:hint="cs"/>
          <w:rtl/>
        </w:rPr>
        <w:t xml:space="preserve"> ובמשרדי הוועדה המקומית לתכנון ולבניה </w:t>
      </w:r>
      <w:r w:rsidR="007217B8">
        <w:rPr>
          <w:rStyle w:val="default"/>
          <w:rFonts w:cs="FrankRuehl" w:hint="cs"/>
          <w:rtl/>
        </w:rPr>
        <w:t>הגליל המזרחי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D5C1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3D5C1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982CD8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12FE3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5B080B0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F45DCEC" w14:textId="77777777" w:rsidR="00F165A2" w:rsidRDefault="00F643F1" w:rsidP="007217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6B2E14">
        <w:rPr>
          <w:rStyle w:val="default"/>
          <w:rFonts w:cs="FrankRuehl" w:hint="cs"/>
          <w:rtl/>
        </w:rPr>
        <w:t xml:space="preserve">המועצה האזורית </w:t>
      </w:r>
      <w:r w:rsidR="007217B8">
        <w:rPr>
          <w:rStyle w:val="default"/>
          <w:rFonts w:cs="FrankRuehl" w:hint="cs"/>
          <w:rtl/>
        </w:rPr>
        <w:t>הגליל התחתון</w:t>
      </w:r>
      <w:r w:rsidR="00BD6E5B">
        <w:rPr>
          <w:rStyle w:val="default"/>
          <w:rFonts w:cs="FrankRuehl" w:hint="cs"/>
          <w:rtl/>
        </w:rPr>
        <w:t xml:space="preserve"> ובתחום שטח השיפוט של המועצה </w:t>
      </w:r>
      <w:r w:rsidR="007217B8">
        <w:rPr>
          <w:rStyle w:val="default"/>
          <w:rFonts w:cs="FrankRuehl" w:hint="cs"/>
          <w:rtl/>
        </w:rPr>
        <w:t>המקומית יבנאל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BD6E5B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7217B8">
        <w:rPr>
          <w:rStyle w:val="default"/>
          <w:rFonts w:cs="FrankRuehl" w:hint="cs"/>
          <w:rtl/>
        </w:rPr>
        <w:t>ג/13493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BD6E5B">
        <w:rPr>
          <w:rStyle w:val="default"/>
          <w:rFonts w:cs="FrankRuehl" w:hint="cs"/>
          <w:rtl/>
        </w:rPr>
        <w:t>595</w:t>
      </w:r>
      <w:r w:rsidR="007217B8">
        <w:rPr>
          <w:rStyle w:val="default"/>
          <w:rFonts w:cs="FrankRuehl" w:hint="cs"/>
          <w:rtl/>
        </w:rPr>
        <w:t>5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7217B8">
        <w:rPr>
          <w:rStyle w:val="default"/>
          <w:rFonts w:cs="FrankRuehl" w:hint="cs"/>
          <w:rtl/>
        </w:rPr>
        <w:t>א' בסיוון</w:t>
      </w:r>
      <w:r w:rsidR="00BD6E5B">
        <w:rPr>
          <w:rStyle w:val="default"/>
          <w:rFonts w:cs="FrankRuehl" w:hint="cs"/>
          <w:rtl/>
        </w:rPr>
        <w:t xml:space="preserve"> התשס"ט (</w:t>
      </w:r>
      <w:r w:rsidR="007217B8">
        <w:rPr>
          <w:rStyle w:val="default"/>
          <w:rFonts w:cs="FrankRuehl" w:hint="cs"/>
          <w:rtl/>
        </w:rPr>
        <w:t>24</w:t>
      </w:r>
      <w:r w:rsidR="00BD6E5B">
        <w:rPr>
          <w:rStyle w:val="default"/>
          <w:rFonts w:cs="FrankRuehl" w:hint="cs"/>
          <w:rtl/>
        </w:rPr>
        <w:t xml:space="preserve"> במאי 2009</w:t>
      </w:r>
      <w:r w:rsidR="00D56B88">
        <w:rPr>
          <w:rStyle w:val="default"/>
          <w:rFonts w:cs="FrankRuehl" w:hint="cs"/>
          <w:rtl/>
        </w:rPr>
        <w:t xml:space="preserve">), עמ' </w:t>
      </w:r>
      <w:r w:rsidR="007217B8">
        <w:rPr>
          <w:rStyle w:val="default"/>
          <w:rFonts w:cs="FrankRuehl" w:hint="cs"/>
          <w:rtl/>
        </w:rPr>
        <w:t>4024</w:t>
      </w:r>
      <w:r w:rsidR="00D56B88">
        <w:rPr>
          <w:rStyle w:val="default"/>
          <w:rFonts w:cs="FrankRuehl" w:hint="cs"/>
          <w:rtl/>
        </w:rPr>
        <w:t>, והוא כולל גוש</w:t>
      </w:r>
      <w:r w:rsidR="00BD6E5B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BD6E5B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14:paraId="0638FC51" w14:textId="77777777" w:rsidR="00BD6E5B" w:rsidRDefault="00BD6E5B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217B8">
        <w:rPr>
          <w:rStyle w:val="default"/>
          <w:rFonts w:cs="FrankRuehl" w:hint="cs"/>
          <w:rtl/>
        </w:rPr>
        <w:t>15261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</w:r>
      <w:r w:rsidR="007217B8">
        <w:rPr>
          <w:rStyle w:val="default"/>
          <w:rFonts w:cs="FrankRuehl" w:hint="cs"/>
          <w:rtl/>
        </w:rPr>
        <w:t>חלקות במלואן: 24, 46 עד 48, 51, 52, 54 עד 60</w:t>
      </w:r>
      <w:r>
        <w:rPr>
          <w:rStyle w:val="default"/>
          <w:rFonts w:cs="FrankRuehl" w:hint="cs"/>
          <w:rtl/>
        </w:rPr>
        <w:t>;</w:t>
      </w:r>
    </w:p>
    <w:p w14:paraId="533453D7" w14:textId="77777777" w:rsidR="007217B8" w:rsidRDefault="007217B8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חלקי חלקות: 5 עד 11, 15 עד 19, 32, 33, 40, 43 עד 45, 53;</w:t>
      </w:r>
    </w:p>
    <w:p w14:paraId="19814396" w14:textId="77777777" w:rsidR="00BD6E5B" w:rsidRDefault="00BD6E5B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217B8">
        <w:rPr>
          <w:rStyle w:val="default"/>
          <w:rFonts w:cs="FrankRuehl" w:hint="cs"/>
          <w:rtl/>
        </w:rPr>
        <w:t>15262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</w:r>
      <w:r w:rsidR="007217B8">
        <w:rPr>
          <w:rStyle w:val="default"/>
          <w:rFonts w:cs="FrankRuehl" w:hint="cs"/>
          <w:rtl/>
        </w:rPr>
        <w:t>חלקות במלואן: 11 עד 13, 17, 23, 36, 39 עד 41, 49</w:t>
      </w:r>
      <w:r>
        <w:rPr>
          <w:rStyle w:val="default"/>
          <w:rFonts w:cs="FrankRuehl" w:hint="cs"/>
          <w:rtl/>
        </w:rPr>
        <w:t>;</w:t>
      </w:r>
    </w:p>
    <w:p w14:paraId="0F0A9B3A" w14:textId="77777777" w:rsidR="00BD6E5B" w:rsidRDefault="00BD6E5B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1418" w:right="1134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217B8">
        <w:rPr>
          <w:rStyle w:val="default"/>
          <w:rFonts w:cs="FrankRuehl" w:hint="cs"/>
          <w:rtl/>
        </w:rPr>
        <w:t>חלקי חלקות: 4 עד 7, 9 עד 10, 15, 18 עד 22, 24, 25, 29 עד 31, 35, 37 עד 38, 42 עד 45, 48</w:t>
      </w:r>
      <w:r>
        <w:rPr>
          <w:rStyle w:val="default"/>
          <w:rFonts w:cs="FrankRuehl" w:hint="cs"/>
          <w:rtl/>
        </w:rPr>
        <w:t>;</w:t>
      </w:r>
    </w:p>
    <w:p w14:paraId="24F1A95C" w14:textId="77777777" w:rsidR="00BD6E5B" w:rsidRDefault="00BD6E5B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217B8">
        <w:rPr>
          <w:rStyle w:val="default"/>
          <w:rFonts w:cs="FrankRuehl" w:hint="cs"/>
          <w:rtl/>
        </w:rPr>
        <w:t>15270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</w:r>
      <w:r w:rsidR="007217B8">
        <w:rPr>
          <w:rStyle w:val="default"/>
          <w:rFonts w:cs="FrankRuehl" w:hint="cs"/>
          <w:rtl/>
        </w:rPr>
        <w:t>חלקות במלואן: 13, 16 עד 19, 21, 70 עד 72, 76, 78 עד 80, 82</w:t>
      </w:r>
      <w:r>
        <w:rPr>
          <w:rStyle w:val="default"/>
          <w:rFonts w:cs="FrankRuehl" w:hint="cs"/>
          <w:rtl/>
        </w:rPr>
        <w:t>;</w:t>
      </w:r>
    </w:p>
    <w:p w14:paraId="65FAE51E" w14:textId="77777777" w:rsidR="007217B8" w:rsidRDefault="007217B8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1418" w:right="1134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חלקי חלקות: 8, 9, 12, 14, 15, 22 עד 24, 26, 32, 34, 35, 59 עד 61, 74 עד 75, 77, 81;</w:t>
      </w:r>
    </w:p>
    <w:p w14:paraId="6534A0AA" w14:textId="77777777" w:rsidR="00BD6E5B" w:rsidRDefault="00BD6E5B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217B8">
        <w:rPr>
          <w:rStyle w:val="default"/>
          <w:rFonts w:cs="FrankRuehl" w:hint="cs"/>
          <w:rtl/>
        </w:rPr>
        <w:t>15271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</w:r>
      <w:r w:rsidR="007217B8">
        <w:rPr>
          <w:rStyle w:val="default"/>
          <w:rFonts w:cs="FrankRuehl" w:hint="cs"/>
          <w:rtl/>
        </w:rPr>
        <w:t>חלקות במלואן: 2, 6 עד 15, 17, 19, 20, 24, 28 עד 33, 58, 75</w:t>
      </w:r>
      <w:r>
        <w:rPr>
          <w:rStyle w:val="default"/>
          <w:rFonts w:cs="FrankRuehl" w:hint="cs"/>
          <w:rtl/>
        </w:rPr>
        <w:t>;</w:t>
      </w:r>
    </w:p>
    <w:p w14:paraId="2F0481C2" w14:textId="77777777" w:rsidR="007217B8" w:rsidRDefault="007217B8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חלקי חלקות: 5, 16, 21 עד 23, 25 עד 27, 34, 37, עד 39, 51, 53 עד 55;</w:t>
      </w:r>
    </w:p>
    <w:p w14:paraId="5AF2CDCF" w14:textId="77777777" w:rsidR="00BD6E5B" w:rsidRDefault="00BD6E5B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217B8">
        <w:rPr>
          <w:rStyle w:val="default"/>
          <w:rFonts w:cs="FrankRuehl" w:hint="cs"/>
          <w:rtl/>
        </w:rPr>
        <w:t>15290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 xml:space="preserve">חלקי חלקות: </w:t>
      </w:r>
      <w:r w:rsidR="007217B8">
        <w:rPr>
          <w:rStyle w:val="default"/>
          <w:rFonts w:cs="FrankRuehl" w:hint="cs"/>
          <w:rtl/>
        </w:rPr>
        <w:t>3 עד 5</w:t>
      </w:r>
      <w:r>
        <w:rPr>
          <w:rStyle w:val="default"/>
          <w:rFonts w:cs="FrankRuehl" w:hint="cs"/>
          <w:rtl/>
        </w:rPr>
        <w:t>;</w:t>
      </w:r>
    </w:p>
    <w:p w14:paraId="2FCE7257" w14:textId="77777777" w:rsidR="00BD6E5B" w:rsidRDefault="00BD6E5B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217B8">
        <w:rPr>
          <w:rStyle w:val="default"/>
          <w:rFonts w:cs="FrankRuehl" w:hint="cs"/>
          <w:rtl/>
        </w:rPr>
        <w:t>15295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</w:r>
      <w:r w:rsidR="007217B8">
        <w:rPr>
          <w:rStyle w:val="default"/>
          <w:rFonts w:cs="FrankRuehl" w:hint="cs"/>
          <w:rtl/>
        </w:rPr>
        <w:t>חלקות במלואן: 3, 6, 10, 12, 14 עד 18, 23 עד 28, 33 עד 38;</w:t>
      </w:r>
    </w:p>
    <w:p w14:paraId="1E053BEA" w14:textId="77777777" w:rsidR="007217B8" w:rsidRDefault="007217B8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חלקי חלקות: 1, 2, 4, 7, 9, 11, 13, 19, 21 עד 22, 31 עד 32;</w:t>
      </w:r>
    </w:p>
    <w:p w14:paraId="49D83E59" w14:textId="77777777" w:rsidR="007217B8" w:rsidRDefault="007217B8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15296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חלקה: 1;</w:t>
      </w:r>
    </w:p>
    <w:p w14:paraId="07DCBAF8" w14:textId="77777777" w:rsidR="007217B8" w:rsidRDefault="007217B8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15297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חלקות במלואן: 1, 9;</w:t>
      </w:r>
    </w:p>
    <w:p w14:paraId="39FD7F61" w14:textId="77777777" w:rsidR="007217B8" w:rsidRDefault="007217B8" w:rsidP="007217B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חלקי חלקות: 2, 5 עד 7, 10, 11, 13.</w:t>
      </w:r>
    </w:p>
    <w:p w14:paraId="4D0C8A6C" w14:textId="77777777" w:rsidR="007217B8" w:rsidRDefault="007217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27376F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86943B" w14:textId="77777777"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51F1A5D3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E737C60" w14:textId="77777777" w:rsidR="00E33B00" w:rsidRPr="006E39E0" w:rsidRDefault="00E33B0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7737D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A6A34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2D1AE3B" w14:textId="77777777" w:rsidR="00871994" w:rsidRDefault="0087199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16016C" w14:textId="77777777" w:rsidR="00871994" w:rsidRDefault="0087199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416CF7" w14:textId="77777777" w:rsidR="00871994" w:rsidRDefault="00871994" w:rsidP="0087199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CFE2CAC" w14:textId="77777777" w:rsidR="00E21481" w:rsidRPr="00871994" w:rsidRDefault="00E21481" w:rsidP="0087199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87199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AE0C" w14:textId="77777777" w:rsidR="00CB535A" w:rsidRDefault="00CB535A">
      <w:r>
        <w:separator/>
      </w:r>
    </w:p>
  </w:endnote>
  <w:endnote w:type="continuationSeparator" w:id="0">
    <w:p w14:paraId="0C3A9B47" w14:textId="77777777" w:rsidR="00CB535A" w:rsidRDefault="00CB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A8D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1077F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DD7A84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1994">
      <w:rPr>
        <w:rFonts w:cs="TopType Jerushalmi"/>
        <w:noProof/>
        <w:color w:val="000000"/>
        <w:sz w:val="14"/>
        <w:szCs w:val="14"/>
      </w:rPr>
      <w:t>Z:\000-law\yael\2011\11-06-02\tav\065_376.doc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FBC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199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4A9AB5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C1FB1A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1994">
      <w:rPr>
        <w:rFonts w:cs="TopType Jerushalmi"/>
        <w:noProof/>
        <w:color w:val="000000"/>
        <w:sz w:val="14"/>
        <w:szCs w:val="14"/>
      </w:rPr>
      <w:t>Z:\000-law\yael\2011\11-06-02\tav\065_376.doc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8F1B" w14:textId="77777777" w:rsidR="00CB535A" w:rsidRDefault="00CB535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0C3867" w14:textId="77777777" w:rsidR="00CB535A" w:rsidRDefault="00CB535A">
      <w:r>
        <w:continuationSeparator/>
      </w:r>
    </w:p>
  </w:footnote>
  <w:footnote w:id="1">
    <w:p w14:paraId="079BD1F9" w14:textId="77777777" w:rsidR="00D61C88" w:rsidRPr="00E31D0A" w:rsidRDefault="00E31D0A" w:rsidP="00D61C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61C8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61C88">
          <w:rPr>
            <w:rStyle w:val="Hyperlink"/>
            <w:rFonts w:hint="cs"/>
            <w:sz w:val="20"/>
            <w:rtl/>
          </w:rPr>
          <w:t>תשע</w:t>
        </w:r>
        <w:r w:rsidR="00FF53C1" w:rsidRPr="00D61C88">
          <w:rPr>
            <w:rStyle w:val="Hyperlink"/>
            <w:rFonts w:hint="cs"/>
            <w:sz w:val="20"/>
            <w:rtl/>
          </w:rPr>
          <w:t>"א</w:t>
        </w:r>
        <w:r w:rsidRPr="00D61C88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D61C88">
          <w:rPr>
            <w:rStyle w:val="Hyperlink"/>
            <w:rFonts w:hint="cs"/>
            <w:sz w:val="20"/>
            <w:rtl/>
          </w:rPr>
          <w:t>700</w:t>
        </w:r>
        <w:r w:rsidR="003D5C13" w:rsidRPr="00D61C88"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</w:t>
      </w:r>
      <w:r w:rsidR="003D5C13">
        <w:rPr>
          <w:rFonts w:hint="cs"/>
          <w:sz w:val="20"/>
          <w:rtl/>
        </w:rPr>
        <w:t>1.6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3D5C13">
        <w:rPr>
          <w:rFonts w:hint="cs"/>
          <w:sz w:val="20"/>
          <w:rtl/>
        </w:rPr>
        <w:t>102</w:t>
      </w:r>
      <w:r w:rsidR="007217B8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8D7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2E53D4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6D3F5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F93D" w14:textId="77777777" w:rsidR="009C432F" w:rsidRDefault="00DF76EB" w:rsidP="007217B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7217B8">
      <w:rPr>
        <w:rFonts w:hAnsi="FrankRuehl" w:cs="FrankRuehl" w:hint="cs"/>
        <w:color w:val="000000"/>
        <w:sz w:val="28"/>
        <w:szCs w:val="28"/>
        <w:rtl/>
      </w:rPr>
      <w:t>רכס אדמי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7217B8">
      <w:rPr>
        <w:rFonts w:hAnsi="FrankRuehl" w:cs="FrankRuehl" w:hint="cs"/>
        <w:color w:val="000000"/>
        <w:sz w:val="28"/>
        <w:szCs w:val="28"/>
        <w:rtl/>
      </w:rPr>
      <w:t>ג/13493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16878A0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C610F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6BA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17A9A"/>
    <w:rsid w:val="0012340C"/>
    <w:rsid w:val="001239EB"/>
    <w:rsid w:val="0012471B"/>
    <w:rsid w:val="00125753"/>
    <w:rsid w:val="0012596E"/>
    <w:rsid w:val="00125BEF"/>
    <w:rsid w:val="00142140"/>
    <w:rsid w:val="001428FC"/>
    <w:rsid w:val="00147FE2"/>
    <w:rsid w:val="00150D00"/>
    <w:rsid w:val="00156085"/>
    <w:rsid w:val="00163535"/>
    <w:rsid w:val="0016413A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E5E10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D5C13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51CE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FD8"/>
    <w:rsid w:val="005D6C40"/>
    <w:rsid w:val="005D7998"/>
    <w:rsid w:val="005D79A3"/>
    <w:rsid w:val="005E0F5C"/>
    <w:rsid w:val="005E5D9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2E14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217B8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1994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44EE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D6E5B"/>
    <w:rsid w:val="00BE0086"/>
    <w:rsid w:val="00BE342B"/>
    <w:rsid w:val="00BE78CC"/>
    <w:rsid w:val="00BF0EEB"/>
    <w:rsid w:val="00C002F2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B535A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1C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8B9C66"/>
  <w15:chartTrackingRefBased/>
  <w15:docId w15:val="{F40C1072-BB92-4E0B-A86F-829F33C5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2547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רכס אדמי, לפי תכנית מס' ג/13493), תשע"א-2011</vt:lpwstr>
  </property>
  <property fmtid="{D5CDD505-2E9C-101B-9397-08002B2CF9AE}" pid="5" name="LAWNUMBER">
    <vt:lpwstr>0376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http://www.nevo.co.il/Law_word/law06/tak-7003.pdf;‎רשומות - תקנות כלליות#פורסמה ק"ת תשע"א ‏מס' 7003 #מיום 1.6.2011 עמ' 1022‏</vt:lpwstr>
  </property>
</Properties>
</file>