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C89" w:rsidRDefault="00265C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אכרזת ההתגוננות האזרחית (תפקידים נדרשים בהגא), תשכ"ה–1964</w:t>
      </w:r>
    </w:p>
    <w:p w:rsidR="002441EF" w:rsidRPr="002441EF" w:rsidRDefault="002441EF" w:rsidP="002441EF">
      <w:pPr>
        <w:spacing w:line="320" w:lineRule="auto"/>
        <w:jc w:val="left"/>
        <w:rPr>
          <w:rFonts w:cs="FrankRuehl"/>
          <w:szCs w:val="26"/>
          <w:rtl/>
        </w:rPr>
      </w:pPr>
    </w:p>
    <w:p w:rsidR="00FE54B9" w:rsidRPr="002441EF" w:rsidRDefault="002441EF" w:rsidP="002441EF">
      <w:pPr>
        <w:spacing w:line="320" w:lineRule="auto"/>
        <w:jc w:val="left"/>
        <w:rPr>
          <w:rFonts w:cs="Miriam"/>
          <w:szCs w:val="22"/>
          <w:rtl/>
        </w:rPr>
      </w:pPr>
      <w:r w:rsidRPr="002441EF">
        <w:rPr>
          <w:rFonts w:cs="Miriam"/>
          <w:szCs w:val="22"/>
          <w:rtl/>
        </w:rPr>
        <w:t>בטחון</w:t>
      </w:r>
      <w:r w:rsidRPr="002441EF">
        <w:rPr>
          <w:rFonts w:cs="FrankRuehl"/>
          <w:szCs w:val="26"/>
          <w:rtl/>
        </w:rPr>
        <w:t xml:space="preserve"> – התגוננות אזרחית – תפקידים</w:t>
      </w:r>
    </w:p>
    <w:p w:rsidR="00265C89" w:rsidRDefault="00265C8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65C8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65C89" w:rsidRDefault="00265C8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65C89" w:rsidRDefault="00265C89">
            <w:pPr>
              <w:spacing w:line="240" w:lineRule="auto"/>
              <w:rPr>
                <w:sz w:val="24"/>
              </w:rPr>
            </w:pPr>
            <w:hyperlink w:anchor="Seif0" w:tooltip="תפקידים נדרשים בהג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65C89" w:rsidRDefault="00265C8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תפקידים נדרשים בהגא</w:t>
            </w:r>
          </w:p>
        </w:tc>
        <w:tc>
          <w:tcPr>
            <w:tcW w:w="1247" w:type="dxa"/>
          </w:tcPr>
          <w:p w:rsidR="00265C89" w:rsidRDefault="00265C8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65C8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65C89" w:rsidRDefault="00265C8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65C89" w:rsidRDefault="00265C89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65C89" w:rsidRDefault="00265C8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265C89" w:rsidRDefault="00265C8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65C8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65C89" w:rsidRDefault="00265C8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65C89" w:rsidRDefault="00265C89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65C89" w:rsidRDefault="00265C8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265C89" w:rsidRDefault="00265C8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265C89" w:rsidRDefault="00265C89">
      <w:pPr>
        <w:pStyle w:val="big-header"/>
        <w:ind w:left="0" w:right="1134"/>
        <w:rPr>
          <w:rFonts w:cs="FrankRuehl"/>
          <w:sz w:val="32"/>
          <w:rtl/>
        </w:rPr>
      </w:pPr>
    </w:p>
    <w:p w:rsidR="00265C89" w:rsidRDefault="00265C8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FE54B9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אכ</w:t>
      </w:r>
      <w:r>
        <w:rPr>
          <w:rFonts w:cs="FrankRuehl" w:hint="cs"/>
          <w:sz w:val="32"/>
          <w:rtl/>
        </w:rPr>
        <w:t>רזת ההתגוננות האזרחית (תפקידים נדרשים בהגא), תשכ"ה</w:t>
      </w:r>
      <w:r>
        <w:rPr>
          <w:rFonts w:cs="FrankRuehl"/>
          <w:sz w:val="32"/>
          <w:rtl/>
        </w:rPr>
        <w:t>–1964</w:t>
      </w:r>
      <w:r>
        <w:rPr>
          <w:rStyle w:val="super"/>
          <w:rFonts w:cs="Miriam"/>
          <w:noProof w:val="0"/>
          <w:rtl/>
          <w:lang w:eastAsia="he-IL"/>
        </w:rPr>
        <w:t>(12)</w:t>
      </w:r>
    </w:p>
    <w:p w:rsidR="00265C89" w:rsidRDefault="00265C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7 לחוק ההתגוננות האזרחית, תשי"א</w:t>
      </w:r>
      <w:r>
        <w:rPr>
          <w:rStyle w:val="default"/>
          <w:rFonts w:cs="FrankRuehl"/>
          <w:rtl/>
        </w:rPr>
        <w:t xml:space="preserve">– 1951, </w:t>
      </w:r>
      <w:r>
        <w:rPr>
          <w:rStyle w:val="default"/>
          <w:rFonts w:cs="FrankRuehl" w:hint="cs"/>
          <w:rtl/>
        </w:rPr>
        <w:t xml:space="preserve">אני מכריז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אמור:</w:t>
      </w:r>
    </w:p>
    <w:p w:rsidR="00265C89" w:rsidRDefault="00265C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35.95pt;z-index:251656704" o:allowincell="f" filled="f" stroked="f" strokecolor="lime" strokeweight=".25pt">
            <v:textbox inset="0,0,0,0">
              <w:txbxContent>
                <w:p w:rsidR="00265C89" w:rsidRDefault="00265C8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קידים</w:t>
                  </w:r>
                </w:p>
                <w:p w:rsidR="00265C89" w:rsidRDefault="00265C8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רשים בהגא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פקידים בהגא המנויים להלן הם תפקידים נדרשים בהגא:</w:t>
      </w:r>
    </w:p>
    <w:p w:rsidR="00265C89" w:rsidRDefault="00265C89">
      <w:pPr>
        <w:pStyle w:val="P11"/>
        <w:tabs>
          <w:tab w:val="clear" w:pos="2835"/>
          <w:tab w:val="left" w:pos="3543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קחות, לרבות פקחות בנין;</w:t>
      </w:r>
      <w:r>
        <w:rPr>
          <w:rStyle w:val="default"/>
          <w:rFonts w:cs="FrankRuehl"/>
          <w:rtl/>
        </w:rPr>
        <w:tab/>
        <w:t>(14)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עלת צופרים;</w:t>
      </w:r>
    </w:p>
    <w:p w:rsidR="00265C89" w:rsidRDefault="00265C89">
      <w:pPr>
        <w:pStyle w:val="P11"/>
        <w:tabs>
          <w:tab w:val="clear" w:pos="2835"/>
          <w:tab w:val="left" w:pos="3543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דרנות;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(15)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עב</w:t>
      </w:r>
      <w:r>
        <w:rPr>
          <w:rStyle w:val="default"/>
          <w:rFonts w:cs="FrankRuehl" w:hint="cs"/>
          <w:rtl/>
        </w:rPr>
        <w:t>ודה משרדית;</w:t>
      </w:r>
    </w:p>
    <w:p w:rsidR="00265C89" w:rsidRDefault="00265C89">
      <w:pPr>
        <w:pStyle w:val="P11"/>
        <w:tabs>
          <w:tab w:val="clear" w:pos="2835"/>
          <w:tab w:val="left" w:pos="3543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ינוי אוכלוסיה;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(16)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>ברבות;</w:t>
      </w:r>
    </w:p>
    <w:p w:rsidR="00265C89" w:rsidRDefault="00265C89">
      <w:pPr>
        <w:pStyle w:val="P11"/>
        <w:tabs>
          <w:tab w:val="clear" w:pos="2835"/>
          <w:tab w:val="left" w:pos="3543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גשת סעד לנפגעים;</w:t>
      </w:r>
      <w:r>
        <w:rPr>
          <w:rStyle w:val="default"/>
          <w:rFonts w:cs="FrankRuehl"/>
          <w:rtl/>
        </w:rPr>
        <w:tab/>
        <w:t>(17)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עב</w:t>
      </w:r>
      <w:r>
        <w:rPr>
          <w:rStyle w:val="default"/>
          <w:rFonts w:cs="FrankRuehl" w:hint="cs"/>
          <w:rtl/>
        </w:rPr>
        <w:t>ודת מתכת;</w:t>
      </w:r>
    </w:p>
    <w:p w:rsidR="00265C89" w:rsidRDefault="00265C89">
      <w:pPr>
        <w:pStyle w:val="P11"/>
        <w:tabs>
          <w:tab w:val="clear" w:pos="2835"/>
          <w:tab w:val="left" w:pos="3543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ישום ומתן אינפורמציה;</w:t>
      </w:r>
      <w:r>
        <w:rPr>
          <w:rStyle w:val="default"/>
          <w:rFonts w:cs="FrankRuehl"/>
          <w:rtl/>
        </w:rPr>
        <w:tab/>
        <w:t>(18)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חש</w:t>
      </w:r>
      <w:r>
        <w:rPr>
          <w:rStyle w:val="default"/>
          <w:rFonts w:cs="FrankRuehl" w:hint="cs"/>
          <w:rtl/>
        </w:rPr>
        <w:t>מלאות;</w:t>
      </w:r>
    </w:p>
    <w:p w:rsidR="00265C89" w:rsidRDefault="00265C89">
      <w:pPr>
        <w:pStyle w:val="P11"/>
        <w:tabs>
          <w:tab w:val="clear" w:pos="2835"/>
          <w:tab w:val="left" w:pos="3543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ילוץ נלכדים;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(19)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דסת מכונות וחשמל;</w:t>
      </w:r>
    </w:p>
    <w:p w:rsidR="00265C89" w:rsidRDefault="00265C89">
      <w:pPr>
        <w:pStyle w:val="P11"/>
        <w:tabs>
          <w:tab w:val="clear" w:pos="2835"/>
          <w:tab w:val="left" w:pos="3543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יבוי דליקות;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(20)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דסת בנין;</w:t>
      </w:r>
    </w:p>
    <w:p w:rsidR="00265C89" w:rsidRDefault="00265C89">
      <w:pPr>
        <w:pStyle w:val="P11"/>
        <w:tabs>
          <w:tab w:val="clear" w:pos="2835"/>
          <w:tab w:val="left" w:pos="3543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ריס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בנינים;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(21)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הלת עבודה בבנין;</w:t>
      </w:r>
    </w:p>
    <w:p w:rsidR="00265C89" w:rsidRDefault="00265C89">
      <w:pPr>
        <w:pStyle w:val="P11"/>
        <w:tabs>
          <w:tab w:val="clear" w:pos="2835"/>
          <w:tab w:val="left" w:pos="3543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גשת עזרה רפואית</w:t>
      </w:r>
      <w:r>
        <w:rPr>
          <w:rStyle w:val="default"/>
          <w:rFonts w:cs="FrankRuehl"/>
          <w:rtl/>
        </w:rPr>
        <w:tab/>
        <w:t>(22)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עב</w:t>
      </w:r>
      <w:r>
        <w:rPr>
          <w:rStyle w:val="default"/>
          <w:rFonts w:cs="FrankRuehl" w:hint="cs"/>
          <w:rtl/>
        </w:rPr>
        <w:t>ודת בנין;</w:t>
      </w:r>
    </w:p>
    <w:p w:rsidR="00265C89" w:rsidRDefault="00265C89">
      <w:pPr>
        <w:pStyle w:val="P11"/>
        <w:tabs>
          <w:tab w:val="clear" w:pos="2835"/>
          <w:tab w:val="left" w:pos="3543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נפגעים;</w:t>
      </w:r>
    </w:p>
    <w:p w:rsidR="00265C89" w:rsidRDefault="00265C89">
      <w:pPr>
        <w:pStyle w:val="P11"/>
        <w:tabs>
          <w:tab w:val="clear" w:pos="2835"/>
          <w:tab w:val="left" w:pos="3543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ניטציה במקלטים;</w:t>
      </w:r>
      <w:r>
        <w:rPr>
          <w:rStyle w:val="default"/>
          <w:rFonts w:cs="FrankRuehl"/>
          <w:rtl/>
        </w:rPr>
        <w:tab/>
        <w:t>(23)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נג</w:t>
      </w:r>
      <w:r>
        <w:rPr>
          <w:rStyle w:val="default"/>
          <w:rFonts w:cs="FrankRuehl" w:hint="cs"/>
          <w:rtl/>
        </w:rPr>
        <w:t>רות;</w:t>
      </w:r>
    </w:p>
    <w:p w:rsidR="00265C89" w:rsidRDefault="00265C89">
      <w:pPr>
        <w:pStyle w:val="P11"/>
        <w:tabs>
          <w:tab w:val="clear" w:pos="2835"/>
          <w:tab w:val="left" w:pos="3543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כנאות קשר;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(24)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>ונאות;</w:t>
      </w:r>
    </w:p>
    <w:p w:rsidR="00265C89" w:rsidRDefault="00265C89">
      <w:pPr>
        <w:pStyle w:val="P11"/>
        <w:tabs>
          <w:tab w:val="clear" w:pos="2835"/>
          <w:tab w:val="left" w:pos="3543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שר, לרבות קשר קווי</w:t>
      </w:r>
      <w:r>
        <w:rPr>
          <w:rStyle w:val="default"/>
          <w:rFonts w:cs="FrankRuehl"/>
          <w:rtl/>
        </w:rPr>
        <w:tab/>
        <w:t>(25)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עב</w:t>
      </w:r>
      <w:r>
        <w:rPr>
          <w:rStyle w:val="default"/>
          <w:rFonts w:cs="FrankRuehl" w:hint="cs"/>
          <w:rtl/>
        </w:rPr>
        <w:t>ודה סוציאלית;</w:t>
      </w:r>
    </w:p>
    <w:p w:rsidR="00265C89" w:rsidRDefault="00265C89">
      <w:pPr>
        <w:pStyle w:val="P11"/>
        <w:tabs>
          <w:tab w:val="clear" w:pos="2835"/>
          <w:tab w:val="left" w:pos="3543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אלחוטי;</w:t>
      </w:r>
    </w:p>
    <w:p w:rsidR="00265C89" w:rsidRDefault="00265C89">
      <w:pPr>
        <w:pStyle w:val="P11"/>
        <w:tabs>
          <w:tab w:val="clear" w:pos="2835"/>
          <w:tab w:val="left" w:pos="3543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הגות;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(26)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עלת ציוד הנדסי.</w:t>
      </w:r>
    </w:p>
    <w:p w:rsidR="00265C89" w:rsidRDefault="00265C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265C89" w:rsidRDefault="00265C8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אכ</w:t>
      </w:r>
      <w:r>
        <w:rPr>
          <w:rStyle w:val="default"/>
          <w:rFonts w:cs="FrankRuehl" w:hint="cs"/>
          <w:rtl/>
        </w:rPr>
        <w:t>רזת ההתגוננות האזרחית (תפקידים נדרשים בהגא), תשי"ח</w:t>
      </w:r>
      <w:r>
        <w:rPr>
          <w:rStyle w:val="default"/>
          <w:rFonts w:cs="FrankRuehl"/>
          <w:rtl/>
        </w:rPr>
        <w:t xml:space="preserve">–1958 </w:t>
      </w:r>
      <w:r>
        <w:rPr>
          <w:rStyle w:val="default"/>
          <w:rFonts w:cs="FrankRuehl" w:hint="cs"/>
          <w:rtl/>
        </w:rPr>
        <w:t>בטלה.</w:t>
      </w:r>
    </w:p>
    <w:p w:rsidR="00265C89" w:rsidRDefault="00265C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265C89" w:rsidRDefault="00265C8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>כרזה זו ייקרא "אכרזת ההתגוננות האזרחית (תפקידים נדרשים בהגא), תשכ"ה</w:t>
      </w:r>
      <w:r>
        <w:rPr>
          <w:rStyle w:val="default"/>
          <w:rFonts w:cs="FrankRuehl"/>
          <w:rtl/>
        </w:rPr>
        <w:t>–1964".</w:t>
      </w:r>
    </w:p>
    <w:p w:rsidR="00265C89" w:rsidRDefault="00265C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65C89" w:rsidRDefault="00265C8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ב' </w:t>
      </w:r>
      <w:r>
        <w:rPr>
          <w:rFonts w:cs="FrankRuehl" w:hint="cs"/>
          <w:sz w:val="26"/>
          <w:rtl/>
        </w:rPr>
        <w:t>בחשון</w:t>
      </w:r>
      <w:r>
        <w:rPr>
          <w:rFonts w:cs="FrankRuehl"/>
          <w:sz w:val="26"/>
          <w:rtl/>
        </w:rPr>
        <w:t xml:space="preserve"> ת</w:t>
      </w:r>
      <w:r>
        <w:rPr>
          <w:rFonts w:cs="FrankRuehl" w:hint="cs"/>
          <w:sz w:val="26"/>
          <w:rtl/>
        </w:rPr>
        <w:t>שכ"ה (8 באוקטובר 1964)</w:t>
      </w:r>
      <w:r>
        <w:rPr>
          <w:rFonts w:cs="FrankRuehl"/>
          <w:sz w:val="26"/>
          <w:rtl/>
        </w:rPr>
        <w:tab/>
        <w:t>ל</w:t>
      </w:r>
      <w:r>
        <w:rPr>
          <w:rFonts w:cs="FrankRuehl" w:hint="cs"/>
          <w:sz w:val="26"/>
          <w:rtl/>
        </w:rPr>
        <w:t>וי אשכול</w:t>
      </w:r>
    </w:p>
    <w:p w:rsidR="00265C89" w:rsidRDefault="00265C89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:rsidR="00FE54B9" w:rsidRDefault="00FE54B9" w:rsidP="00FE54B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FE54B9" w:rsidRDefault="00FE54B9" w:rsidP="00FE54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(12)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6" w:history="1">
        <w:r w:rsidRPr="00FE54B9">
          <w:rPr>
            <w:rStyle w:val="Hyperlink"/>
            <w:rFonts w:cs="FrankRuehl" w:hint="cs"/>
            <w:rtl/>
          </w:rPr>
          <w:t>ק"ת תשכ"ה מס' 1639</w:t>
        </w:r>
      </w:hyperlink>
      <w:r>
        <w:rPr>
          <w:rFonts w:cs="FrankRuehl" w:hint="cs"/>
          <w:rtl/>
        </w:rPr>
        <w:t xml:space="preserve"> מיום ט"ז בחשון (22.10.1964) עמ' 235.</w:t>
      </w:r>
    </w:p>
    <w:p w:rsidR="00FE54B9" w:rsidRDefault="00FE54B9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:rsidR="00265C89" w:rsidRDefault="00265C89">
      <w:pPr>
        <w:ind w:right="1134"/>
        <w:rPr>
          <w:rFonts w:cs="David"/>
          <w:sz w:val="24"/>
          <w:rtl/>
        </w:rPr>
      </w:pPr>
      <w:bookmarkStart w:id="3" w:name="LawPartEnd"/>
    </w:p>
    <w:bookmarkEnd w:id="3"/>
    <w:p w:rsidR="00265C89" w:rsidRDefault="00265C89">
      <w:pPr>
        <w:ind w:right="1134"/>
        <w:rPr>
          <w:rFonts w:cs="David"/>
          <w:sz w:val="24"/>
          <w:rtl/>
        </w:rPr>
      </w:pPr>
    </w:p>
    <w:sectPr w:rsidR="00265C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0126" w:rsidRDefault="004D0126">
      <w:r>
        <w:separator/>
      </w:r>
    </w:p>
  </w:endnote>
  <w:endnote w:type="continuationSeparator" w:id="0">
    <w:p w:rsidR="004D0126" w:rsidRDefault="004D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C89" w:rsidRDefault="00265C8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65C89" w:rsidRDefault="00265C8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65C89" w:rsidRDefault="00265C8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M:\0a-lishca\law\gideon-03-02-13\law01\125_012.doc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C89" w:rsidRDefault="00265C8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06B2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65C89" w:rsidRDefault="00265C8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65C89" w:rsidRDefault="00265C8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M:\0a-lishca\law\gideon-03-02-13\law01\125_012.doc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C89" w:rsidRDefault="00265C89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0126" w:rsidRDefault="004D0126">
      <w:r>
        <w:separator/>
      </w:r>
    </w:p>
  </w:footnote>
  <w:footnote w:type="continuationSeparator" w:id="0">
    <w:p w:rsidR="004D0126" w:rsidRDefault="004D0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C89" w:rsidRDefault="00265C8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ההתגוננות האזרחית (תפקידים נדרשים בהגא), תשכ"ה–1964</w:t>
    </w:r>
  </w:p>
  <w:p w:rsidR="00265C89" w:rsidRDefault="00265C8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65C89" w:rsidRDefault="00265C8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C89" w:rsidRDefault="00265C8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ההתגוננות האזרחית (תפקידים נדרשים בהגא), תשכ"ה–1964</w:t>
    </w:r>
  </w:p>
  <w:p w:rsidR="00265C89" w:rsidRDefault="00265C8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65C89" w:rsidRDefault="00265C8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C89" w:rsidRDefault="00265C89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54B9"/>
    <w:rsid w:val="002441EF"/>
    <w:rsid w:val="00265C89"/>
    <w:rsid w:val="004D0126"/>
    <w:rsid w:val="0064678A"/>
    <w:rsid w:val="00B06B2E"/>
    <w:rsid w:val="00E34F54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3FE23C5-A5A7-4F26-A489-3D2B2987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639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125</vt:lpstr>
    </vt:vector>
  </TitlesOfParts>
  <Company/>
  <LinksUpToDate>false</LinksUpToDate>
  <CharactersWithSpaces>1450</CharactersWithSpaces>
  <SharedDoc>false</SharedDoc>
  <HLinks>
    <vt:vector size="24" baseType="variant">
      <vt:variant>
        <vt:i4>8060935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http://www.nevo.co.il/Law_word/law06/TAK-1639.pdf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0125</vt:lpwstr>
  </property>
  <property fmtid="{D5CDD505-2E9C-101B-9397-08002B2CF9AE}" pid="3" name="CHNAME">
    <vt:lpwstr>התגוננות אזרחית</vt:lpwstr>
  </property>
  <property fmtid="{D5CDD505-2E9C-101B-9397-08002B2CF9AE}" pid="4" name="LAWNAME">
    <vt:lpwstr>אכרזת ההתגוננות האזרחית (תפקידים נדרשים בהגא), תשכ"ה–1964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התגוננות אזרחית</vt:lpwstr>
  </property>
  <property fmtid="{D5CDD505-2E9C-101B-9397-08002B2CF9AE}" pid="9" name="NOSE31">
    <vt:lpwstr>תפקידים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ההתגוננות האזרחית</vt:lpwstr>
  </property>
  <property fmtid="{D5CDD505-2E9C-101B-9397-08002B2CF9AE}" pid="48" name="MEKOR_SAIF1">
    <vt:lpwstr>7X</vt:lpwstr>
  </property>
</Properties>
</file>