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4D2" w14:textId="77777777" w:rsidR="000F4D0B" w:rsidRDefault="00503103" w:rsidP="00CA00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CA0016">
        <w:rPr>
          <w:rFonts w:cs="FrankRuehl" w:hint="cs"/>
          <w:sz w:val="32"/>
          <w:rtl/>
        </w:rPr>
        <w:t>מנדא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9289F9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67FC5B1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ECFDCC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754E6E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4DCE" w:rsidRPr="005E4DCE" w14:paraId="43B6AA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2BF3E0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437DA28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DB8D4B8" w14:textId="77777777" w:rsidR="005E4DCE" w:rsidRPr="005E4DCE" w:rsidRDefault="005E4DCE" w:rsidP="005E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E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C58CC7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4DCE" w:rsidRPr="005E4DCE" w14:paraId="7BC639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C71604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DA476D6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96FD25A" w14:textId="77777777" w:rsidR="005E4DCE" w:rsidRPr="005E4DCE" w:rsidRDefault="005E4DCE" w:rsidP="005E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E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E57BAC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4DCE" w:rsidRPr="005E4DCE" w14:paraId="068D73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883B3B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B554297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20E873F3" w14:textId="77777777" w:rsidR="005E4DCE" w:rsidRPr="005E4DCE" w:rsidRDefault="005E4DCE" w:rsidP="005E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5E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B4E3A2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4DCE" w:rsidRPr="005E4DCE" w14:paraId="23AE56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9D710C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206C854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94018CE" w14:textId="77777777" w:rsidR="005E4DCE" w:rsidRPr="005E4DCE" w:rsidRDefault="005E4DCE" w:rsidP="005E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E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046BF4" w14:textId="77777777" w:rsidR="005E4DCE" w:rsidRPr="005E4DCE" w:rsidRDefault="005E4DCE" w:rsidP="005E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23FAEA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01CBA14" w14:textId="77777777" w:rsidR="000F4D0B" w:rsidRDefault="000F4D0B" w:rsidP="00CA001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A0016">
        <w:rPr>
          <w:rFonts w:cs="FrankRuehl" w:hint="cs"/>
          <w:sz w:val="32"/>
          <w:rtl/>
        </w:rPr>
        <w:t>מנדא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1B50BB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7F4EA00" w14:textId="77777777" w:rsidR="000F4D0B" w:rsidRDefault="000F4D0B" w:rsidP="00672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B54B55A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16F88CA6" w14:textId="77777777" w:rsidR="00C01ED2" w:rsidRDefault="00C01ED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672B58">
        <w:rPr>
          <w:rStyle w:val="default"/>
          <w:rFonts w:cs="FrankRuehl" w:hint="cs"/>
          <w:rtl/>
        </w:rPr>
        <w:t>2005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9C1FA8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BBDFC7C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2FC7AD2F" w14:textId="77777777" w:rsidR="00C01ED2" w:rsidRDefault="00C01ED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1B623C1" w14:textId="77777777" w:rsidR="00672B58" w:rsidRDefault="00672B58" w:rsidP="00672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28C0321">
          <v:rect id="_x0000_s1053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4F727BE2" w14:textId="77777777" w:rsidR="00672B58" w:rsidRDefault="00672B58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בתוספת לאכרזת היערות (אזור שמור ליער), התשי"ז-1957, "המספר הסידורי: 91"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23867ADB" w14:textId="77777777"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23F1EE" w14:textId="77777777" w:rsidR="000F4D0B" w:rsidRPr="00186CF7" w:rsidRDefault="00910ADF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 w14:anchorId="6060D9E9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65.6pt;margin-top:7.1pt;width:76.75pt;height:9.75pt;z-index:251659264" filled="f" stroked="f">
            <v:textbox inset="1mm,0,1mm,0">
              <w:txbxContent>
                <w:p w14:paraId="71938187" w14:textId="77777777" w:rsidR="00910ADF" w:rsidRDefault="00910ADF" w:rsidP="00910AD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3053783" w14:textId="77777777" w:rsidR="00111695" w:rsidRDefault="005840A4" w:rsidP="00672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72B58">
        <w:rPr>
          <w:rStyle w:val="default"/>
          <w:rFonts w:cs="FrankRuehl" w:hint="cs"/>
          <w:rtl/>
        </w:rPr>
        <w:t>2005</w:t>
      </w:r>
    </w:p>
    <w:p w14:paraId="2A2F86C4" w14:textId="77777777" w:rsidR="00111695" w:rsidRDefault="005840A4" w:rsidP="00672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72B58">
        <w:rPr>
          <w:rStyle w:val="default"/>
          <w:rFonts w:cs="FrankRuehl" w:hint="cs"/>
          <w:rtl/>
        </w:rPr>
        <w:t>מנדא</w:t>
      </w:r>
    </w:p>
    <w:p w14:paraId="7C51CF83" w14:textId="77777777" w:rsidR="00111695" w:rsidRDefault="005840A4" w:rsidP="00672B5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72B58">
        <w:rPr>
          <w:rStyle w:val="default"/>
          <w:rFonts w:cs="FrankRuehl" w:hint="cs"/>
          <w:rtl/>
        </w:rPr>
        <w:t>מצפון לכפר מנדא וממזרח לכביש 784</w:t>
      </w:r>
    </w:p>
    <w:p w14:paraId="6992CB46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3F8D31D8" w14:textId="77777777" w:rsidR="005840A4" w:rsidRDefault="005840A4" w:rsidP="00672B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72B58">
        <w:rPr>
          <w:rStyle w:val="default"/>
          <w:rFonts w:cs="FrankRuehl" w:hint="cs"/>
          <w:rtl/>
        </w:rPr>
        <w:t>278</w:t>
      </w:r>
    </w:p>
    <w:p w14:paraId="26BDF726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0BF31D0" w14:textId="77777777" w:rsidR="00672B58" w:rsidRDefault="00672B5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06ADFC5" w14:textId="77777777">
        <w:tc>
          <w:tcPr>
            <w:tcW w:w="1974" w:type="dxa"/>
            <w:vAlign w:val="bottom"/>
          </w:tcPr>
          <w:p w14:paraId="21E6DD91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0CED7D2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A3A6C7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7E5F7DD2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6E5B3BCD" w14:textId="77777777">
        <w:tc>
          <w:tcPr>
            <w:tcW w:w="1974" w:type="dxa"/>
          </w:tcPr>
          <w:p w14:paraId="0F17536C" w14:textId="77777777" w:rsidR="004A4106" w:rsidRPr="004A4106" w:rsidRDefault="00672B58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17555</w:t>
            </w:r>
          </w:p>
        </w:tc>
        <w:tc>
          <w:tcPr>
            <w:tcW w:w="1648" w:type="dxa"/>
          </w:tcPr>
          <w:p w14:paraId="0CE81B52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F6CDE66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37,011</w:t>
            </w:r>
          </w:p>
        </w:tc>
        <w:tc>
          <w:tcPr>
            <w:tcW w:w="2171" w:type="dxa"/>
          </w:tcPr>
          <w:p w14:paraId="4E9CBF14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6,731</w:t>
            </w:r>
          </w:p>
        </w:tc>
      </w:tr>
      <w:tr w:rsidR="00690EF9" w:rsidRPr="004A4106" w14:paraId="2255C286" w14:textId="77777777">
        <w:tc>
          <w:tcPr>
            <w:tcW w:w="1974" w:type="dxa"/>
          </w:tcPr>
          <w:p w14:paraId="3D122A00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17555</w:t>
            </w:r>
          </w:p>
        </w:tc>
        <w:tc>
          <w:tcPr>
            <w:tcW w:w="1648" w:type="dxa"/>
          </w:tcPr>
          <w:p w14:paraId="7CE205A8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5FFFF10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7,856</w:t>
            </w:r>
          </w:p>
        </w:tc>
        <w:tc>
          <w:tcPr>
            <w:tcW w:w="2171" w:type="dxa"/>
          </w:tcPr>
          <w:p w14:paraId="48E8B432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7,856</w:t>
            </w:r>
          </w:p>
        </w:tc>
      </w:tr>
      <w:tr w:rsidR="00690EF9" w:rsidRPr="004A4106" w14:paraId="413A7ACA" w14:textId="77777777">
        <w:tc>
          <w:tcPr>
            <w:tcW w:w="1974" w:type="dxa"/>
          </w:tcPr>
          <w:p w14:paraId="4F1458C8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17555</w:t>
            </w:r>
          </w:p>
        </w:tc>
        <w:tc>
          <w:tcPr>
            <w:tcW w:w="1648" w:type="dxa"/>
          </w:tcPr>
          <w:p w14:paraId="5A9EE325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C7CF143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277,101</w:t>
            </w:r>
          </w:p>
        </w:tc>
        <w:tc>
          <w:tcPr>
            <w:tcW w:w="2171" w:type="dxa"/>
          </w:tcPr>
          <w:p w14:paraId="0040639F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24,050</w:t>
            </w:r>
          </w:p>
        </w:tc>
      </w:tr>
      <w:tr w:rsidR="00690EF9" w:rsidRPr="004A4106" w14:paraId="64D02A9A" w14:textId="77777777">
        <w:tc>
          <w:tcPr>
            <w:tcW w:w="1974" w:type="dxa"/>
          </w:tcPr>
          <w:p w14:paraId="7B8581C7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17556</w:t>
            </w:r>
          </w:p>
        </w:tc>
        <w:tc>
          <w:tcPr>
            <w:tcW w:w="1648" w:type="dxa"/>
          </w:tcPr>
          <w:p w14:paraId="4BD0BB2F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1A9D8B6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79,848</w:t>
            </w:r>
          </w:p>
        </w:tc>
        <w:tc>
          <w:tcPr>
            <w:tcW w:w="2171" w:type="dxa"/>
          </w:tcPr>
          <w:p w14:paraId="0BEB8168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6,858</w:t>
            </w:r>
          </w:p>
        </w:tc>
      </w:tr>
      <w:tr w:rsidR="00690EF9" w:rsidRPr="004A4106" w14:paraId="3834C06C" w14:textId="77777777">
        <w:tc>
          <w:tcPr>
            <w:tcW w:w="1974" w:type="dxa"/>
          </w:tcPr>
          <w:p w14:paraId="20FF3C26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17560</w:t>
            </w:r>
          </w:p>
        </w:tc>
        <w:tc>
          <w:tcPr>
            <w:tcW w:w="1648" w:type="dxa"/>
          </w:tcPr>
          <w:p w14:paraId="7AB34E59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BD1B6A6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41,689</w:t>
            </w:r>
          </w:p>
        </w:tc>
        <w:tc>
          <w:tcPr>
            <w:tcW w:w="2171" w:type="dxa"/>
          </w:tcPr>
          <w:p w14:paraId="4758E422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39,346</w:t>
            </w:r>
          </w:p>
        </w:tc>
      </w:tr>
      <w:tr w:rsidR="00690EF9" w:rsidRPr="004A4106" w14:paraId="074F4C93" w14:textId="77777777">
        <w:tc>
          <w:tcPr>
            <w:tcW w:w="1974" w:type="dxa"/>
          </w:tcPr>
          <w:p w14:paraId="5AC6C16E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17560</w:t>
            </w:r>
          </w:p>
        </w:tc>
        <w:tc>
          <w:tcPr>
            <w:tcW w:w="1648" w:type="dxa"/>
          </w:tcPr>
          <w:p w14:paraId="15F77CC5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27A42F1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30,601</w:t>
            </w:r>
          </w:p>
        </w:tc>
        <w:tc>
          <w:tcPr>
            <w:tcW w:w="2171" w:type="dxa"/>
          </w:tcPr>
          <w:p w14:paraId="37670C4A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30,601</w:t>
            </w:r>
          </w:p>
        </w:tc>
      </w:tr>
      <w:tr w:rsidR="00690EF9" w:rsidRPr="004A4106" w14:paraId="6C0F5275" w14:textId="77777777">
        <w:tc>
          <w:tcPr>
            <w:tcW w:w="1974" w:type="dxa"/>
          </w:tcPr>
          <w:p w14:paraId="08396724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17560</w:t>
            </w:r>
          </w:p>
        </w:tc>
        <w:tc>
          <w:tcPr>
            <w:tcW w:w="1648" w:type="dxa"/>
          </w:tcPr>
          <w:p w14:paraId="1D368B59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08CA2CF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124,063</w:t>
            </w:r>
          </w:p>
        </w:tc>
        <w:tc>
          <w:tcPr>
            <w:tcW w:w="2171" w:type="dxa"/>
          </w:tcPr>
          <w:p w14:paraId="3E4EB1FF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69,919</w:t>
            </w:r>
          </w:p>
        </w:tc>
      </w:tr>
      <w:tr w:rsidR="00690EF9" w:rsidRPr="004A4106" w14:paraId="23BAFBE8" w14:textId="77777777">
        <w:tc>
          <w:tcPr>
            <w:tcW w:w="1974" w:type="dxa"/>
          </w:tcPr>
          <w:p w14:paraId="22DB5601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17560</w:t>
            </w:r>
          </w:p>
        </w:tc>
        <w:tc>
          <w:tcPr>
            <w:tcW w:w="1648" w:type="dxa"/>
          </w:tcPr>
          <w:p w14:paraId="537F35CF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240310C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14,178</w:t>
            </w:r>
          </w:p>
        </w:tc>
        <w:tc>
          <w:tcPr>
            <w:tcW w:w="2171" w:type="dxa"/>
          </w:tcPr>
          <w:p w14:paraId="03A673F4" w14:textId="77777777" w:rsidR="004A4106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11,656</w:t>
            </w:r>
          </w:p>
        </w:tc>
      </w:tr>
      <w:tr w:rsidR="00690EF9" w:rsidRPr="004A4106" w14:paraId="10FC39C6" w14:textId="77777777">
        <w:tc>
          <w:tcPr>
            <w:tcW w:w="1974" w:type="dxa"/>
          </w:tcPr>
          <w:p w14:paraId="575EC9D3" w14:textId="77777777" w:rsidR="00690EF9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17560</w:t>
            </w:r>
          </w:p>
        </w:tc>
        <w:tc>
          <w:tcPr>
            <w:tcW w:w="1648" w:type="dxa"/>
          </w:tcPr>
          <w:p w14:paraId="6A71759F" w14:textId="77777777" w:rsidR="00690EF9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DBA4A07" w14:textId="77777777" w:rsidR="00690EF9" w:rsidRPr="004A4106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354,795</w:t>
            </w:r>
          </w:p>
        </w:tc>
        <w:tc>
          <w:tcPr>
            <w:tcW w:w="2171" w:type="dxa"/>
          </w:tcPr>
          <w:p w14:paraId="0EB6AC4A" w14:textId="77777777" w:rsidR="00690EF9" w:rsidRPr="00910ADF" w:rsidRDefault="00672B5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80,741</w:t>
            </w:r>
            <w:r w:rsidR="00910AD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910ADF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13,260 מ"ר, לפי השטח המסומן בקווי רשת אדומים על גבי המפה המופקדת במשרדו של פקיד היערות במשרד החקלאות ופיתוח הכפר (להלן </w:t>
            </w:r>
            <w:r w:rsidR="00910ADF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910ADF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</w:tbl>
    <w:p w14:paraId="37411ED2" w14:textId="77777777" w:rsidR="00910ADF" w:rsidRDefault="00910A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48397A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D1D955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E8B6DD1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600BFE6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CE8D4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0EDBD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515D640" w14:textId="77777777" w:rsidR="005E4DCE" w:rsidRDefault="005E4DC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C91FBC" w14:textId="77777777" w:rsidR="005E4DCE" w:rsidRDefault="005E4DCE" w:rsidP="005E4DC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D3118B" w14:textId="77777777" w:rsidR="003D3F91" w:rsidRPr="005E4DCE" w:rsidRDefault="003D3F91" w:rsidP="005E4DC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5E4DC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5D2F" w14:textId="77777777" w:rsidR="001D7CAE" w:rsidRDefault="001D7CAE">
      <w:r>
        <w:separator/>
      </w:r>
    </w:p>
  </w:endnote>
  <w:endnote w:type="continuationSeparator" w:id="0">
    <w:p w14:paraId="2EDA81B0" w14:textId="77777777" w:rsidR="001D7CAE" w:rsidRDefault="001D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B0FDA" w14:textId="77777777"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EBD8B6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E5B900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4DCE">
      <w:rPr>
        <w:rFonts w:cs="TopType Jerushalmi"/>
        <w:noProof/>
        <w:color w:val="000000"/>
        <w:sz w:val="14"/>
        <w:szCs w:val="14"/>
      </w:rPr>
      <w:t>Z:\000-law\yael\2015\2015-02-19\tav\180_129.doc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2706" w14:textId="77777777"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1F0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7C5C4CE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1BF273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4DCE">
      <w:rPr>
        <w:rFonts w:cs="TopType Jerushalmi"/>
        <w:noProof/>
        <w:color w:val="000000"/>
        <w:sz w:val="14"/>
        <w:szCs w:val="14"/>
      </w:rPr>
      <w:t>Z:\000-law\yael\2015\2015-02-19\tav\180_129.doc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A013" w14:textId="77777777" w:rsidR="001D7CAE" w:rsidRDefault="001D7CA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8A01C3" w14:textId="77777777" w:rsidR="001D7CAE" w:rsidRDefault="001D7CAE">
      <w:r>
        <w:continuationSeparator/>
      </w:r>
    </w:p>
  </w:footnote>
  <w:footnote w:id="1">
    <w:p w14:paraId="012B2299" w14:textId="77777777" w:rsidR="00EB77DE" w:rsidRDefault="00C01ED2" w:rsidP="00EB77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B77DE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</w:t>
      </w:r>
      <w:r w:rsidR="00221750">
        <w:rPr>
          <w:rFonts w:cs="FrankRuehl" w:hint="cs"/>
          <w:rtl/>
        </w:rPr>
        <w:t>8</w:t>
      </w:r>
      <w:r w:rsidR="00CA0016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  <w:p w14:paraId="6EDAEA59" w14:textId="77777777" w:rsidR="00EA1F0C" w:rsidRPr="00503103" w:rsidRDefault="00910ADF" w:rsidP="00EA1F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EA1F0C">
          <w:rPr>
            <w:rStyle w:val="Hyperlink"/>
            <w:rFonts w:cs="FrankRuehl" w:hint="cs"/>
            <w:rtl/>
          </w:rPr>
          <w:t>ק"ת תשע"ז מס' 7735</w:t>
        </w:r>
      </w:hyperlink>
      <w:r>
        <w:rPr>
          <w:rFonts w:cs="FrankRuehl" w:hint="cs"/>
          <w:rtl/>
        </w:rPr>
        <w:t xml:space="preserve"> מיום 28.11.2016 עמ' 217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69EE" w14:textId="77777777" w:rsidR="00C01ED2" w:rsidRDefault="00C01E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2D089E7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4756D5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4D04" w14:textId="77777777" w:rsidR="00C01ED2" w:rsidRDefault="00C01ED2" w:rsidP="00CA001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CA0016">
      <w:rPr>
        <w:rFonts w:hAnsi="FrankRuehl" w:cs="FrankRuehl" w:hint="cs"/>
        <w:color w:val="000000"/>
        <w:sz w:val="28"/>
        <w:szCs w:val="28"/>
        <w:rtl/>
      </w:rPr>
      <w:t>מנדא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6DF26BD7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200BB3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D7CAE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09A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96069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4DCE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AD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2965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4C96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49DF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1F0C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B77DE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D568F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A3CFF77"/>
  <w15:chartTrackingRefBased/>
  <w15:docId w15:val="{64CF36BA-FBA2-4789-9BE5-541CF5D3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1973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מנדא), תשע"ה-2015</vt:lpwstr>
  </property>
  <property fmtid="{D5CDD505-2E9C-101B-9397-08002B2CF9AE}" pid="5" name="LAWNUMBER">
    <vt:lpwstr>0129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http://www.nevo.co.il/Law_word/law06/tak-7735.pdf;‎רשומות - תקנות כלליות#תוקנה ק"ת תשע"ז מס' ‏‏7735 #מיום 28.11.2016 עמ' 217 – אכרזה תשע"ז-2016‏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888‏</vt:lpwstr>
  </property>
</Properties>
</file>