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FC23F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FC23FB">
        <w:rPr>
          <w:rFonts w:cs="FrankRuehl" w:hint="cs"/>
          <w:sz w:val="32"/>
          <w:rtl/>
        </w:rPr>
        <w:t>עלמה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F4345" w:rsidRPr="001F4345" w:rsidTr="001F43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F43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4345" w:rsidRPr="001F4345" w:rsidTr="001F43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F43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4345" w:rsidRPr="001F4345" w:rsidTr="001F43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ביוני 1926</w:t>
            </w:r>
          </w:p>
        </w:tc>
        <w:tc>
          <w:tcPr>
            <w:tcW w:w="56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יוני 1926" w:history="1">
              <w:r w:rsidRPr="001F43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F4345" w:rsidRPr="001F4345" w:rsidTr="001F43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F43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4345" w:rsidRPr="001F4345" w:rsidRDefault="001F4345" w:rsidP="001F434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FC23F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C23FB">
        <w:rPr>
          <w:rFonts w:cs="FrankRuehl" w:hint="cs"/>
          <w:sz w:val="32"/>
          <w:rtl/>
        </w:rPr>
        <w:t>עלמה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525E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25E12">
        <w:rPr>
          <w:rStyle w:val="default"/>
          <w:rFonts w:cs="FrankRuehl" w:hint="cs"/>
          <w:rtl/>
        </w:rPr>
        <w:t>2051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525E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19.1pt;z-index:251658752" o:allowincell="f" filled="f" stroked="f" strokecolor="lime" strokeweight=".25pt">
            <v:textbox inset="0,0,0,0">
              <w:txbxContent>
                <w:p w:rsidR="00063C32" w:rsidRDefault="00FD0ACF" w:rsidP="00525E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1 </w:t>
                  </w:r>
                  <w:r w:rsidR="00525E12">
                    <w:rPr>
                      <w:rFonts w:cs="Miriam" w:hint="cs"/>
                      <w:sz w:val="18"/>
                      <w:szCs w:val="18"/>
                      <w:rtl/>
                    </w:rPr>
                    <w:t>ביוני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FD0ACF">
        <w:rPr>
          <w:rStyle w:val="default"/>
          <w:rFonts w:cs="FrankRuehl" w:hint="cs"/>
          <w:rtl/>
        </w:rPr>
        <w:t xml:space="preserve">באכרזה לפי סעיף 3 לפקודה שניתנה ביום 1 </w:t>
      </w:r>
      <w:r w:rsidR="00525E12">
        <w:rPr>
          <w:rStyle w:val="default"/>
          <w:rFonts w:cs="FrankRuehl" w:hint="cs"/>
          <w:rtl/>
        </w:rPr>
        <w:t>ביוני 1926</w:t>
      </w:r>
      <w:r w:rsidR="00FD0ACF">
        <w:rPr>
          <w:rStyle w:val="default"/>
          <w:rFonts w:cs="FrankRuehl" w:hint="cs"/>
          <w:rtl/>
        </w:rPr>
        <w:t>, "המספר</w:t>
      </w:r>
      <w:r w:rsidR="00525E12">
        <w:rPr>
          <w:rStyle w:val="default"/>
          <w:rFonts w:cs="FrankRuehl" w:hint="cs"/>
          <w:rtl/>
        </w:rPr>
        <w:t xml:space="preserve"> הסידורי</w:t>
      </w:r>
      <w:r w:rsidR="00FD0ACF">
        <w:rPr>
          <w:rStyle w:val="default"/>
          <w:rFonts w:cs="FrankRuehl" w:hint="cs"/>
          <w:rtl/>
        </w:rPr>
        <w:t xml:space="preserve">: </w:t>
      </w:r>
      <w:r w:rsidR="00525E12">
        <w:rPr>
          <w:rStyle w:val="default"/>
          <w:rFonts w:cs="FrankRuehl" w:hint="cs"/>
          <w:rtl/>
        </w:rPr>
        <w:t>109</w:t>
      </w:r>
      <w:r w:rsidR="00FD0ACF">
        <w:rPr>
          <w:rStyle w:val="default"/>
          <w:rFonts w:cs="FrankRuehl" w:hint="cs"/>
          <w:rtl/>
        </w:rPr>
        <w:t xml:space="preserve">" וכל האדמות המתוארות </w:t>
      </w:r>
      <w:r w:rsidR="00525E12">
        <w:rPr>
          <w:rStyle w:val="default"/>
          <w:rFonts w:cs="FrankRuehl" w:hint="cs"/>
          <w:rtl/>
        </w:rPr>
        <w:t>לצדו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FD0ACF">
        <w:rPr>
          <w:rStyle w:val="default"/>
          <w:rFonts w:cs="FrankRuehl" w:hint="cs"/>
          <w:rtl/>
        </w:rPr>
        <w:t>יימחקו</w:t>
      </w:r>
      <w:r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525E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25E12">
        <w:rPr>
          <w:rStyle w:val="default"/>
          <w:rFonts w:cs="FrankRuehl" w:hint="cs"/>
          <w:rtl/>
        </w:rPr>
        <w:t>2051</w:t>
      </w:r>
    </w:p>
    <w:p w:rsidR="00111695" w:rsidRDefault="005840A4" w:rsidP="00525E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25E12">
        <w:rPr>
          <w:rStyle w:val="default"/>
          <w:rFonts w:cs="FrankRuehl" w:hint="cs"/>
          <w:rtl/>
        </w:rPr>
        <w:t>עלמה</w:t>
      </w:r>
    </w:p>
    <w:p w:rsidR="00111695" w:rsidRDefault="005840A4" w:rsidP="00525E12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25E12">
        <w:rPr>
          <w:rStyle w:val="default"/>
          <w:rFonts w:cs="FrankRuehl" w:hint="cs"/>
          <w:rtl/>
        </w:rPr>
        <w:t>בין היישובים דישון בצפון ועלמה בדרום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525E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25E12">
        <w:rPr>
          <w:rStyle w:val="default"/>
          <w:rFonts w:cs="FrankRuehl" w:hint="cs"/>
          <w:rtl/>
        </w:rPr>
        <w:t>82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525E12" w:rsidRDefault="00525E1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525E12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14308</w:t>
            </w:r>
          </w:p>
        </w:tc>
        <w:tc>
          <w:tcPr>
            <w:tcW w:w="1648" w:type="dxa"/>
          </w:tcPr>
          <w:p w:rsidR="004A4106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143,305</w:t>
            </w:r>
          </w:p>
        </w:tc>
        <w:tc>
          <w:tcPr>
            <w:tcW w:w="2171" w:type="dxa"/>
          </w:tcPr>
          <w:p w:rsidR="004A4106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53,016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525E12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14315</w:t>
            </w:r>
          </w:p>
        </w:tc>
        <w:tc>
          <w:tcPr>
            <w:tcW w:w="1648" w:type="dxa"/>
          </w:tcPr>
          <w:p w:rsidR="00F5199D" w:rsidRPr="004A4106" w:rsidRDefault="00525E12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F5199D" w:rsidRPr="004A4106" w:rsidRDefault="00525E12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438,796</w:t>
            </w:r>
          </w:p>
        </w:tc>
        <w:tc>
          <w:tcPr>
            <w:tcW w:w="2171" w:type="dxa"/>
          </w:tcPr>
          <w:p w:rsidR="00F5199D" w:rsidRPr="004A4106" w:rsidRDefault="00525E12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10,319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14315</w:t>
            </w:r>
          </w:p>
        </w:tc>
        <w:tc>
          <w:tcPr>
            <w:tcW w:w="1648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38,464</w:t>
            </w:r>
          </w:p>
        </w:tc>
        <w:tc>
          <w:tcPr>
            <w:tcW w:w="2171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6,142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14315</w:t>
            </w:r>
          </w:p>
        </w:tc>
        <w:tc>
          <w:tcPr>
            <w:tcW w:w="1648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5,982</w:t>
            </w:r>
          </w:p>
        </w:tc>
        <w:tc>
          <w:tcPr>
            <w:tcW w:w="2171" w:type="dxa"/>
          </w:tcPr>
          <w:p w:rsidR="00F5199D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14317</w:t>
            </w:r>
          </w:p>
        </w:tc>
        <w:tc>
          <w:tcPr>
            <w:tcW w:w="1648" w:type="dxa"/>
          </w:tcPr>
          <w:p w:rsidR="00A04F89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3,280</w:t>
            </w:r>
          </w:p>
        </w:tc>
        <w:tc>
          <w:tcPr>
            <w:tcW w:w="2171" w:type="dxa"/>
          </w:tcPr>
          <w:p w:rsidR="00A04F89" w:rsidRPr="004A4106" w:rsidRDefault="00525E1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14317</w:t>
            </w:r>
          </w:p>
        </w:tc>
        <w:tc>
          <w:tcPr>
            <w:tcW w:w="1648" w:type="dxa"/>
          </w:tcPr>
          <w:p w:rsidR="00A04F89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85,142</w:t>
            </w:r>
          </w:p>
        </w:tc>
        <w:tc>
          <w:tcPr>
            <w:tcW w:w="2171" w:type="dxa"/>
          </w:tcPr>
          <w:p w:rsidR="00A04F89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7,531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14317</w:t>
            </w:r>
          </w:p>
        </w:tc>
        <w:tc>
          <w:tcPr>
            <w:tcW w:w="1648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1,731</w:t>
            </w:r>
          </w:p>
        </w:tc>
        <w:tc>
          <w:tcPr>
            <w:tcW w:w="2171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14321</w:t>
            </w:r>
          </w:p>
        </w:tc>
        <w:tc>
          <w:tcPr>
            <w:tcW w:w="1648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217,117</w:t>
            </w:r>
          </w:p>
        </w:tc>
        <w:tc>
          <w:tcPr>
            <w:tcW w:w="2171" w:type="dxa"/>
          </w:tcPr>
          <w:p w:rsidR="00717C90" w:rsidRPr="004A4106" w:rsidRDefault="00525E12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1F4345" w:rsidRDefault="001F434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4345" w:rsidRDefault="001F434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4345" w:rsidRDefault="001F4345" w:rsidP="001F43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1F4345" w:rsidRDefault="00DF7CE8" w:rsidP="001F43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1F434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287E" w:rsidRDefault="00CB287E">
      <w:r>
        <w:separator/>
      </w:r>
    </w:p>
  </w:endnote>
  <w:endnote w:type="continuationSeparator" w:id="0">
    <w:p w:rsidR="00CB287E" w:rsidRDefault="00CB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4345">
      <w:rPr>
        <w:rFonts w:cs="TopType Jerushalmi"/>
        <w:noProof/>
        <w:color w:val="000000"/>
        <w:sz w:val="14"/>
        <w:szCs w:val="14"/>
      </w:rPr>
      <w:t>Z:\000-law\yael\2015\2015-07-13\hak150709\tav\180_187.doc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43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4345">
      <w:rPr>
        <w:rFonts w:cs="TopType Jerushalmi"/>
        <w:noProof/>
        <w:color w:val="000000"/>
        <w:sz w:val="14"/>
        <w:szCs w:val="14"/>
      </w:rPr>
      <w:t>Z:\000-law\yael\2015\2015-07-13\hak150709\tav\180_187.doc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287E" w:rsidRDefault="00CB287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B287E" w:rsidRDefault="00CB287E">
      <w:r>
        <w:continuationSeparator/>
      </w:r>
    </w:p>
  </w:footnote>
  <w:footnote w:id="1">
    <w:p w:rsidR="00E33143" w:rsidRPr="00503103" w:rsidRDefault="00063C32" w:rsidP="00E331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33143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FC23FB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FC23F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C23FB">
      <w:rPr>
        <w:rFonts w:hAnsi="FrankRuehl" w:cs="FrankRuehl" w:hint="cs"/>
        <w:color w:val="000000"/>
        <w:sz w:val="28"/>
        <w:szCs w:val="28"/>
        <w:rtl/>
      </w:rPr>
      <w:t>עלמה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51B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4345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3779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287E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123F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143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5D21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5284BE5-E61D-4000-B2EA-C70560F7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1832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עלמה), תשע"ה-2015</vt:lpwstr>
  </property>
  <property fmtid="{D5CDD505-2E9C-101B-9397-08002B2CF9AE}" pid="5" name="LAWNUMBER">
    <vt:lpwstr>0187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1352‏</vt:lpwstr>
  </property>
</Properties>
</file>