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6D009" w14:textId="77777777" w:rsidR="00A47B9E" w:rsidRDefault="00A47B9E">
      <w:pPr>
        <w:pStyle w:val="big-header"/>
        <w:ind w:left="0" w:right="1134"/>
        <w:rPr>
          <w:rFonts w:cs="FrankRuehl"/>
          <w:sz w:val="32"/>
        </w:rPr>
      </w:pPr>
      <w:r>
        <w:rPr>
          <w:rFonts w:cs="FrankRuehl"/>
          <w:sz w:val="32"/>
          <w:rtl/>
        </w:rPr>
        <w:t>דבר המלך במועצה על ארץ-ישראל (הגנה), 1937</w:t>
      </w:r>
    </w:p>
    <w:p w14:paraId="1557A045" w14:textId="77777777" w:rsidR="00587DC5" w:rsidRPr="00587DC5" w:rsidRDefault="00587DC5" w:rsidP="00587DC5">
      <w:pPr>
        <w:spacing w:line="320" w:lineRule="auto"/>
        <w:jc w:val="left"/>
        <w:rPr>
          <w:rFonts w:cs="FrankRuehl"/>
          <w:szCs w:val="26"/>
          <w:rtl/>
        </w:rPr>
      </w:pPr>
    </w:p>
    <w:p w14:paraId="5DAC36FB" w14:textId="77777777" w:rsidR="00587DC5" w:rsidRDefault="00587DC5" w:rsidP="00587DC5">
      <w:pPr>
        <w:spacing w:line="320" w:lineRule="auto"/>
        <w:jc w:val="left"/>
        <w:rPr>
          <w:rtl/>
        </w:rPr>
      </w:pPr>
    </w:p>
    <w:p w14:paraId="32C612B3" w14:textId="77777777" w:rsidR="00587DC5" w:rsidRPr="00587DC5" w:rsidRDefault="00587DC5" w:rsidP="00587DC5">
      <w:pPr>
        <w:spacing w:line="320" w:lineRule="auto"/>
        <w:jc w:val="left"/>
        <w:rPr>
          <w:rFonts w:cs="Miriam"/>
          <w:szCs w:val="22"/>
          <w:rtl/>
        </w:rPr>
      </w:pPr>
      <w:r w:rsidRPr="00587DC5">
        <w:rPr>
          <w:rFonts w:cs="Miriam"/>
          <w:szCs w:val="22"/>
          <w:rtl/>
        </w:rPr>
        <w:t xml:space="preserve">דיני חוקה </w:t>
      </w:r>
      <w:r w:rsidRPr="00587DC5">
        <w:rPr>
          <w:rFonts w:cs="FrankRuehl"/>
          <w:szCs w:val="26"/>
          <w:rtl/>
        </w:rPr>
        <w:t xml:space="preserve"> – פרשנות ויסודות המשפט – דבר המלך במועצה</w:t>
      </w:r>
    </w:p>
    <w:p w14:paraId="73C83CDC" w14:textId="77777777" w:rsidR="00A47B9E" w:rsidRDefault="00A47B9E">
      <w:pPr>
        <w:pStyle w:val="big-header"/>
        <w:ind w:left="0" w:right="1134"/>
        <w:rPr>
          <w:rFonts w:cs="FrankRuehl"/>
          <w:sz w:val="32"/>
          <w:rtl/>
        </w:rPr>
      </w:pPr>
      <w:r>
        <w:rPr>
          <w:rFonts w:cs="FrankRuehl"/>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F31767" w:rsidRPr="00F31767" w14:paraId="65735172" w14:textId="77777777">
        <w:tblPrEx>
          <w:tblCellMar>
            <w:top w:w="0" w:type="dxa"/>
            <w:bottom w:w="0" w:type="dxa"/>
          </w:tblCellMar>
        </w:tblPrEx>
        <w:tc>
          <w:tcPr>
            <w:tcW w:w="1247" w:type="dxa"/>
          </w:tcPr>
          <w:p w14:paraId="63D3A9F9" w14:textId="77777777" w:rsidR="00F31767" w:rsidRPr="00F31767" w:rsidRDefault="00F31767" w:rsidP="00F31767">
            <w:pPr>
              <w:spacing w:line="240" w:lineRule="auto"/>
              <w:jc w:val="left"/>
              <w:rPr>
                <w:rFonts w:cs="Frankruhel"/>
                <w:sz w:val="24"/>
                <w:rtl/>
              </w:rPr>
            </w:pPr>
          </w:p>
        </w:tc>
        <w:tc>
          <w:tcPr>
            <w:tcW w:w="5669" w:type="dxa"/>
          </w:tcPr>
          <w:p w14:paraId="4A2C9E95" w14:textId="77777777" w:rsidR="00F31767" w:rsidRPr="00F31767" w:rsidRDefault="00F31767" w:rsidP="00F31767">
            <w:pPr>
              <w:spacing w:line="240" w:lineRule="auto"/>
              <w:jc w:val="left"/>
              <w:rPr>
                <w:rFonts w:cs="Frankruhel"/>
                <w:sz w:val="24"/>
                <w:rtl/>
              </w:rPr>
            </w:pPr>
            <w:r>
              <w:rPr>
                <w:sz w:val="24"/>
                <w:rtl/>
              </w:rPr>
              <w:t>הוראות כלליות</w:t>
            </w:r>
          </w:p>
        </w:tc>
        <w:tc>
          <w:tcPr>
            <w:tcW w:w="567" w:type="dxa"/>
          </w:tcPr>
          <w:p w14:paraId="2CCC8DE6" w14:textId="77777777" w:rsidR="00F31767" w:rsidRPr="00F31767" w:rsidRDefault="00F31767" w:rsidP="00F31767">
            <w:pPr>
              <w:spacing w:line="240" w:lineRule="auto"/>
              <w:jc w:val="left"/>
              <w:rPr>
                <w:rStyle w:val="Hyperlink"/>
                <w:rtl/>
              </w:rPr>
            </w:pPr>
            <w:hyperlink w:anchor="med0" w:tooltip="הוראות כלליות" w:history="1">
              <w:r w:rsidRPr="00F31767">
                <w:rPr>
                  <w:rStyle w:val="Hyperlink"/>
                </w:rPr>
                <w:t>Go</w:t>
              </w:r>
            </w:hyperlink>
          </w:p>
        </w:tc>
        <w:tc>
          <w:tcPr>
            <w:tcW w:w="850" w:type="dxa"/>
          </w:tcPr>
          <w:p w14:paraId="3E6C8D3E"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med0</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1767" w:rsidRPr="00F31767" w14:paraId="1C6C21FB" w14:textId="77777777">
        <w:tblPrEx>
          <w:tblCellMar>
            <w:top w:w="0" w:type="dxa"/>
            <w:bottom w:w="0" w:type="dxa"/>
          </w:tblCellMar>
        </w:tblPrEx>
        <w:tc>
          <w:tcPr>
            <w:tcW w:w="1247" w:type="dxa"/>
          </w:tcPr>
          <w:p w14:paraId="14087F06" w14:textId="77777777" w:rsidR="00F31767" w:rsidRPr="00F31767" w:rsidRDefault="00F31767" w:rsidP="00F31767">
            <w:pPr>
              <w:spacing w:line="240" w:lineRule="auto"/>
              <w:jc w:val="left"/>
              <w:rPr>
                <w:rFonts w:cs="Frankruhel"/>
                <w:sz w:val="24"/>
                <w:rtl/>
              </w:rPr>
            </w:pPr>
            <w:r>
              <w:rPr>
                <w:sz w:val="24"/>
                <w:rtl/>
              </w:rPr>
              <w:t xml:space="preserve">סעיף 1 </w:t>
            </w:r>
          </w:p>
        </w:tc>
        <w:tc>
          <w:tcPr>
            <w:tcW w:w="5669" w:type="dxa"/>
          </w:tcPr>
          <w:p w14:paraId="24FDBF48" w14:textId="77777777" w:rsidR="00F31767" w:rsidRPr="00F31767" w:rsidRDefault="00F31767" w:rsidP="00F31767">
            <w:pPr>
              <w:spacing w:line="240" w:lineRule="auto"/>
              <w:jc w:val="left"/>
              <w:rPr>
                <w:rFonts w:cs="Frankruhel"/>
                <w:sz w:val="24"/>
                <w:rtl/>
              </w:rPr>
            </w:pPr>
            <w:r>
              <w:rPr>
                <w:sz w:val="24"/>
                <w:rtl/>
              </w:rPr>
              <w:t>השם הקצר</w:t>
            </w:r>
          </w:p>
        </w:tc>
        <w:tc>
          <w:tcPr>
            <w:tcW w:w="567" w:type="dxa"/>
          </w:tcPr>
          <w:p w14:paraId="359FE62D" w14:textId="77777777" w:rsidR="00F31767" w:rsidRPr="00F31767" w:rsidRDefault="00F31767" w:rsidP="00F31767">
            <w:pPr>
              <w:spacing w:line="240" w:lineRule="auto"/>
              <w:jc w:val="left"/>
              <w:rPr>
                <w:rStyle w:val="Hyperlink"/>
                <w:rtl/>
              </w:rPr>
            </w:pPr>
            <w:hyperlink w:anchor="Seif1" w:tooltip="השם הקצר" w:history="1">
              <w:r w:rsidRPr="00F31767">
                <w:rPr>
                  <w:rStyle w:val="Hyperlink"/>
                </w:rPr>
                <w:t>Go</w:t>
              </w:r>
            </w:hyperlink>
          </w:p>
        </w:tc>
        <w:tc>
          <w:tcPr>
            <w:tcW w:w="850" w:type="dxa"/>
          </w:tcPr>
          <w:p w14:paraId="524E2EF4"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1767" w:rsidRPr="00F31767" w14:paraId="7A2DFEE4" w14:textId="77777777">
        <w:tblPrEx>
          <w:tblCellMar>
            <w:top w:w="0" w:type="dxa"/>
            <w:bottom w:w="0" w:type="dxa"/>
          </w:tblCellMar>
        </w:tblPrEx>
        <w:tc>
          <w:tcPr>
            <w:tcW w:w="1247" w:type="dxa"/>
          </w:tcPr>
          <w:p w14:paraId="7B605DC4" w14:textId="77777777" w:rsidR="00F31767" w:rsidRPr="00F31767" w:rsidRDefault="00F31767" w:rsidP="00F31767">
            <w:pPr>
              <w:spacing w:line="240" w:lineRule="auto"/>
              <w:jc w:val="left"/>
              <w:rPr>
                <w:rFonts w:cs="Frankruhel"/>
                <w:sz w:val="24"/>
                <w:rtl/>
              </w:rPr>
            </w:pPr>
            <w:r>
              <w:rPr>
                <w:sz w:val="24"/>
                <w:rtl/>
              </w:rPr>
              <w:t xml:space="preserve">סעיף 2 </w:t>
            </w:r>
          </w:p>
        </w:tc>
        <w:tc>
          <w:tcPr>
            <w:tcW w:w="5669" w:type="dxa"/>
          </w:tcPr>
          <w:p w14:paraId="3AFA2243" w14:textId="77777777" w:rsidR="00F31767" w:rsidRPr="00F31767" w:rsidRDefault="00F31767" w:rsidP="00F31767">
            <w:pPr>
              <w:spacing w:line="240" w:lineRule="auto"/>
              <w:jc w:val="left"/>
              <w:rPr>
                <w:rFonts w:cs="Frankruhel"/>
                <w:sz w:val="24"/>
                <w:rtl/>
              </w:rPr>
            </w:pPr>
            <w:r>
              <w:rPr>
                <w:sz w:val="24"/>
                <w:rtl/>
              </w:rPr>
              <w:t>פירוש</w:t>
            </w:r>
          </w:p>
        </w:tc>
        <w:tc>
          <w:tcPr>
            <w:tcW w:w="567" w:type="dxa"/>
          </w:tcPr>
          <w:p w14:paraId="29013A22" w14:textId="77777777" w:rsidR="00F31767" w:rsidRPr="00F31767" w:rsidRDefault="00F31767" w:rsidP="00F31767">
            <w:pPr>
              <w:spacing w:line="240" w:lineRule="auto"/>
              <w:jc w:val="left"/>
              <w:rPr>
                <w:rStyle w:val="Hyperlink"/>
                <w:rtl/>
              </w:rPr>
            </w:pPr>
            <w:hyperlink w:anchor="Seif2" w:tooltip="פירוש" w:history="1">
              <w:r w:rsidRPr="00F31767">
                <w:rPr>
                  <w:rStyle w:val="Hyperlink"/>
                </w:rPr>
                <w:t>Go</w:t>
              </w:r>
            </w:hyperlink>
          </w:p>
        </w:tc>
        <w:tc>
          <w:tcPr>
            <w:tcW w:w="850" w:type="dxa"/>
          </w:tcPr>
          <w:p w14:paraId="2F20035E"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1767" w:rsidRPr="00F31767" w14:paraId="3F849FBD" w14:textId="77777777">
        <w:tblPrEx>
          <w:tblCellMar>
            <w:top w:w="0" w:type="dxa"/>
            <w:bottom w:w="0" w:type="dxa"/>
          </w:tblCellMar>
        </w:tblPrEx>
        <w:tc>
          <w:tcPr>
            <w:tcW w:w="1247" w:type="dxa"/>
          </w:tcPr>
          <w:p w14:paraId="5198778C" w14:textId="77777777" w:rsidR="00F31767" w:rsidRPr="00F31767" w:rsidRDefault="00F31767" w:rsidP="00F31767">
            <w:pPr>
              <w:spacing w:line="240" w:lineRule="auto"/>
              <w:jc w:val="left"/>
              <w:rPr>
                <w:rFonts w:cs="Frankruhel"/>
                <w:sz w:val="24"/>
                <w:rtl/>
              </w:rPr>
            </w:pPr>
            <w:r>
              <w:rPr>
                <w:sz w:val="24"/>
                <w:rtl/>
              </w:rPr>
              <w:t xml:space="preserve">סעיף 3 </w:t>
            </w:r>
          </w:p>
        </w:tc>
        <w:tc>
          <w:tcPr>
            <w:tcW w:w="5669" w:type="dxa"/>
          </w:tcPr>
          <w:p w14:paraId="612F267A" w14:textId="77777777" w:rsidR="00F31767" w:rsidRPr="00F31767" w:rsidRDefault="00F31767" w:rsidP="00F31767">
            <w:pPr>
              <w:spacing w:line="240" w:lineRule="auto"/>
              <w:jc w:val="left"/>
              <w:rPr>
                <w:rFonts w:cs="Frankruhel"/>
                <w:sz w:val="24"/>
                <w:rtl/>
              </w:rPr>
            </w:pPr>
            <w:r>
              <w:rPr>
                <w:sz w:val="24"/>
                <w:rtl/>
              </w:rPr>
              <w:t>תחילת התוקף</w:t>
            </w:r>
          </w:p>
        </w:tc>
        <w:tc>
          <w:tcPr>
            <w:tcW w:w="567" w:type="dxa"/>
          </w:tcPr>
          <w:p w14:paraId="68E3F062" w14:textId="77777777" w:rsidR="00F31767" w:rsidRPr="00F31767" w:rsidRDefault="00F31767" w:rsidP="00F31767">
            <w:pPr>
              <w:spacing w:line="240" w:lineRule="auto"/>
              <w:jc w:val="left"/>
              <w:rPr>
                <w:rStyle w:val="Hyperlink"/>
                <w:rtl/>
              </w:rPr>
            </w:pPr>
            <w:hyperlink w:anchor="Seif3" w:tooltip="תחילת התוקף" w:history="1">
              <w:r w:rsidRPr="00F31767">
                <w:rPr>
                  <w:rStyle w:val="Hyperlink"/>
                </w:rPr>
                <w:t>Go</w:t>
              </w:r>
            </w:hyperlink>
          </w:p>
        </w:tc>
        <w:tc>
          <w:tcPr>
            <w:tcW w:w="850" w:type="dxa"/>
          </w:tcPr>
          <w:p w14:paraId="0B89C62F"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Seif3</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1767" w:rsidRPr="00F31767" w14:paraId="52716E69" w14:textId="77777777">
        <w:tblPrEx>
          <w:tblCellMar>
            <w:top w:w="0" w:type="dxa"/>
            <w:bottom w:w="0" w:type="dxa"/>
          </w:tblCellMar>
        </w:tblPrEx>
        <w:tc>
          <w:tcPr>
            <w:tcW w:w="1247" w:type="dxa"/>
          </w:tcPr>
          <w:p w14:paraId="5DF0E502" w14:textId="77777777" w:rsidR="00F31767" w:rsidRPr="00F31767" w:rsidRDefault="00F31767" w:rsidP="00F31767">
            <w:pPr>
              <w:spacing w:line="240" w:lineRule="auto"/>
              <w:jc w:val="left"/>
              <w:rPr>
                <w:rFonts w:cs="Frankruhel"/>
                <w:sz w:val="24"/>
                <w:rtl/>
              </w:rPr>
            </w:pPr>
            <w:r>
              <w:rPr>
                <w:sz w:val="24"/>
                <w:rtl/>
              </w:rPr>
              <w:t xml:space="preserve">סעיף 5 </w:t>
            </w:r>
          </w:p>
        </w:tc>
        <w:tc>
          <w:tcPr>
            <w:tcW w:w="5669" w:type="dxa"/>
          </w:tcPr>
          <w:p w14:paraId="7D8E6546" w14:textId="77777777" w:rsidR="00F31767" w:rsidRPr="00F31767" w:rsidRDefault="00F31767" w:rsidP="00F31767">
            <w:pPr>
              <w:spacing w:line="240" w:lineRule="auto"/>
              <w:jc w:val="left"/>
              <w:rPr>
                <w:rFonts w:cs="Frankruhel"/>
                <w:sz w:val="24"/>
                <w:rtl/>
              </w:rPr>
            </w:pPr>
            <w:r>
              <w:rPr>
                <w:sz w:val="24"/>
                <w:rtl/>
              </w:rPr>
              <w:t>תחולה</w:t>
            </w:r>
          </w:p>
        </w:tc>
        <w:tc>
          <w:tcPr>
            <w:tcW w:w="567" w:type="dxa"/>
          </w:tcPr>
          <w:p w14:paraId="5AD02FAE" w14:textId="77777777" w:rsidR="00F31767" w:rsidRPr="00F31767" w:rsidRDefault="00F31767" w:rsidP="00F31767">
            <w:pPr>
              <w:spacing w:line="240" w:lineRule="auto"/>
              <w:jc w:val="left"/>
              <w:rPr>
                <w:rStyle w:val="Hyperlink"/>
                <w:rtl/>
              </w:rPr>
            </w:pPr>
            <w:hyperlink w:anchor="Seif4" w:tooltip="תחולה" w:history="1">
              <w:r w:rsidRPr="00F31767">
                <w:rPr>
                  <w:rStyle w:val="Hyperlink"/>
                </w:rPr>
                <w:t>Go</w:t>
              </w:r>
            </w:hyperlink>
          </w:p>
        </w:tc>
        <w:tc>
          <w:tcPr>
            <w:tcW w:w="850" w:type="dxa"/>
          </w:tcPr>
          <w:p w14:paraId="7FC20CC9"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Seif4</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1767" w:rsidRPr="00F31767" w14:paraId="645833C5" w14:textId="77777777">
        <w:tblPrEx>
          <w:tblCellMar>
            <w:top w:w="0" w:type="dxa"/>
            <w:bottom w:w="0" w:type="dxa"/>
          </w:tblCellMar>
        </w:tblPrEx>
        <w:tc>
          <w:tcPr>
            <w:tcW w:w="1247" w:type="dxa"/>
          </w:tcPr>
          <w:p w14:paraId="64A5817E" w14:textId="77777777" w:rsidR="00F31767" w:rsidRPr="00F31767" w:rsidRDefault="00F31767" w:rsidP="00F31767">
            <w:pPr>
              <w:spacing w:line="240" w:lineRule="auto"/>
              <w:jc w:val="left"/>
              <w:rPr>
                <w:rFonts w:cs="Frankruhel"/>
                <w:sz w:val="24"/>
                <w:rtl/>
              </w:rPr>
            </w:pPr>
          </w:p>
        </w:tc>
        <w:tc>
          <w:tcPr>
            <w:tcW w:w="5669" w:type="dxa"/>
          </w:tcPr>
          <w:p w14:paraId="3C65A653" w14:textId="77777777" w:rsidR="00F31767" w:rsidRPr="00F31767" w:rsidRDefault="00F31767" w:rsidP="00F31767">
            <w:pPr>
              <w:spacing w:line="240" w:lineRule="auto"/>
              <w:jc w:val="left"/>
              <w:rPr>
                <w:rFonts w:cs="Frankruhel"/>
                <w:sz w:val="24"/>
                <w:rtl/>
              </w:rPr>
            </w:pPr>
            <w:r>
              <w:rPr>
                <w:sz w:val="24"/>
                <w:rtl/>
              </w:rPr>
              <w:t>חלק ב'</w:t>
            </w:r>
          </w:p>
        </w:tc>
        <w:tc>
          <w:tcPr>
            <w:tcW w:w="567" w:type="dxa"/>
          </w:tcPr>
          <w:p w14:paraId="22AA990B" w14:textId="77777777" w:rsidR="00F31767" w:rsidRPr="00F31767" w:rsidRDefault="00F31767" w:rsidP="00F31767">
            <w:pPr>
              <w:spacing w:line="240" w:lineRule="auto"/>
              <w:jc w:val="left"/>
              <w:rPr>
                <w:rStyle w:val="Hyperlink"/>
                <w:rtl/>
              </w:rPr>
            </w:pPr>
            <w:hyperlink w:anchor="med1" w:tooltip="חלק ב" w:history="1">
              <w:r w:rsidRPr="00F31767">
                <w:rPr>
                  <w:rStyle w:val="Hyperlink"/>
                </w:rPr>
                <w:t>Go</w:t>
              </w:r>
            </w:hyperlink>
          </w:p>
        </w:tc>
        <w:tc>
          <w:tcPr>
            <w:tcW w:w="850" w:type="dxa"/>
          </w:tcPr>
          <w:p w14:paraId="05BDFB23"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med1</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1767" w:rsidRPr="00F31767" w14:paraId="1EB17C3E" w14:textId="77777777">
        <w:tblPrEx>
          <w:tblCellMar>
            <w:top w:w="0" w:type="dxa"/>
            <w:bottom w:w="0" w:type="dxa"/>
          </w:tblCellMar>
        </w:tblPrEx>
        <w:tc>
          <w:tcPr>
            <w:tcW w:w="1247" w:type="dxa"/>
          </w:tcPr>
          <w:p w14:paraId="26C70667" w14:textId="77777777" w:rsidR="00F31767" w:rsidRPr="00F31767" w:rsidRDefault="00F31767" w:rsidP="00F31767">
            <w:pPr>
              <w:spacing w:line="240" w:lineRule="auto"/>
              <w:jc w:val="left"/>
              <w:rPr>
                <w:rFonts w:cs="Frankruhel"/>
                <w:sz w:val="24"/>
                <w:rtl/>
              </w:rPr>
            </w:pPr>
          </w:p>
        </w:tc>
        <w:tc>
          <w:tcPr>
            <w:tcW w:w="5669" w:type="dxa"/>
          </w:tcPr>
          <w:p w14:paraId="3C4D5E3B" w14:textId="77777777" w:rsidR="00F31767" w:rsidRPr="00F31767" w:rsidRDefault="00F31767" w:rsidP="00F31767">
            <w:pPr>
              <w:spacing w:line="240" w:lineRule="auto"/>
              <w:jc w:val="left"/>
              <w:rPr>
                <w:rFonts w:cs="Frankruhel"/>
                <w:sz w:val="24"/>
                <w:rtl/>
              </w:rPr>
            </w:pPr>
            <w:r>
              <w:rPr>
                <w:sz w:val="24"/>
                <w:rtl/>
              </w:rPr>
              <w:t>תקנות לענין הגנה</w:t>
            </w:r>
          </w:p>
        </w:tc>
        <w:tc>
          <w:tcPr>
            <w:tcW w:w="567" w:type="dxa"/>
          </w:tcPr>
          <w:p w14:paraId="7F24DBD7" w14:textId="77777777" w:rsidR="00F31767" w:rsidRPr="00F31767" w:rsidRDefault="00F31767" w:rsidP="00F31767">
            <w:pPr>
              <w:spacing w:line="240" w:lineRule="auto"/>
              <w:jc w:val="left"/>
              <w:rPr>
                <w:rStyle w:val="Hyperlink"/>
                <w:rtl/>
              </w:rPr>
            </w:pPr>
            <w:hyperlink w:anchor="med2" w:tooltip="תקנות לענין הגנה" w:history="1">
              <w:r w:rsidRPr="00F31767">
                <w:rPr>
                  <w:rStyle w:val="Hyperlink"/>
                </w:rPr>
                <w:t>Go</w:t>
              </w:r>
            </w:hyperlink>
          </w:p>
        </w:tc>
        <w:tc>
          <w:tcPr>
            <w:tcW w:w="850" w:type="dxa"/>
          </w:tcPr>
          <w:p w14:paraId="4412C236"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med2</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1767" w:rsidRPr="00F31767" w14:paraId="2A86E771" w14:textId="77777777">
        <w:tblPrEx>
          <w:tblCellMar>
            <w:top w:w="0" w:type="dxa"/>
            <w:bottom w:w="0" w:type="dxa"/>
          </w:tblCellMar>
        </w:tblPrEx>
        <w:tc>
          <w:tcPr>
            <w:tcW w:w="1247" w:type="dxa"/>
          </w:tcPr>
          <w:p w14:paraId="19F81C36" w14:textId="77777777" w:rsidR="00F31767" w:rsidRPr="00F31767" w:rsidRDefault="00F31767" w:rsidP="00F31767">
            <w:pPr>
              <w:spacing w:line="240" w:lineRule="auto"/>
              <w:jc w:val="left"/>
              <w:rPr>
                <w:rFonts w:cs="Frankruhel"/>
                <w:sz w:val="24"/>
                <w:rtl/>
              </w:rPr>
            </w:pPr>
            <w:r>
              <w:rPr>
                <w:sz w:val="24"/>
                <w:rtl/>
              </w:rPr>
              <w:t xml:space="preserve">סעיף 6 </w:t>
            </w:r>
          </w:p>
        </w:tc>
        <w:tc>
          <w:tcPr>
            <w:tcW w:w="5669" w:type="dxa"/>
          </w:tcPr>
          <w:p w14:paraId="5E5EF43E" w14:textId="77777777" w:rsidR="00F31767" w:rsidRPr="00F31767" w:rsidRDefault="00F31767" w:rsidP="00F31767">
            <w:pPr>
              <w:spacing w:line="240" w:lineRule="auto"/>
              <w:jc w:val="left"/>
              <w:rPr>
                <w:rFonts w:cs="Frankruhel"/>
                <w:sz w:val="24"/>
                <w:rtl/>
              </w:rPr>
            </w:pPr>
            <w:r>
              <w:rPr>
                <w:sz w:val="24"/>
                <w:rtl/>
              </w:rPr>
              <w:t>תקנות לענין הגנה</w:t>
            </w:r>
          </w:p>
        </w:tc>
        <w:tc>
          <w:tcPr>
            <w:tcW w:w="567" w:type="dxa"/>
          </w:tcPr>
          <w:p w14:paraId="7BCCEA4D" w14:textId="77777777" w:rsidR="00F31767" w:rsidRPr="00F31767" w:rsidRDefault="00F31767" w:rsidP="00F31767">
            <w:pPr>
              <w:spacing w:line="240" w:lineRule="auto"/>
              <w:jc w:val="left"/>
              <w:rPr>
                <w:rStyle w:val="Hyperlink"/>
                <w:rtl/>
              </w:rPr>
            </w:pPr>
            <w:hyperlink w:anchor="Seif5" w:tooltip="תקנות לענין הגנה" w:history="1">
              <w:r w:rsidRPr="00F31767">
                <w:rPr>
                  <w:rStyle w:val="Hyperlink"/>
                </w:rPr>
                <w:t>Go</w:t>
              </w:r>
            </w:hyperlink>
          </w:p>
        </w:tc>
        <w:tc>
          <w:tcPr>
            <w:tcW w:w="850" w:type="dxa"/>
          </w:tcPr>
          <w:p w14:paraId="7F458EDE"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Seif5</w:instrText>
            </w:r>
            <w:r>
              <w:rPr>
                <w:sz w:val="24"/>
                <w:rtl/>
              </w:rPr>
              <w:instrText xml:space="preserve"> </w:instrText>
            </w:r>
            <w:r>
              <w:rPr>
                <w:rFonts w:cs="Frankruhel"/>
                <w:sz w:val="24"/>
                <w:rtl/>
              </w:rPr>
              <w:fldChar w:fldCharType="separate"/>
            </w:r>
            <w:r>
              <w:rPr>
                <w:noProof/>
                <w:sz w:val="24"/>
                <w:rtl/>
              </w:rPr>
              <w:t>2</w:t>
            </w:r>
            <w:r>
              <w:rPr>
                <w:rFonts w:cs="Frankruhel"/>
                <w:sz w:val="24"/>
                <w:rtl/>
              </w:rPr>
              <w:fldChar w:fldCharType="end"/>
            </w:r>
          </w:p>
        </w:tc>
      </w:tr>
      <w:tr w:rsidR="00F31767" w:rsidRPr="00F31767" w14:paraId="68D56879" w14:textId="77777777">
        <w:tblPrEx>
          <w:tblCellMar>
            <w:top w:w="0" w:type="dxa"/>
            <w:bottom w:w="0" w:type="dxa"/>
          </w:tblCellMar>
        </w:tblPrEx>
        <w:tc>
          <w:tcPr>
            <w:tcW w:w="1247" w:type="dxa"/>
          </w:tcPr>
          <w:p w14:paraId="14699938" w14:textId="77777777" w:rsidR="00F31767" w:rsidRPr="00F31767" w:rsidRDefault="00F31767" w:rsidP="00F31767">
            <w:pPr>
              <w:spacing w:line="240" w:lineRule="auto"/>
              <w:jc w:val="left"/>
              <w:rPr>
                <w:rFonts w:cs="Frankruhel"/>
                <w:sz w:val="24"/>
                <w:rtl/>
              </w:rPr>
            </w:pPr>
            <w:r>
              <w:rPr>
                <w:sz w:val="24"/>
                <w:rtl/>
              </w:rPr>
              <w:t xml:space="preserve">סעיף 7 </w:t>
            </w:r>
          </w:p>
        </w:tc>
        <w:tc>
          <w:tcPr>
            <w:tcW w:w="5669" w:type="dxa"/>
          </w:tcPr>
          <w:p w14:paraId="3227B18B" w14:textId="77777777" w:rsidR="00F31767" w:rsidRPr="00F31767" w:rsidRDefault="00F31767" w:rsidP="00F31767">
            <w:pPr>
              <w:spacing w:line="240" w:lineRule="auto"/>
              <w:jc w:val="left"/>
              <w:rPr>
                <w:rFonts w:cs="Frankruhel"/>
                <w:sz w:val="24"/>
                <w:rtl/>
              </w:rPr>
            </w:pPr>
            <w:r>
              <w:rPr>
                <w:sz w:val="24"/>
                <w:rtl/>
              </w:rPr>
              <w:t>העברת סמכויות ע"י הממשלה</w:t>
            </w:r>
          </w:p>
        </w:tc>
        <w:tc>
          <w:tcPr>
            <w:tcW w:w="567" w:type="dxa"/>
          </w:tcPr>
          <w:p w14:paraId="37D2DDD0" w14:textId="77777777" w:rsidR="00F31767" w:rsidRPr="00F31767" w:rsidRDefault="00F31767" w:rsidP="00F31767">
            <w:pPr>
              <w:spacing w:line="240" w:lineRule="auto"/>
              <w:jc w:val="left"/>
              <w:rPr>
                <w:rStyle w:val="Hyperlink"/>
                <w:rtl/>
              </w:rPr>
            </w:pPr>
            <w:hyperlink w:anchor="Seif6" w:tooltip="העברת סמכויות עי הממשלה" w:history="1">
              <w:r w:rsidRPr="00F31767">
                <w:rPr>
                  <w:rStyle w:val="Hyperlink"/>
                </w:rPr>
                <w:t>Go</w:t>
              </w:r>
            </w:hyperlink>
          </w:p>
        </w:tc>
        <w:tc>
          <w:tcPr>
            <w:tcW w:w="850" w:type="dxa"/>
          </w:tcPr>
          <w:p w14:paraId="2F9456DF"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Seif6</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1767" w:rsidRPr="00F31767" w14:paraId="74AE31C1" w14:textId="77777777">
        <w:tblPrEx>
          <w:tblCellMar>
            <w:top w:w="0" w:type="dxa"/>
            <w:bottom w:w="0" w:type="dxa"/>
          </w:tblCellMar>
        </w:tblPrEx>
        <w:tc>
          <w:tcPr>
            <w:tcW w:w="1247" w:type="dxa"/>
          </w:tcPr>
          <w:p w14:paraId="5E15E463" w14:textId="77777777" w:rsidR="00F31767" w:rsidRPr="00F31767" w:rsidRDefault="00F31767" w:rsidP="00F31767">
            <w:pPr>
              <w:spacing w:line="240" w:lineRule="auto"/>
              <w:jc w:val="left"/>
              <w:rPr>
                <w:rFonts w:cs="Frankruhel"/>
                <w:sz w:val="24"/>
                <w:rtl/>
              </w:rPr>
            </w:pPr>
          </w:p>
        </w:tc>
        <w:tc>
          <w:tcPr>
            <w:tcW w:w="5669" w:type="dxa"/>
          </w:tcPr>
          <w:p w14:paraId="08E7A287" w14:textId="77777777" w:rsidR="00F31767" w:rsidRPr="00F31767" w:rsidRDefault="00F31767" w:rsidP="00F31767">
            <w:pPr>
              <w:spacing w:line="240" w:lineRule="auto"/>
              <w:jc w:val="left"/>
              <w:rPr>
                <w:rFonts w:cs="Frankruhel"/>
                <w:sz w:val="24"/>
                <w:rtl/>
              </w:rPr>
            </w:pPr>
            <w:r>
              <w:rPr>
                <w:sz w:val="24"/>
                <w:rtl/>
              </w:rPr>
              <w:t>חלק ג'</w:t>
            </w:r>
          </w:p>
        </w:tc>
        <w:tc>
          <w:tcPr>
            <w:tcW w:w="567" w:type="dxa"/>
          </w:tcPr>
          <w:p w14:paraId="3952D27C" w14:textId="77777777" w:rsidR="00F31767" w:rsidRPr="00F31767" w:rsidRDefault="00F31767" w:rsidP="00F31767">
            <w:pPr>
              <w:spacing w:line="240" w:lineRule="auto"/>
              <w:jc w:val="left"/>
              <w:rPr>
                <w:rStyle w:val="Hyperlink"/>
                <w:rtl/>
              </w:rPr>
            </w:pPr>
            <w:hyperlink w:anchor="med3" w:tooltip="חלק ג" w:history="1">
              <w:r w:rsidRPr="00F31767">
                <w:rPr>
                  <w:rStyle w:val="Hyperlink"/>
                </w:rPr>
                <w:t>Go</w:t>
              </w:r>
            </w:hyperlink>
          </w:p>
        </w:tc>
        <w:tc>
          <w:tcPr>
            <w:tcW w:w="850" w:type="dxa"/>
          </w:tcPr>
          <w:p w14:paraId="3961B6CA"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med3</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1767" w:rsidRPr="00F31767" w14:paraId="2B8CD24B" w14:textId="77777777">
        <w:tblPrEx>
          <w:tblCellMar>
            <w:top w:w="0" w:type="dxa"/>
            <w:bottom w:w="0" w:type="dxa"/>
          </w:tblCellMar>
        </w:tblPrEx>
        <w:tc>
          <w:tcPr>
            <w:tcW w:w="1247" w:type="dxa"/>
          </w:tcPr>
          <w:p w14:paraId="59B7B92A" w14:textId="77777777" w:rsidR="00F31767" w:rsidRPr="00F31767" w:rsidRDefault="00F31767" w:rsidP="00F31767">
            <w:pPr>
              <w:spacing w:line="240" w:lineRule="auto"/>
              <w:jc w:val="left"/>
              <w:rPr>
                <w:rFonts w:cs="Frankruhel"/>
                <w:sz w:val="24"/>
                <w:rtl/>
              </w:rPr>
            </w:pPr>
          </w:p>
        </w:tc>
        <w:tc>
          <w:tcPr>
            <w:tcW w:w="5669" w:type="dxa"/>
          </w:tcPr>
          <w:p w14:paraId="78476A6E" w14:textId="77777777" w:rsidR="00F31767" w:rsidRPr="00F31767" w:rsidRDefault="00F31767" w:rsidP="00F31767">
            <w:pPr>
              <w:spacing w:line="240" w:lineRule="auto"/>
              <w:jc w:val="left"/>
              <w:rPr>
                <w:rFonts w:cs="Frankruhel"/>
                <w:sz w:val="24"/>
                <w:rtl/>
              </w:rPr>
            </w:pPr>
            <w:r>
              <w:rPr>
                <w:sz w:val="24"/>
                <w:rtl/>
              </w:rPr>
              <w:t>הוראות מעבר והוראות נוספות</w:t>
            </w:r>
          </w:p>
        </w:tc>
        <w:tc>
          <w:tcPr>
            <w:tcW w:w="567" w:type="dxa"/>
          </w:tcPr>
          <w:p w14:paraId="66CAE68F" w14:textId="77777777" w:rsidR="00F31767" w:rsidRPr="00F31767" w:rsidRDefault="00F31767" w:rsidP="00F31767">
            <w:pPr>
              <w:spacing w:line="240" w:lineRule="auto"/>
              <w:jc w:val="left"/>
              <w:rPr>
                <w:rStyle w:val="Hyperlink"/>
                <w:rtl/>
              </w:rPr>
            </w:pPr>
            <w:hyperlink w:anchor="med4" w:tooltip="הוראות מעבר והוראות נוספות" w:history="1">
              <w:r w:rsidRPr="00F31767">
                <w:rPr>
                  <w:rStyle w:val="Hyperlink"/>
                </w:rPr>
                <w:t>Go</w:t>
              </w:r>
            </w:hyperlink>
          </w:p>
        </w:tc>
        <w:tc>
          <w:tcPr>
            <w:tcW w:w="850" w:type="dxa"/>
          </w:tcPr>
          <w:p w14:paraId="10FBEBAC"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med4</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1767" w:rsidRPr="00F31767" w14:paraId="5FBC3639" w14:textId="77777777">
        <w:tblPrEx>
          <w:tblCellMar>
            <w:top w:w="0" w:type="dxa"/>
            <w:bottom w:w="0" w:type="dxa"/>
          </w:tblCellMar>
        </w:tblPrEx>
        <w:tc>
          <w:tcPr>
            <w:tcW w:w="1247" w:type="dxa"/>
          </w:tcPr>
          <w:p w14:paraId="546C528C" w14:textId="77777777" w:rsidR="00F31767" w:rsidRPr="00F31767" w:rsidRDefault="00F31767" w:rsidP="00F31767">
            <w:pPr>
              <w:spacing w:line="240" w:lineRule="auto"/>
              <w:jc w:val="left"/>
              <w:rPr>
                <w:rFonts w:cs="Frankruhel"/>
                <w:sz w:val="24"/>
                <w:rtl/>
              </w:rPr>
            </w:pPr>
            <w:r>
              <w:rPr>
                <w:sz w:val="24"/>
                <w:rtl/>
              </w:rPr>
              <w:t xml:space="preserve">סעיף 8 </w:t>
            </w:r>
          </w:p>
        </w:tc>
        <w:tc>
          <w:tcPr>
            <w:tcW w:w="5669" w:type="dxa"/>
          </w:tcPr>
          <w:p w14:paraId="5AA7B3C0" w14:textId="77777777" w:rsidR="00F31767" w:rsidRPr="00F31767" w:rsidRDefault="00F31767" w:rsidP="00F31767">
            <w:pPr>
              <w:spacing w:line="240" w:lineRule="auto"/>
              <w:jc w:val="left"/>
              <w:rPr>
                <w:rFonts w:cs="Frankruhel"/>
                <w:sz w:val="24"/>
                <w:rtl/>
              </w:rPr>
            </w:pPr>
            <w:r>
              <w:rPr>
                <w:sz w:val="24"/>
                <w:rtl/>
              </w:rPr>
              <w:t>אין דבר מלך זה פוגע בסמכויות הממשלה</w:t>
            </w:r>
          </w:p>
        </w:tc>
        <w:tc>
          <w:tcPr>
            <w:tcW w:w="567" w:type="dxa"/>
          </w:tcPr>
          <w:p w14:paraId="6EA7C65B" w14:textId="77777777" w:rsidR="00F31767" w:rsidRPr="00F31767" w:rsidRDefault="00F31767" w:rsidP="00F31767">
            <w:pPr>
              <w:spacing w:line="240" w:lineRule="auto"/>
              <w:jc w:val="left"/>
              <w:rPr>
                <w:rStyle w:val="Hyperlink"/>
                <w:rtl/>
              </w:rPr>
            </w:pPr>
            <w:hyperlink w:anchor="Seif7" w:tooltip="אין דבר מלך זה פוגע בסמכויות הממשלה" w:history="1">
              <w:r w:rsidRPr="00F31767">
                <w:rPr>
                  <w:rStyle w:val="Hyperlink"/>
                </w:rPr>
                <w:t>Go</w:t>
              </w:r>
            </w:hyperlink>
          </w:p>
        </w:tc>
        <w:tc>
          <w:tcPr>
            <w:tcW w:w="850" w:type="dxa"/>
          </w:tcPr>
          <w:p w14:paraId="357189B2"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Seif7</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1767" w:rsidRPr="00F31767" w14:paraId="075C5E14" w14:textId="77777777">
        <w:tblPrEx>
          <w:tblCellMar>
            <w:top w:w="0" w:type="dxa"/>
            <w:bottom w:w="0" w:type="dxa"/>
          </w:tblCellMar>
        </w:tblPrEx>
        <w:tc>
          <w:tcPr>
            <w:tcW w:w="1247" w:type="dxa"/>
          </w:tcPr>
          <w:p w14:paraId="52790A43" w14:textId="77777777" w:rsidR="00F31767" w:rsidRPr="00F31767" w:rsidRDefault="00F31767" w:rsidP="00F31767">
            <w:pPr>
              <w:spacing w:line="240" w:lineRule="auto"/>
              <w:jc w:val="left"/>
              <w:rPr>
                <w:rFonts w:cs="Frankruhel"/>
                <w:sz w:val="24"/>
                <w:rtl/>
              </w:rPr>
            </w:pPr>
            <w:r>
              <w:rPr>
                <w:sz w:val="24"/>
                <w:rtl/>
              </w:rPr>
              <w:t xml:space="preserve">סעיף 9 </w:t>
            </w:r>
          </w:p>
        </w:tc>
        <w:tc>
          <w:tcPr>
            <w:tcW w:w="5669" w:type="dxa"/>
          </w:tcPr>
          <w:p w14:paraId="088B9937" w14:textId="77777777" w:rsidR="00F31767" w:rsidRPr="00F31767" w:rsidRDefault="00F31767" w:rsidP="00F31767">
            <w:pPr>
              <w:spacing w:line="240" w:lineRule="auto"/>
              <w:jc w:val="left"/>
              <w:rPr>
                <w:rFonts w:cs="Frankruhel"/>
                <w:sz w:val="24"/>
                <w:rtl/>
              </w:rPr>
            </w:pPr>
            <w:r>
              <w:rPr>
                <w:sz w:val="24"/>
                <w:rtl/>
              </w:rPr>
              <w:t>אין דבר מלך זה פוגע בתקנות שהותקנו עפ"י דבר המלך משנת 1931</w:t>
            </w:r>
          </w:p>
        </w:tc>
        <w:tc>
          <w:tcPr>
            <w:tcW w:w="567" w:type="dxa"/>
          </w:tcPr>
          <w:p w14:paraId="6E818388" w14:textId="77777777" w:rsidR="00F31767" w:rsidRPr="00F31767" w:rsidRDefault="00F31767" w:rsidP="00F31767">
            <w:pPr>
              <w:spacing w:line="240" w:lineRule="auto"/>
              <w:jc w:val="left"/>
              <w:rPr>
                <w:rStyle w:val="Hyperlink"/>
                <w:rtl/>
              </w:rPr>
            </w:pPr>
            <w:hyperlink w:anchor="Seif8" w:tooltip="אין דבר מלך זה פוגע בתקנות שהותקנו עפי דבר המלך משנת 1931" w:history="1">
              <w:r w:rsidRPr="00F31767">
                <w:rPr>
                  <w:rStyle w:val="Hyperlink"/>
                </w:rPr>
                <w:t>Go</w:t>
              </w:r>
            </w:hyperlink>
          </w:p>
        </w:tc>
        <w:tc>
          <w:tcPr>
            <w:tcW w:w="850" w:type="dxa"/>
          </w:tcPr>
          <w:p w14:paraId="799FED37"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Seif8</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1767" w:rsidRPr="00F31767" w14:paraId="16BEE610" w14:textId="77777777">
        <w:tblPrEx>
          <w:tblCellMar>
            <w:top w:w="0" w:type="dxa"/>
            <w:bottom w:w="0" w:type="dxa"/>
          </w:tblCellMar>
        </w:tblPrEx>
        <w:tc>
          <w:tcPr>
            <w:tcW w:w="1247" w:type="dxa"/>
          </w:tcPr>
          <w:p w14:paraId="7D91EBEB" w14:textId="77777777" w:rsidR="00F31767" w:rsidRPr="00F31767" w:rsidRDefault="00F31767" w:rsidP="00F31767">
            <w:pPr>
              <w:spacing w:line="240" w:lineRule="auto"/>
              <w:jc w:val="left"/>
              <w:rPr>
                <w:rFonts w:cs="Frankruhel"/>
                <w:sz w:val="24"/>
                <w:rtl/>
              </w:rPr>
            </w:pPr>
            <w:r>
              <w:rPr>
                <w:sz w:val="24"/>
                <w:rtl/>
              </w:rPr>
              <w:t xml:space="preserve">סעיף 10 </w:t>
            </w:r>
          </w:p>
        </w:tc>
        <w:tc>
          <w:tcPr>
            <w:tcW w:w="5669" w:type="dxa"/>
          </w:tcPr>
          <w:p w14:paraId="6214A196" w14:textId="77777777" w:rsidR="00F31767" w:rsidRPr="00F31767" w:rsidRDefault="00F31767" w:rsidP="00F31767">
            <w:pPr>
              <w:spacing w:line="240" w:lineRule="auto"/>
              <w:jc w:val="left"/>
              <w:rPr>
                <w:rFonts w:cs="Frankruhel"/>
                <w:sz w:val="24"/>
                <w:rtl/>
              </w:rPr>
            </w:pPr>
            <w:r>
              <w:rPr>
                <w:sz w:val="24"/>
                <w:rtl/>
              </w:rPr>
              <w:t>ביטול דברי המלך מש' 1931 ומשנת 1936</w:t>
            </w:r>
          </w:p>
        </w:tc>
        <w:tc>
          <w:tcPr>
            <w:tcW w:w="567" w:type="dxa"/>
          </w:tcPr>
          <w:p w14:paraId="4C87E436" w14:textId="77777777" w:rsidR="00F31767" w:rsidRPr="00F31767" w:rsidRDefault="00F31767" w:rsidP="00F31767">
            <w:pPr>
              <w:spacing w:line="240" w:lineRule="auto"/>
              <w:jc w:val="left"/>
              <w:rPr>
                <w:rStyle w:val="Hyperlink"/>
                <w:rtl/>
              </w:rPr>
            </w:pPr>
            <w:hyperlink w:anchor="Seif9" w:tooltip="ביטול דברי המלך מש 1931 ומשנת 1936" w:history="1">
              <w:r w:rsidRPr="00F31767">
                <w:rPr>
                  <w:rStyle w:val="Hyperlink"/>
                </w:rPr>
                <w:t>Go</w:t>
              </w:r>
            </w:hyperlink>
          </w:p>
        </w:tc>
        <w:tc>
          <w:tcPr>
            <w:tcW w:w="850" w:type="dxa"/>
          </w:tcPr>
          <w:p w14:paraId="144ADAF7"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Seif9</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1767" w:rsidRPr="00F31767" w14:paraId="359BCD00" w14:textId="77777777">
        <w:tblPrEx>
          <w:tblCellMar>
            <w:top w:w="0" w:type="dxa"/>
            <w:bottom w:w="0" w:type="dxa"/>
          </w:tblCellMar>
        </w:tblPrEx>
        <w:tc>
          <w:tcPr>
            <w:tcW w:w="1247" w:type="dxa"/>
          </w:tcPr>
          <w:p w14:paraId="348CAD5C" w14:textId="77777777" w:rsidR="00F31767" w:rsidRPr="00F31767" w:rsidRDefault="00F31767" w:rsidP="00F31767">
            <w:pPr>
              <w:spacing w:line="240" w:lineRule="auto"/>
              <w:jc w:val="left"/>
              <w:rPr>
                <w:rFonts w:cs="Frankruhel"/>
                <w:sz w:val="24"/>
                <w:rtl/>
              </w:rPr>
            </w:pPr>
            <w:r>
              <w:rPr>
                <w:sz w:val="24"/>
                <w:rtl/>
              </w:rPr>
              <w:t xml:space="preserve">סעיף 11 </w:t>
            </w:r>
          </w:p>
        </w:tc>
        <w:tc>
          <w:tcPr>
            <w:tcW w:w="5669" w:type="dxa"/>
          </w:tcPr>
          <w:p w14:paraId="13E36915" w14:textId="77777777" w:rsidR="00F31767" w:rsidRPr="00F31767" w:rsidRDefault="00F31767" w:rsidP="00F31767">
            <w:pPr>
              <w:spacing w:line="240" w:lineRule="auto"/>
              <w:jc w:val="left"/>
              <w:rPr>
                <w:rFonts w:cs="Frankruhel"/>
                <w:sz w:val="24"/>
                <w:rtl/>
              </w:rPr>
            </w:pPr>
            <w:r>
              <w:rPr>
                <w:sz w:val="24"/>
                <w:rtl/>
              </w:rPr>
              <w:t>פירוש איזכורים של דברי המלך המבוטלים</w:t>
            </w:r>
          </w:p>
        </w:tc>
        <w:tc>
          <w:tcPr>
            <w:tcW w:w="567" w:type="dxa"/>
          </w:tcPr>
          <w:p w14:paraId="1643091F" w14:textId="77777777" w:rsidR="00F31767" w:rsidRPr="00F31767" w:rsidRDefault="00F31767" w:rsidP="00F31767">
            <w:pPr>
              <w:spacing w:line="240" w:lineRule="auto"/>
              <w:jc w:val="left"/>
              <w:rPr>
                <w:rStyle w:val="Hyperlink"/>
                <w:rtl/>
              </w:rPr>
            </w:pPr>
            <w:hyperlink w:anchor="Seif10" w:tooltip="פירוש איזכורים של דברי המלך המבוטלים" w:history="1">
              <w:r w:rsidRPr="00F31767">
                <w:rPr>
                  <w:rStyle w:val="Hyperlink"/>
                </w:rPr>
                <w:t>Go</w:t>
              </w:r>
            </w:hyperlink>
          </w:p>
        </w:tc>
        <w:tc>
          <w:tcPr>
            <w:tcW w:w="850" w:type="dxa"/>
          </w:tcPr>
          <w:p w14:paraId="24C1B079"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Seif10</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1767" w:rsidRPr="00F31767" w14:paraId="5459A651" w14:textId="77777777">
        <w:tblPrEx>
          <w:tblCellMar>
            <w:top w:w="0" w:type="dxa"/>
            <w:bottom w:w="0" w:type="dxa"/>
          </w:tblCellMar>
        </w:tblPrEx>
        <w:tc>
          <w:tcPr>
            <w:tcW w:w="1247" w:type="dxa"/>
          </w:tcPr>
          <w:p w14:paraId="351457EF" w14:textId="77777777" w:rsidR="00F31767" w:rsidRPr="00F31767" w:rsidRDefault="00F31767" w:rsidP="00F31767">
            <w:pPr>
              <w:spacing w:line="240" w:lineRule="auto"/>
              <w:jc w:val="left"/>
              <w:rPr>
                <w:rFonts w:cs="Frankruhel"/>
                <w:sz w:val="24"/>
                <w:rtl/>
              </w:rPr>
            </w:pPr>
            <w:r>
              <w:rPr>
                <w:sz w:val="24"/>
                <w:rtl/>
              </w:rPr>
              <w:t xml:space="preserve">סעיף 12 </w:t>
            </w:r>
          </w:p>
        </w:tc>
        <w:tc>
          <w:tcPr>
            <w:tcW w:w="5669" w:type="dxa"/>
          </w:tcPr>
          <w:p w14:paraId="687E4AFB" w14:textId="77777777" w:rsidR="00F31767" w:rsidRPr="00F31767" w:rsidRDefault="00F31767" w:rsidP="00F31767">
            <w:pPr>
              <w:spacing w:line="240" w:lineRule="auto"/>
              <w:jc w:val="left"/>
              <w:rPr>
                <w:rFonts w:cs="Frankruhel"/>
                <w:sz w:val="24"/>
                <w:rtl/>
              </w:rPr>
            </w:pPr>
            <w:r>
              <w:rPr>
                <w:sz w:val="24"/>
                <w:rtl/>
              </w:rPr>
              <w:t>תקפם של מסמכים</w:t>
            </w:r>
          </w:p>
        </w:tc>
        <w:tc>
          <w:tcPr>
            <w:tcW w:w="567" w:type="dxa"/>
          </w:tcPr>
          <w:p w14:paraId="500F733F" w14:textId="77777777" w:rsidR="00F31767" w:rsidRPr="00F31767" w:rsidRDefault="00F31767" w:rsidP="00F31767">
            <w:pPr>
              <w:spacing w:line="240" w:lineRule="auto"/>
              <w:jc w:val="left"/>
              <w:rPr>
                <w:rStyle w:val="Hyperlink"/>
                <w:rtl/>
              </w:rPr>
            </w:pPr>
            <w:hyperlink w:anchor="Seif11" w:tooltip="תקפם של מסמכים" w:history="1">
              <w:r w:rsidRPr="00F31767">
                <w:rPr>
                  <w:rStyle w:val="Hyperlink"/>
                </w:rPr>
                <w:t>Go</w:t>
              </w:r>
            </w:hyperlink>
          </w:p>
        </w:tc>
        <w:tc>
          <w:tcPr>
            <w:tcW w:w="850" w:type="dxa"/>
          </w:tcPr>
          <w:p w14:paraId="7BC51F96"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Seif11</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r w:rsidR="00F31767" w:rsidRPr="00F31767" w14:paraId="46BD7739" w14:textId="77777777">
        <w:tblPrEx>
          <w:tblCellMar>
            <w:top w:w="0" w:type="dxa"/>
            <w:bottom w:w="0" w:type="dxa"/>
          </w:tblCellMar>
        </w:tblPrEx>
        <w:tc>
          <w:tcPr>
            <w:tcW w:w="1247" w:type="dxa"/>
          </w:tcPr>
          <w:p w14:paraId="0E4E4FC4" w14:textId="77777777" w:rsidR="00F31767" w:rsidRPr="00F31767" w:rsidRDefault="00F31767" w:rsidP="00F31767">
            <w:pPr>
              <w:spacing w:line="240" w:lineRule="auto"/>
              <w:jc w:val="left"/>
              <w:rPr>
                <w:rFonts w:cs="Frankruhel"/>
                <w:sz w:val="24"/>
                <w:rtl/>
              </w:rPr>
            </w:pPr>
            <w:r>
              <w:rPr>
                <w:sz w:val="24"/>
                <w:rtl/>
              </w:rPr>
              <w:t xml:space="preserve">סעיף 13 </w:t>
            </w:r>
          </w:p>
        </w:tc>
        <w:tc>
          <w:tcPr>
            <w:tcW w:w="5669" w:type="dxa"/>
          </w:tcPr>
          <w:p w14:paraId="6D56B99D" w14:textId="77777777" w:rsidR="00F31767" w:rsidRPr="00F31767" w:rsidRDefault="00F31767" w:rsidP="00F31767">
            <w:pPr>
              <w:spacing w:line="240" w:lineRule="auto"/>
              <w:jc w:val="left"/>
              <w:rPr>
                <w:rFonts w:cs="Frankruhel"/>
                <w:sz w:val="24"/>
                <w:rtl/>
              </w:rPr>
            </w:pPr>
            <w:r>
              <w:rPr>
                <w:sz w:val="24"/>
                <w:rtl/>
              </w:rPr>
              <w:t>הוכחת מסמכים</w:t>
            </w:r>
          </w:p>
        </w:tc>
        <w:tc>
          <w:tcPr>
            <w:tcW w:w="567" w:type="dxa"/>
          </w:tcPr>
          <w:p w14:paraId="331BAAB5" w14:textId="77777777" w:rsidR="00F31767" w:rsidRPr="00F31767" w:rsidRDefault="00F31767" w:rsidP="00F31767">
            <w:pPr>
              <w:spacing w:line="240" w:lineRule="auto"/>
              <w:jc w:val="left"/>
              <w:rPr>
                <w:rStyle w:val="Hyperlink"/>
                <w:rtl/>
              </w:rPr>
            </w:pPr>
            <w:hyperlink w:anchor="Seif12" w:tooltip="הוכחת מסמכים" w:history="1">
              <w:r w:rsidRPr="00F31767">
                <w:rPr>
                  <w:rStyle w:val="Hyperlink"/>
                </w:rPr>
                <w:t>Go</w:t>
              </w:r>
            </w:hyperlink>
          </w:p>
        </w:tc>
        <w:tc>
          <w:tcPr>
            <w:tcW w:w="850" w:type="dxa"/>
          </w:tcPr>
          <w:p w14:paraId="4770A02B" w14:textId="77777777" w:rsidR="00F31767" w:rsidRPr="00F31767" w:rsidRDefault="00F31767" w:rsidP="00F31767">
            <w:pPr>
              <w:spacing w:line="240" w:lineRule="auto"/>
              <w:jc w:val="left"/>
              <w:rPr>
                <w:rFonts w:cs="Frankruhel"/>
                <w:sz w:val="24"/>
                <w:rtl/>
              </w:rPr>
            </w:pPr>
            <w:r>
              <w:rPr>
                <w:rFonts w:cs="Frankruhel"/>
                <w:sz w:val="24"/>
                <w:rtl/>
              </w:rPr>
              <w:fldChar w:fldCharType="begin"/>
            </w:r>
            <w:r>
              <w:rPr>
                <w:sz w:val="24"/>
                <w:rtl/>
              </w:rPr>
              <w:instrText xml:space="preserve"> </w:instrText>
            </w:r>
            <w:r>
              <w:rPr>
                <w:rFonts w:cs="Frankruhel"/>
                <w:sz w:val="24"/>
              </w:rPr>
              <w:instrText>PAGEREF</w:instrText>
            </w:r>
            <w:r>
              <w:rPr>
                <w:sz w:val="24"/>
                <w:rtl/>
              </w:rPr>
              <w:instrText xml:space="preserve"> </w:instrText>
            </w:r>
            <w:r>
              <w:rPr>
                <w:rFonts w:cs="Frankruhel"/>
                <w:sz w:val="24"/>
              </w:rPr>
              <w:instrText>Seif12</w:instrText>
            </w:r>
            <w:r>
              <w:rPr>
                <w:sz w:val="24"/>
                <w:rtl/>
              </w:rPr>
              <w:instrText xml:space="preserve"> </w:instrText>
            </w:r>
            <w:r>
              <w:rPr>
                <w:rFonts w:cs="Frankruhel"/>
                <w:sz w:val="24"/>
                <w:rtl/>
              </w:rPr>
              <w:fldChar w:fldCharType="separate"/>
            </w:r>
            <w:r>
              <w:rPr>
                <w:noProof/>
                <w:sz w:val="24"/>
                <w:rtl/>
              </w:rPr>
              <w:t>4</w:t>
            </w:r>
            <w:r>
              <w:rPr>
                <w:rFonts w:cs="Frankruhel"/>
                <w:sz w:val="24"/>
                <w:rtl/>
              </w:rPr>
              <w:fldChar w:fldCharType="end"/>
            </w:r>
          </w:p>
        </w:tc>
      </w:tr>
    </w:tbl>
    <w:p w14:paraId="6D93AB3B" w14:textId="77777777" w:rsidR="00A47B9E" w:rsidRDefault="00A47B9E">
      <w:pPr>
        <w:pStyle w:val="big-header"/>
        <w:ind w:left="0" w:right="1134"/>
        <w:rPr>
          <w:rFonts w:cs="FrankRuehl"/>
          <w:sz w:val="32"/>
          <w:rtl/>
        </w:rPr>
      </w:pPr>
    </w:p>
    <w:p w14:paraId="551CFB5B" w14:textId="77777777" w:rsidR="00A47B9E" w:rsidRDefault="00A47B9E">
      <w:pPr>
        <w:pStyle w:val="big-header"/>
        <w:ind w:left="0" w:right="1134"/>
        <w:rPr>
          <w:rFonts w:cs="FrankRuehl"/>
          <w:sz w:val="32"/>
          <w:rtl/>
        </w:rPr>
      </w:pPr>
      <w:r>
        <w:rPr>
          <w:rFonts w:cs="FrankRuehl"/>
          <w:sz w:val="32"/>
          <w:rtl/>
        </w:rPr>
        <w:br w:type="page"/>
      </w:r>
      <w:r>
        <w:rPr>
          <w:rFonts w:cs="FrankRuehl"/>
          <w:sz w:val="32"/>
          <w:rtl/>
        </w:rPr>
        <w:lastRenderedPageBreak/>
        <w:t>פר</w:t>
      </w:r>
      <w:r>
        <w:rPr>
          <w:rFonts w:cs="FrankRuehl" w:hint="cs"/>
          <w:sz w:val="32"/>
          <w:rtl/>
        </w:rPr>
        <w:t>ק 66</w:t>
      </w:r>
    </w:p>
    <w:p w14:paraId="53E3B4E3" w14:textId="77777777" w:rsidR="00A47B9E" w:rsidRDefault="00A47B9E">
      <w:pPr>
        <w:pStyle w:val="big-header"/>
        <w:ind w:left="0" w:right="1134"/>
        <w:rPr>
          <w:rStyle w:val="default"/>
          <w:rFonts w:cs="FrankRuehl"/>
          <w:rtl/>
        </w:rPr>
      </w:pPr>
      <w:r>
        <w:rPr>
          <w:rFonts w:cs="FrankRuehl"/>
          <w:sz w:val="32"/>
          <w:rtl/>
        </w:rPr>
        <w:t>דב</w:t>
      </w:r>
      <w:r>
        <w:rPr>
          <w:rFonts w:cs="FrankRuehl" w:hint="cs"/>
          <w:sz w:val="32"/>
          <w:rtl/>
        </w:rPr>
        <w:t>ר המלך במועצה על ארץ-ישראל (הגנה), 1937</w:t>
      </w:r>
      <w:r>
        <w:rPr>
          <w:rStyle w:val="super"/>
          <w:rFonts w:cs="Miriam"/>
          <w:noProof w:val="0"/>
          <w:rtl/>
          <w:lang w:eastAsia="he-IL"/>
        </w:rPr>
        <w:t>(5)</w:t>
      </w:r>
    </w:p>
    <w:p w14:paraId="619F58B5" w14:textId="77777777" w:rsidR="00A47B9E" w:rsidRDefault="00A47B9E">
      <w:pPr>
        <w:pStyle w:val="medium-header"/>
        <w:keepNext w:val="0"/>
        <w:keepLines w:val="0"/>
        <w:ind w:left="0" w:right="1134"/>
        <w:rPr>
          <w:rFonts w:cs="FrankRuehl"/>
          <w:sz w:val="26"/>
          <w:rtl/>
        </w:rPr>
      </w:pPr>
      <w:r>
        <w:rPr>
          <w:rFonts w:cs="FrankRuehl"/>
          <w:sz w:val="26"/>
          <w:rtl/>
        </w:rPr>
        <w:t>חל</w:t>
      </w:r>
      <w:r>
        <w:rPr>
          <w:rFonts w:cs="FrankRuehl" w:hint="cs"/>
          <w:sz w:val="26"/>
          <w:rtl/>
        </w:rPr>
        <w:t>ק א'</w:t>
      </w:r>
    </w:p>
    <w:p w14:paraId="391AF557" w14:textId="77777777" w:rsidR="00A47B9E" w:rsidRDefault="00A47B9E">
      <w:pPr>
        <w:pStyle w:val="medium2-header"/>
        <w:keepLines w:val="0"/>
        <w:spacing w:before="72"/>
        <w:ind w:left="0" w:right="1134"/>
        <w:rPr>
          <w:rFonts w:cs="FrankRuehl"/>
          <w:noProof/>
          <w:rtl/>
        </w:rPr>
      </w:pPr>
      <w:bookmarkStart w:id="0" w:name="med0"/>
      <w:bookmarkEnd w:id="0"/>
      <w:r>
        <w:rPr>
          <w:rFonts w:cs="FrankRuehl"/>
          <w:noProof/>
          <w:rtl/>
        </w:rPr>
        <w:t>הו</w:t>
      </w:r>
      <w:r>
        <w:rPr>
          <w:rFonts w:cs="FrankRuehl" w:hint="cs"/>
          <w:noProof/>
          <w:rtl/>
        </w:rPr>
        <w:t>ראות כלליות</w:t>
      </w:r>
    </w:p>
    <w:p w14:paraId="5A42DF6C" w14:textId="77777777" w:rsidR="00A47B9E" w:rsidRDefault="00A47B9E">
      <w:pPr>
        <w:pStyle w:val="P00"/>
        <w:spacing w:before="72"/>
        <w:ind w:left="0" w:right="1134"/>
        <w:rPr>
          <w:rStyle w:val="default"/>
          <w:rFonts w:cs="FrankRuehl"/>
          <w:rtl/>
        </w:rPr>
      </w:pPr>
      <w:bookmarkStart w:id="1" w:name="Seif1"/>
      <w:bookmarkEnd w:id="1"/>
      <w:r>
        <w:rPr>
          <w:lang w:val="he-IL"/>
        </w:rPr>
        <w:pict w14:anchorId="0802493D">
          <v:rect id="_x0000_s1026" style="position:absolute;left:0;text-align:left;margin-left:464.5pt;margin-top:8.05pt;width:75.05pt;height:8pt;z-index:251652096" o:allowincell="f" filled="f" stroked="f" strokecolor="lime" strokeweight=".25pt">
            <v:textbox inset="0,0,0,0">
              <w:txbxContent>
                <w:p w14:paraId="2D3A919D" w14:textId="77777777" w:rsidR="00A47B9E" w:rsidRDefault="00A47B9E">
                  <w:pPr>
                    <w:spacing w:line="160" w:lineRule="exact"/>
                    <w:jc w:val="left"/>
                    <w:rPr>
                      <w:rFonts w:cs="Miriam"/>
                      <w:noProof/>
                      <w:sz w:val="18"/>
                      <w:szCs w:val="18"/>
                      <w:rtl/>
                    </w:rPr>
                  </w:pPr>
                  <w:r>
                    <w:rPr>
                      <w:rFonts w:cs="Miriam"/>
                      <w:sz w:val="18"/>
                      <w:szCs w:val="18"/>
                      <w:rtl/>
                    </w:rPr>
                    <w:t>הש</w:t>
                  </w:r>
                  <w:r>
                    <w:rPr>
                      <w:rFonts w:cs="Miriam" w:hint="cs"/>
                      <w:sz w:val="18"/>
                      <w:szCs w:val="18"/>
                      <w:rtl/>
                    </w:rPr>
                    <w:t>ם הקצר</w:t>
                  </w:r>
                </w:p>
              </w:txbxContent>
            </v:textbox>
            <w10:anchorlock/>
          </v:rect>
        </w:pict>
      </w:r>
      <w:r>
        <w:rPr>
          <w:rStyle w:val="big-number"/>
          <w:rFonts w:cs="Miriam"/>
          <w:rtl/>
        </w:rPr>
        <w:t>1.</w:t>
      </w:r>
      <w:r>
        <w:rPr>
          <w:rStyle w:val="big-number"/>
          <w:rFonts w:cs="Miriam"/>
          <w:rtl/>
        </w:rPr>
        <w:tab/>
      </w:r>
      <w:r>
        <w:rPr>
          <w:rStyle w:val="default"/>
          <w:rFonts w:cs="FrankRuehl"/>
          <w:rtl/>
        </w:rPr>
        <w:t>דב</w:t>
      </w:r>
      <w:r>
        <w:rPr>
          <w:rStyle w:val="default"/>
          <w:rFonts w:cs="FrankRuehl" w:hint="cs"/>
          <w:rtl/>
        </w:rPr>
        <w:t>ר מלך זה ייקרא דבר המלך במועצה על ארץ-ישראל (הגנה), 1937.</w:t>
      </w:r>
    </w:p>
    <w:p w14:paraId="528223C0" w14:textId="77777777" w:rsidR="00A47B9E" w:rsidRDefault="00A47B9E">
      <w:pPr>
        <w:pStyle w:val="P00"/>
        <w:spacing w:before="72"/>
        <w:ind w:left="0" w:right="1134"/>
        <w:rPr>
          <w:rStyle w:val="default"/>
          <w:rFonts w:cs="FrankRuehl"/>
          <w:rtl/>
        </w:rPr>
      </w:pPr>
      <w:bookmarkStart w:id="2" w:name="Seif2"/>
      <w:bookmarkEnd w:id="2"/>
      <w:r>
        <w:rPr>
          <w:lang w:val="he-IL"/>
        </w:rPr>
        <w:pict w14:anchorId="5AC05897">
          <v:rect id="_x0000_s1027" style="position:absolute;left:0;text-align:left;margin-left:464.5pt;margin-top:8.05pt;width:75.05pt;height:56pt;z-index:251653120" o:allowincell="f" filled="f" stroked="f" strokecolor="lime" strokeweight=".25pt">
            <v:textbox inset="0,0,0,0">
              <w:txbxContent>
                <w:p w14:paraId="4A01FAD3" w14:textId="77777777" w:rsidR="00A47B9E" w:rsidRDefault="00A47B9E">
                  <w:pPr>
                    <w:spacing w:line="160" w:lineRule="exact"/>
                    <w:jc w:val="left"/>
                    <w:rPr>
                      <w:rStyle w:val="default"/>
                      <w:rFonts w:cs="FrankRuehl"/>
                      <w:noProof/>
                      <w:rtl/>
                    </w:rPr>
                  </w:pPr>
                  <w:r>
                    <w:rPr>
                      <w:rFonts w:cs="Miriam"/>
                      <w:sz w:val="18"/>
                      <w:szCs w:val="18"/>
                      <w:rtl/>
                    </w:rPr>
                    <w:t>פי</w:t>
                  </w:r>
                  <w:r>
                    <w:rPr>
                      <w:rFonts w:cs="Miriam" w:hint="cs"/>
                      <w:sz w:val="18"/>
                      <w:szCs w:val="18"/>
                      <w:rtl/>
                    </w:rPr>
                    <w:t>רוש</w:t>
                  </w:r>
                  <w:r>
                    <w:rPr>
                      <w:rStyle w:val="super"/>
                      <w:rFonts w:cs="Miriam"/>
                      <w:noProof/>
                      <w:rtl/>
                      <w:lang w:eastAsia="he-IL"/>
                    </w:rPr>
                    <w:t>(**)</w:t>
                  </w:r>
                </w:p>
              </w:txbxContent>
            </v:textbox>
            <w10:anchorlock/>
          </v:rect>
        </w:pict>
      </w:r>
      <w:r>
        <w:rPr>
          <w:rStyle w:val="big-number"/>
          <w:rFonts w:cs="Miriam"/>
          <w:rtl/>
        </w:rPr>
        <w:t>2.</w:t>
      </w:r>
      <w:r>
        <w:rPr>
          <w:rStyle w:val="big-number"/>
          <w:rFonts w:cs="Miriam"/>
          <w:rtl/>
        </w:rPr>
        <w:tab/>
      </w:r>
      <w:r>
        <w:rPr>
          <w:rStyle w:val="default"/>
          <w:rFonts w:cs="FrankRuehl"/>
          <w:rtl/>
        </w:rPr>
        <w:t>(1)</w:t>
      </w:r>
      <w:r>
        <w:rPr>
          <w:rStyle w:val="default"/>
          <w:rFonts w:cs="FrankRuehl"/>
          <w:rtl/>
        </w:rPr>
        <w:tab/>
        <w:t>ב</w:t>
      </w:r>
      <w:r>
        <w:rPr>
          <w:rStyle w:val="default"/>
          <w:rFonts w:cs="FrankRuehl" w:hint="cs"/>
          <w:rtl/>
        </w:rPr>
        <w:t>דבר מלך זה יהיו לביטויים דלקמן הפירושים המיוחסים להם, אלא אם כן ענין הכתוב יחיי</w:t>
      </w:r>
      <w:r>
        <w:rPr>
          <w:rStyle w:val="default"/>
          <w:rFonts w:cs="FrankRuehl"/>
          <w:rtl/>
        </w:rPr>
        <w:t xml:space="preserve">ב </w:t>
      </w:r>
      <w:r>
        <w:rPr>
          <w:rStyle w:val="default"/>
          <w:rFonts w:cs="FrankRuehl" w:hint="cs"/>
          <w:rtl/>
        </w:rPr>
        <w:t xml:space="preserve">פירוש אחר: </w:t>
      </w:r>
      <w:r>
        <w:rPr>
          <w:rStyle w:val="default"/>
          <w:rFonts w:cs="FrankRuehl"/>
          <w:rtl/>
        </w:rPr>
        <w:t>—</w:t>
      </w:r>
    </w:p>
    <w:p w14:paraId="65A25DB5"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"ח</w:t>
      </w:r>
      <w:r>
        <w:rPr>
          <w:rStyle w:val="default"/>
          <w:rFonts w:cs="FrankRuehl" w:hint="cs"/>
          <w:rtl/>
        </w:rPr>
        <w:t>וק" כולל כל דבר מלך במועצה, פרט לדבר מלך זה, וכן כל פקודה, חוק עותומני, צו, תקנה, כלל, חוק-עזר או כל חוק אחר הנוהגים באותה שעה בישראל;</w:t>
      </w:r>
    </w:p>
    <w:p w14:paraId="20F1C43E"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בר המלך משנ</w:t>
      </w:r>
      <w:r>
        <w:rPr>
          <w:rStyle w:val="default"/>
          <w:rFonts w:cs="FrankRuehl"/>
          <w:rtl/>
        </w:rPr>
        <w:t>ת</w:t>
      </w:r>
      <w:r>
        <w:rPr>
          <w:rStyle w:val="default"/>
          <w:rFonts w:cs="FrankRuehl" w:hint="cs"/>
          <w:rtl/>
        </w:rPr>
        <w:t xml:space="preserve"> 1931" פירושו, דבר המלך במועצה על ארץ-ישראל (הגנה), 1931;</w:t>
      </w:r>
    </w:p>
    <w:p w14:paraId="7602500B"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"ד</w:t>
      </w:r>
      <w:r>
        <w:rPr>
          <w:rStyle w:val="default"/>
          <w:rFonts w:cs="FrankRuehl" w:hint="cs"/>
          <w:rtl/>
        </w:rPr>
        <w:t>בר המלך משנת 1936" פירושו ד</w:t>
      </w:r>
      <w:r>
        <w:rPr>
          <w:rStyle w:val="default"/>
          <w:rFonts w:cs="FrankRuehl"/>
          <w:rtl/>
        </w:rPr>
        <w:t>בר</w:t>
      </w:r>
      <w:r>
        <w:rPr>
          <w:rStyle w:val="default"/>
          <w:rFonts w:cs="FrankRuehl" w:hint="cs"/>
          <w:rtl/>
        </w:rPr>
        <w:t xml:space="preserve"> המלך על ארץ-ישראל בענין המשטר הצבאי (הגנה), 1936.</w:t>
      </w:r>
    </w:p>
    <w:p w14:paraId="51C5A7D0"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ח</w:t>
      </w:r>
      <w:r>
        <w:rPr>
          <w:rStyle w:val="default"/>
          <w:rFonts w:cs="FrankRuehl" w:hint="cs"/>
          <w:rtl/>
        </w:rPr>
        <w:t>וק הפירושים (הבריטי) יחול על פירושו של דבר מלך זה כשם שהוא חל על פירוש חוק של הפרלמנט.</w:t>
      </w:r>
    </w:p>
    <w:p w14:paraId="26C3AD1B"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כ</w:t>
      </w:r>
      <w:r>
        <w:rPr>
          <w:rStyle w:val="default"/>
          <w:rFonts w:cs="FrankRuehl" w:hint="cs"/>
          <w:rtl/>
        </w:rPr>
        <w:t>די למנוע ספקות מכריזים בזה כי כל איזכור של ישראל בדבר מלך זה או בדבר המלך משנת 1931, או בדבר המלך משנת 1</w:t>
      </w:r>
      <w:r>
        <w:rPr>
          <w:rStyle w:val="default"/>
          <w:rFonts w:cs="FrankRuehl"/>
          <w:rtl/>
        </w:rPr>
        <w:t>936, כ</w:t>
      </w:r>
      <w:r>
        <w:rPr>
          <w:rStyle w:val="default"/>
          <w:rFonts w:cs="FrankRuehl" w:hint="cs"/>
          <w:rtl/>
        </w:rPr>
        <w:t>ולל גם איזכור של מימי החוף הסמוכים לארץ.</w:t>
      </w:r>
    </w:p>
    <w:p w14:paraId="3BD4B6C8" w14:textId="77777777" w:rsidR="00A47B9E" w:rsidRDefault="00A47B9E">
      <w:pPr>
        <w:pStyle w:val="P00"/>
        <w:spacing w:before="72"/>
        <w:ind w:left="0" w:right="1134"/>
        <w:rPr>
          <w:rFonts w:cs="FrankRuehl"/>
          <w:sz w:val="26"/>
          <w:rtl/>
        </w:rPr>
      </w:pPr>
      <w:r>
        <w:rPr>
          <w:rFonts w:cs="FrankRuehl"/>
          <w:sz w:val="26"/>
          <w:rtl/>
        </w:rPr>
        <w:t>------------</w:t>
      </w:r>
    </w:p>
    <w:p w14:paraId="6A74E58E" w14:textId="77777777" w:rsidR="00A47B9E" w:rsidRDefault="00A47B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(5)</w:t>
      </w:r>
      <w:r>
        <w:rPr>
          <w:rFonts w:cs="FrankRuehl"/>
        </w:rPr>
        <w:t> </w:t>
      </w:r>
      <w:r>
        <w:rPr>
          <w:rFonts w:cs="FrankRuehl"/>
          <w:rtl/>
        </w:rPr>
        <w:t>פו</w:t>
      </w:r>
      <w:r>
        <w:rPr>
          <w:rFonts w:cs="FrankRuehl" w:hint="cs"/>
          <w:rtl/>
        </w:rPr>
        <w:t>רסם ע"ר מס' 675 מיום 24.3.1937, תוס' 2, עמ' (ע) 227, (א) 267.</w:t>
      </w:r>
    </w:p>
    <w:p w14:paraId="21975CB1" w14:textId="77777777" w:rsidR="00A47B9E" w:rsidRDefault="00A47B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Pr>
        <w:t> </w:t>
      </w:r>
      <w:r>
        <w:rPr>
          <w:rFonts w:cs="FrankRuehl"/>
          <w:rtl/>
        </w:rPr>
        <w:t>דב</w:t>
      </w:r>
      <w:r>
        <w:rPr>
          <w:rFonts w:cs="FrankRuehl" w:hint="cs"/>
          <w:rtl/>
        </w:rPr>
        <w:t>"מ זה פורסם בעתון הרשמי מיום 26.1</w:t>
      </w:r>
      <w:r>
        <w:rPr>
          <w:rFonts w:cs="FrankRuehl"/>
          <w:rtl/>
        </w:rPr>
        <w:t>.1933.</w:t>
      </w:r>
    </w:p>
    <w:p w14:paraId="46CBBF8D" w14:textId="77777777" w:rsidR="00A47B9E" w:rsidRDefault="00A47B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Pr>
        <w:t> </w:t>
      </w:r>
      <w:r>
        <w:rPr>
          <w:rFonts w:cs="FrankRuehl"/>
          <w:rtl/>
        </w:rPr>
        <w:t>הו</w:t>
      </w:r>
      <w:r>
        <w:rPr>
          <w:rFonts w:cs="FrankRuehl" w:hint="cs"/>
          <w:rtl/>
        </w:rPr>
        <w:t>שמטו ההגדרות של "ארץ-ישראל" ושל "הנציב העליון".</w:t>
      </w:r>
    </w:p>
    <w:p w14:paraId="1180687B" w14:textId="77777777" w:rsidR="00A47B9E" w:rsidRDefault="00A47B9E">
      <w:pPr>
        <w:pStyle w:val="page"/>
        <w:widowControl/>
        <w:ind w:right="1134"/>
        <w:rPr>
          <w:rFonts w:cs="David"/>
          <w:position w:val="0"/>
          <w:sz w:val="22"/>
          <w:rtl/>
        </w:rPr>
      </w:pPr>
      <w:r>
        <w:rPr>
          <w:rFonts w:cs="David"/>
          <w:position w:val="0"/>
          <w:sz w:val="22"/>
          <w:rtl/>
        </w:rPr>
        <w:t xml:space="preserve"> </w:t>
      </w:r>
    </w:p>
    <w:p w14:paraId="0634EB83" w14:textId="77777777" w:rsidR="00A47B9E" w:rsidRDefault="00A47B9E">
      <w:pPr>
        <w:pStyle w:val="P00"/>
        <w:spacing w:before="72"/>
        <w:ind w:left="0" w:right="1134"/>
        <w:rPr>
          <w:rStyle w:val="default"/>
          <w:rFonts w:cs="FrankRuehl"/>
          <w:rtl/>
        </w:rPr>
      </w:pPr>
      <w:bookmarkStart w:id="3" w:name="Seif3"/>
      <w:bookmarkEnd w:id="3"/>
      <w:r>
        <w:rPr>
          <w:lang w:val="he-IL"/>
        </w:rPr>
        <w:pict w14:anchorId="201371DF">
          <v:rect id="_x0000_s1028" style="position:absolute;left:0;text-align:left;margin-left:464.5pt;margin-top:8.05pt;width:75.05pt;height:8pt;z-index:251654144" o:allowincell="f" filled="f" stroked="f" strokecolor="lime" strokeweight=".25pt">
            <v:textbox inset="0,0,0,0">
              <w:txbxContent>
                <w:p w14:paraId="2E66F0B8" w14:textId="77777777" w:rsidR="00A47B9E" w:rsidRDefault="00A47B9E">
                  <w:pPr>
                    <w:spacing w:line="160" w:lineRule="exact"/>
                    <w:jc w:val="left"/>
                    <w:rPr>
                      <w:rFonts w:cs="Miriam"/>
                      <w:noProof/>
                      <w:sz w:val="18"/>
                      <w:szCs w:val="18"/>
                      <w:rtl/>
                    </w:rPr>
                  </w:pPr>
                  <w:r>
                    <w:rPr>
                      <w:rFonts w:cs="Miriam"/>
                      <w:sz w:val="18"/>
                      <w:szCs w:val="18"/>
                      <w:rtl/>
                    </w:rPr>
                    <w:t>תח</w:t>
                  </w:r>
                  <w:r>
                    <w:rPr>
                      <w:rFonts w:cs="Miriam" w:hint="cs"/>
                      <w:sz w:val="18"/>
                      <w:szCs w:val="18"/>
                      <w:rtl/>
                    </w:rPr>
                    <w:t>ילת התוקף</w:t>
                  </w:r>
                </w:p>
              </w:txbxContent>
            </v:textbox>
            <w10:anchorlock/>
          </v:rect>
        </w:pict>
      </w:r>
      <w:r>
        <w:rPr>
          <w:rStyle w:val="big-number"/>
          <w:rFonts w:cs="Miriam"/>
          <w:rtl/>
        </w:rPr>
        <w:t>3.</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וראות חלק ב' מדבר מלך זה לא תחולנה אלא בתוקף מינשר שיפורסם ע"י הנציב העליון שיורה כי ההוראות הנ"ל תקבלנה תוקף: וכל אימת שיפורסם מינשר כזה, תקבלנה ההוראות הנ"ל תוקף באותו יום שיפורש במינשר</w:t>
      </w:r>
      <w:r>
        <w:rPr>
          <w:rStyle w:val="super"/>
          <w:rFonts w:cs="Miriam"/>
          <w:noProof w:val="0"/>
          <w:rtl/>
          <w:lang w:eastAsia="he-IL"/>
        </w:rPr>
        <w:t>(*)</w:t>
      </w:r>
      <w:r>
        <w:rPr>
          <w:rStyle w:val="default"/>
          <w:rFonts w:cs="FrankRuehl"/>
          <w:rtl/>
        </w:rPr>
        <w:t>, ו</w:t>
      </w:r>
      <w:r>
        <w:rPr>
          <w:rStyle w:val="default"/>
          <w:rFonts w:cs="FrankRuehl" w:hint="cs"/>
          <w:rtl/>
        </w:rPr>
        <w:t>כן תוספנה להיות בעלות תוקף עד שיפרסם הנציב העליון</w:t>
      </w:r>
      <w:r>
        <w:rPr>
          <w:rStyle w:val="super"/>
          <w:rFonts w:cs="Miriam"/>
          <w:noProof w:val="0"/>
          <w:rtl/>
          <w:lang w:eastAsia="he-IL"/>
        </w:rPr>
        <w:t>(**)</w:t>
      </w:r>
      <w:r>
        <w:rPr>
          <w:rStyle w:val="default"/>
          <w:rFonts w:cs="FrankRuehl"/>
          <w:rtl/>
        </w:rPr>
        <w:t xml:space="preserve"> מינ</w:t>
      </w:r>
      <w:r>
        <w:rPr>
          <w:rStyle w:val="default"/>
          <w:rFonts w:cs="FrankRuehl" w:hint="cs"/>
          <w:rtl/>
        </w:rPr>
        <w:t>שר אחר המורה כי יחדל להיות תוקף להוראות הנ"ל, ואז יחדל להיות להן תוקף, פרט לאותם הדברים שנעשו או שלא נעשו קודם לכן.</w:t>
      </w:r>
    </w:p>
    <w:p w14:paraId="373BB63D"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ח</w:t>
      </w:r>
      <w:r>
        <w:rPr>
          <w:rStyle w:val="default"/>
          <w:rFonts w:cs="FrankRuehl" w:hint="cs"/>
          <w:rtl/>
        </w:rPr>
        <w:t>וץ אם נאמר בפירוש אחרת בדבר מ</w:t>
      </w:r>
      <w:r>
        <w:rPr>
          <w:rStyle w:val="default"/>
          <w:rFonts w:cs="FrankRuehl"/>
          <w:rtl/>
        </w:rPr>
        <w:t>ל</w:t>
      </w:r>
      <w:r>
        <w:rPr>
          <w:rStyle w:val="default"/>
          <w:rFonts w:cs="FrankRuehl" w:hint="cs"/>
          <w:rtl/>
        </w:rPr>
        <w:t>ך זה, הרי דבר המלך יקבל תוקף מיד.</w:t>
      </w:r>
    </w:p>
    <w:p w14:paraId="08CB1E1A" w14:textId="77777777" w:rsidR="00A47B9E" w:rsidRDefault="00A47B9E">
      <w:pPr>
        <w:pStyle w:val="P00"/>
        <w:spacing w:before="72"/>
        <w:ind w:left="0" w:right="1134"/>
        <w:rPr>
          <w:rStyle w:val="default"/>
          <w:rFonts w:cs="FrankRuehl"/>
          <w:rtl/>
        </w:rPr>
      </w:pPr>
      <w:r>
        <w:rPr>
          <w:rStyle w:val="big-number"/>
          <w:rFonts w:cs="Miriam"/>
          <w:rtl/>
        </w:rPr>
        <w:t>4.</w:t>
      </w:r>
      <w:r>
        <w:rPr>
          <w:rStyle w:val="big-number"/>
          <w:rFonts w:cs="Miriam"/>
          <w:rtl/>
        </w:rPr>
        <w:tab/>
      </w:r>
      <w:r>
        <w:rPr>
          <w:rStyle w:val="super"/>
          <w:rFonts w:cs="Miriam"/>
          <w:noProof w:val="0"/>
          <w:rtl/>
          <w:lang w:eastAsia="he-IL"/>
        </w:rPr>
        <w:t>(***)</w:t>
      </w:r>
      <w:r>
        <w:rPr>
          <w:rStyle w:val="default"/>
          <w:rFonts w:cs="FrankRuehl"/>
          <w:rtl/>
        </w:rPr>
        <w:t>.</w:t>
      </w:r>
    </w:p>
    <w:p w14:paraId="734E7A0C" w14:textId="77777777" w:rsidR="00A47B9E" w:rsidRDefault="00A47B9E">
      <w:pPr>
        <w:pStyle w:val="P00"/>
        <w:spacing w:before="72"/>
        <w:ind w:left="0" w:right="1134"/>
        <w:rPr>
          <w:rStyle w:val="default"/>
          <w:rFonts w:cs="FrankRuehl"/>
          <w:rtl/>
        </w:rPr>
      </w:pPr>
      <w:bookmarkStart w:id="4" w:name="Seif4"/>
      <w:bookmarkEnd w:id="4"/>
      <w:r>
        <w:rPr>
          <w:lang w:val="he-IL"/>
        </w:rPr>
        <w:pict w14:anchorId="250449C3">
          <v:rect id="_x0000_s1029" style="position:absolute;left:0;text-align:left;margin-left:464.5pt;margin-top:8.05pt;width:75.05pt;height:8pt;z-index:251655168" o:allowincell="f" filled="f" stroked="f" strokecolor="lime" strokeweight=".25pt">
            <v:textbox inset="0,0,0,0">
              <w:txbxContent>
                <w:p w14:paraId="73E419A5" w14:textId="77777777" w:rsidR="00A47B9E" w:rsidRDefault="00A47B9E">
                  <w:pPr>
                    <w:spacing w:line="160" w:lineRule="exact"/>
                    <w:jc w:val="left"/>
                    <w:rPr>
                      <w:rFonts w:cs="Miriam"/>
                      <w:noProof/>
                      <w:sz w:val="18"/>
                      <w:szCs w:val="18"/>
                      <w:rtl/>
                    </w:rPr>
                  </w:pPr>
                  <w:r>
                    <w:rPr>
                      <w:rFonts w:cs="Miriam"/>
                      <w:sz w:val="18"/>
                      <w:szCs w:val="18"/>
                      <w:rtl/>
                    </w:rPr>
                    <w:t>תח</w:t>
                  </w:r>
                  <w:r>
                    <w:rPr>
                      <w:rFonts w:cs="Miriam" w:hint="cs"/>
                      <w:sz w:val="18"/>
                      <w:szCs w:val="18"/>
                      <w:rtl/>
                    </w:rPr>
                    <w:t>ולה</w:t>
                  </w:r>
                </w:p>
              </w:txbxContent>
            </v:textbox>
            <w10:anchorlock/>
          </v:rect>
        </w:pict>
      </w:r>
      <w:r>
        <w:rPr>
          <w:rStyle w:val="big-number"/>
          <w:rFonts w:cs="Miriam"/>
          <w:rtl/>
        </w:rPr>
        <w:t>5.</w:t>
      </w:r>
      <w:r>
        <w:rPr>
          <w:rStyle w:val="big-number"/>
          <w:rFonts w:cs="Miriam"/>
          <w:rtl/>
        </w:rPr>
        <w:tab/>
      </w:r>
      <w:r>
        <w:rPr>
          <w:rStyle w:val="default"/>
          <w:rFonts w:cs="FrankRuehl"/>
          <w:rtl/>
        </w:rPr>
        <w:t>דב</w:t>
      </w:r>
      <w:r>
        <w:rPr>
          <w:rStyle w:val="default"/>
          <w:rFonts w:cs="FrankRuehl" w:hint="cs"/>
          <w:rtl/>
        </w:rPr>
        <w:t>ר מלך זה יחול על ישראל כולה.</w:t>
      </w:r>
    </w:p>
    <w:p w14:paraId="24AD1DD0" w14:textId="77777777" w:rsidR="00A47B9E" w:rsidRDefault="00A47B9E">
      <w:pPr>
        <w:pStyle w:val="medium2-header"/>
        <w:keepLines w:val="0"/>
        <w:spacing w:before="72"/>
        <w:ind w:left="0" w:right="1134"/>
        <w:rPr>
          <w:rFonts w:cs="FrankRuehl"/>
          <w:noProof/>
          <w:rtl/>
        </w:rPr>
      </w:pPr>
      <w:bookmarkStart w:id="5" w:name="med1"/>
      <w:bookmarkEnd w:id="5"/>
      <w:r>
        <w:rPr>
          <w:rFonts w:cs="FrankRuehl"/>
          <w:noProof/>
          <w:rtl/>
        </w:rPr>
        <w:t>חל</w:t>
      </w:r>
      <w:r>
        <w:rPr>
          <w:rFonts w:cs="FrankRuehl" w:hint="cs"/>
          <w:noProof/>
          <w:rtl/>
        </w:rPr>
        <w:t>ק ב'</w:t>
      </w:r>
    </w:p>
    <w:p w14:paraId="205D8D5B" w14:textId="77777777" w:rsidR="00A47B9E" w:rsidRDefault="00A47B9E">
      <w:pPr>
        <w:pStyle w:val="medium2-header"/>
        <w:keepLines w:val="0"/>
        <w:spacing w:before="72"/>
        <w:ind w:left="0" w:right="1134"/>
        <w:rPr>
          <w:rFonts w:cs="FrankRuehl"/>
          <w:noProof/>
          <w:rtl/>
        </w:rPr>
      </w:pPr>
      <w:bookmarkStart w:id="6" w:name="med2"/>
      <w:bookmarkEnd w:id="6"/>
      <w:r>
        <w:rPr>
          <w:rFonts w:cs="FrankRuehl" w:hint="cs"/>
          <w:noProof/>
          <w:rtl/>
        </w:rPr>
        <w:t>ת</w:t>
      </w:r>
      <w:r>
        <w:rPr>
          <w:rFonts w:cs="FrankRuehl"/>
          <w:noProof/>
          <w:rtl/>
        </w:rPr>
        <w:t>ק</w:t>
      </w:r>
      <w:r>
        <w:rPr>
          <w:rFonts w:cs="FrankRuehl" w:hint="cs"/>
          <w:noProof/>
          <w:rtl/>
        </w:rPr>
        <w:t>נות לענין הגנה</w:t>
      </w:r>
    </w:p>
    <w:p w14:paraId="400498E7" w14:textId="77777777" w:rsidR="00A47B9E" w:rsidRDefault="00A47B9E">
      <w:pPr>
        <w:pStyle w:val="P00"/>
        <w:spacing w:before="72"/>
        <w:ind w:left="0" w:right="1134"/>
        <w:rPr>
          <w:rStyle w:val="default"/>
          <w:rFonts w:cs="FrankRuehl"/>
          <w:rtl/>
        </w:rPr>
      </w:pPr>
      <w:bookmarkStart w:id="7" w:name="Seif5"/>
      <w:bookmarkEnd w:id="7"/>
      <w:r>
        <w:rPr>
          <w:lang w:val="he-IL"/>
        </w:rPr>
        <w:pict w14:anchorId="308E77D6">
          <v:rect id="_x0000_s1030" style="position:absolute;left:0;text-align:left;margin-left:464.5pt;margin-top:8.05pt;width:75.05pt;height:8pt;z-index:251656192" o:allowincell="f" filled="f" stroked="f" strokecolor="lime" strokeweight=".25pt">
            <v:textbox inset="0,0,0,0">
              <w:txbxContent>
                <w:p w14:paraId="1A6BAD29" w14:textId="77777777" w:rsidR="00A47B9E" w:rsidRDefault="00A47B9E">
                  <w:pPr>
                    <w:spacing w:line="160" w:lineRule="exact"/>
                    <w:jc w:val="left"/>
                    <w:rPr>
                      <w:rFonts w:cs="Miriam"/>
                      <w:noProof/>
                      <w:sz w:val="18"/>
                      <w:szCs w:val="18"/>
                      <w:rtl/>
                    </w:rPr>
                  </w:pPr>
                  <w:r>
                    <w:rPr>
                      <w:rFonts w:cs="Miriam"/>
                      <w:sz w:val="18"/>
                      <w:szCs w:val="18"/>
                      <w:rtl/>
                    </w:rPr>
                    <w:t>תק</w:t>
                  </w:r>
                  <w:r>
                    <w:rPr>
                      <w:rFonts w:cs="Miriam" w:hint="cs"/>
                      <w:sz w:val="18"/>
                      <w:szCs w:val="18"/>
                      <w:rtl/>
                    </w:rPr>
                    <w:t>נות לענין הגנה</w:t>
                  </w:r>
                </w:p>
              </w:txbxContent>
            </v:textbox>
            <w10:anchorlock/>
          </v:rect>
        </w:pict>
      </w:r>
      <w:r>
        <w:rPr>
          <w:rStyle w:val="big-number"/>
          <w:rFonts w:cs="Miriam"/>
          <w:rtl/>
        </w:rPr>
        <w:t>6.</w:t>
      </w:r>
      <w:r>
        <w:rPr>
          <w:rStyle w:val="big-number"/>
          <w:rFonts w:cs="Miriam"/>
          <w:rtl/>
        </w:rPr>
        <w:tab/>
      </w:r>
      <w:r>
        <w:rPr>
          <w:rStyle w:val="default"/>
          <w:rFonts w:cs="FrankRuehl"/>
          <w:rtl/>
        </w:rPr>
        <w:t>(1)</w:t>
      </w:r>
      <w:r>
        <w:rPr>
          <w:rStyle w:val="default"/>
          <w:rFonts w:cs="FrankRuehl"/>
          <w:rtl/>
        </w:rPr>
        <w:tab/>
        <w:t>ה</w:t>
      </w:r>
      <w:r>
        <w:rPr>
          <w:rStyle w:val="default"/>
          <w:rFonts w:cs="FrankRuehl" w:hint="cs"/>
          <w:rtl/>
        </w:rPr>
        <w:t>ממשלה</w:t>
      </w:r>
      <w:r>
        <w:rPr>
          <w:rStyle w:val="super"/>
          <w:rFonts w:cs="Miriam"/>
          <w:noProof w:val="0"/>
          <w:rtl/>
          <w:lang w:eastAsia="he-IL"/>
        </w:rPr>
        <w:t>(****)</w:t>
      </w:r>
      <w:r>
        <w:rPr>
          <w:rStyle w:val="default"/>
          <w:rFonts w:cs="FrankRuehl"/>
          <w:rtl/>
        </w:rPr>
        <w:t xml:space="preserve"> ר</w:t>
      </w:r>
      <w:r>
        <w:rPr>
          <w:rStyle w:val="default"/>
          <w:rFonts w:cs="FrankRuehl" w:hint="cs"/>
          <w:rtl/>
        </w:rPr>
        <w:t xml:space="preserve">שאית להתקין אותן התקנות (הקרויות בדבר מלך זה "תקנות לענין הגנה"), שלפי שיקול דעתה הבלתי מוגבל יהא צורך בהן כדי להבטיח את בטחון הציבור, ההגנה על ישראל, השלטת הסדר הציבורי ודיכוי התקוממות, מרד ופרעות וכדי לקיים את האספקה והשירותים שהם </w:t>
      </w:r>
      <w:r>
        <w:rPr>
          <w:rStyle w:val="default"/>
          <w:rFonts w:cs="FrankRuehl"/>
          <w:rtl/>
        </w:rPr>
        <w:t>הכ</w:t>
      </w:r>
      <w:r>
        <w:rPr>
          <w:rStyle w:val="default"/>
          <w:rFonts w:cs="FrankRuehl" w:hint="cs"/>
          <w:rtl/>
        </w:rPr>
        <w:t>רחיים לציבור.</w:t>
      </w:r>
    </w:p>
    <w:p w14:paraId="0B6A9C47"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(2)</w:t>
      </w:r>
      <w:r>
        <w:rPr>
          <w:rStyle w:val="default"/>
          <w:rFonts w:cs="FrankRuehl"/>
          <w:rtl/>
        </w:rPr>
        <w:tab/>
        <w:t>ב</w:t>
      </w:r>
      <w:r>
        <w:rPr>
          <w:rStyle w:val="default"/>
          <w:rFonts w:cs="FrankRuehl" w:hint="cs"/>
          <w:rtl/>
        </w:rPr>
        <w:t>לי לפגוע בכללותן של הסמכויות הנתונות בסעיף קטן דלעיל, הרי תוכלנה תקנות לענין הגנה:</w:t>
      </w:r>
    </w:p>
    <w:p w14:paraId="13FA18C7" w14:textId="77777777" w:rsidR="00A47B9E" w:rsidRDefault="00A47B9E">
      <w:pPr>
        <w:pStyle w:val="P22"/>
        <w:spacing w:before="72"/>
        <w:ind w:left="1021" w:right="1134"/>
        <w:rPr>
          <w:rStyle w:val="default"/>
          <w:rFonts w:cs="FrankRuehl"/>
          <w:rtl/>
        </w:rPr>
      </w:pPr>
      <w:r>
        <w:rPr>
          <w:rStyle w:val="default"/>
          <w:rFonts w:cs="FrankRuehl"/>
          <w:rtl/>
        </w:rPr>
        <w:t>(א</w:t>
      </w:r>
      <w:r>
        <w:rPr>
          <w:rStyle w:val="default"/>
          <w:rFonts w:cs="FrankRuehl" w:hint="cs"/>
          <w:rtl/>
        </w:rPr>
        <w:t>)</w:t>
      </w:r>
      <w:r>
        <w:rPr>
          <w:rStyle w:val="default"/>
          <w:rFonts w:cs="FrankRuehl"/>
          <w:rtl/>
        </w:rPr>
        <w:tab/>
        <w:t>ל</w:t>
      </w:r>
      <w:r>
        <w:rPr>
          <w:rStyle w:val="default"/>
          <w:rFonts w:cs="FrankRuehl" w:hint="cs"/>
          <w:rtl/>
        </w:rPr>
        <w:t>קבוע הוראות לעצירתם של אנשים בישראל או לגירושם והוצאתם ממנה;</w:t>
      </w:r>
    </w:p>
    <w:p w14:paraId="7C953A9E" w14:textId="77777777" w:rsidR="00A47B9E" w:rsidRDefault="00A47B9E">
      <w:pPr>
        <w:pStyle w:val="P22"/>
        <w:spacing w:before="72"/>
        <w:ind w:left="1021" w:right="1134"/>
        <w:rPr>
          <w:rStyle w:val="default"/>
          <w:rFonts w:cs="FrankRuehl"/>
          <w:rtl/>
        </w:rPr>
      </w:pPr>
      <w:r>
        <w:rPr>
          <w:rStyle w:val="default"/>
          <w:rFonts w:cs="FrankRuehl" w:hint="cs"/>
          <w:rtl/>
        </w:rPr>
        <w:t>(</w:t>
      </w:r>
      <w:r>
        <w:rPr>
          <w:rStyle w:val="default"/>
          <w:rFonts w:cs="FrankRuehl"/>
          <w:rtl/>
        </w:rPr>
        <w:t>ב</w:t>
      </w:r>
      <w:r>
        <w:rPr>
          <w:rStyle w:val="default"/>
          <w:rFonts w:cs="FrankRuehl" w:hint="cs"/>
          <w:rtl/>
        </w:rPr>
        <w:t>)</w:t>
      </w:r>
      <w:r>
        <w:rPr>
          <w:rStyle w:val="default"/>
          <w:rFonts w:cs="FrankRuehl"/>
          <w:rtl/>
        </w:rPr>
        <w:tab/>
        <w:t>ל</w:t>
      </w:r>
      <w:r>
        <w:rPr>
          <w:rStyle w:val="default"/>
          <w:rFonts w:cs="FrankRuehl" w:hint="cs"/>
          <w:rtl/>
        </w:rPr>
        <w:t xml:space="preserve">התיר </w:t>
      </w:r>
      <w:r>
        <w:rPr>
          <w:rStyle w:val="default"/>
          <w:rFonts w:cs="FrankRuehl"/>
          <w:rtl/>
        </w:rPr>
        <w:t>—</w:t>
      </w:r>
    </w:p>
    <w:p w14:paraId="03F6C5AD" w14:textId="77777777" w:rsidR="00A47B9E" w:rsidRDefault="00A47B9E">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נ</w:t>
      </w:r>
      <w:r>
        <w:rPr>
          <w:rStyle w:val="default"/>
          <w:rFonts w:cs="FrankRuehl" w:hint="cs"/>
          <w:rtl/>
        </w:rPr>
        <w:t>טילת כל נכס או מפעל או קבלת פיקוח עליו מטעם הממשלה;</w:t>
      </w:r>
    </w:p>
    <w:p w14:paraId="2D0A1E25" w14:textId="77777777" w:rsidR="00A47B9E" w:rsidRDefault="00A47B9E">
      <w:pPr>
        <w:pStyle w:val="P00"/>
        <w:spacing w:before="72"/>
        <w:ind w:left="0" w:right="1134"/>
        <w:rPr>
          <w:rFonts w:cs="FrankRuehl"/>
          <w:sz w:val="26"/>
          <w:rtl/>
        </w:rPr>
      </w:pPr>
      <w:r>
        <w:rPr>
          <w:rFonts w:cs="FrankRuehl"/>
          <w:sz w:val="26"/>
          <w:rtl/>
        </w:rPr>
        <w:lastRenderedPageBreak/>
        <w:t>------------</w:t>
      </w:r>
    </w:p>
    <w:p w14:paraId="78332FEE" w14:textId="77777777" w:rsidR="00A47B9E" w:rsidRDefault="00A47B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rtl/>
        </w:rPr>
        <w:t>(*)</w:t>
      </w:r>
      <w:r>
        <w:rPr>
          <w:rFonts w:cs="FrankRuehl"/>
        </w:rPr>
        <w:t> </w:t>
      </w:r>
      <w:r>
        <w:rPr>
          <w:rFonts w:cs="FrankRuehl"/>
          <w:rtl/>
        </w:rPr>
        <w:t>הנ</w:t>
      </w:r>
      <w:r>
        <w:rPr>
          <w:rFonts w:cs="FrankRuehl" w:hint="cs"/>
          <w:rtl/>
        </w:rPr>
        <w:t xml:space="preserve">ציב העליון פרסם מינשר שלפיו הוראותיו של חלק ב' תקבלנה תוקף ביום 24.3.1937 </w:t>
      </w:r>
      <w:r>
        <w:rPr>
          <w:rFonts w:cs="FrankRuehl"/>
          <w:rtl/>
        </w:rPr>
        <w:t xml:space="preserve">— </w:t>
      </w:r>
      <w:r>
        <w:rPr>
          <w:rFonts w:cs="FrankRuehl" w:hint="cs"/>
          <w:rtl/>
        </w:rPr>
        <w:t>ע"ר מס' 675 מיום 24.3.1937, תוס' 2, עמ' (ע) 233</w:t>
      </w:r>
      <w:r>
        <w:rPr>
          <w:rFonts w:cs="FrankRuehl"/>
          <w:rtl/>
        </w:rPr>
        <w:t>, (</w:t>
      </w:r>
      <w:r>
        <w:rPr>
          <w:rFonts w:cs="FrankRuehl" w:hint="cs"/>
          <w:rtl/>
        </w:rPr>
        <w:t>א) 273.</w:t>
      </w:r>
    </w:p>
    <w:p w14:paraId="5EC2AA08" w14:textId="77777777" w:rsidR="00A47B9E" w:rsidRDefault="00A47B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Pr>
        <w:t> </w:t>
      </w:r>
      <w:r>
        <w:rPr>
          <w:rFonts w:cs="FrankRuehl"/>
          <w:rtl/>
        </w:rPr>
        <w:t>עכ</w:t>
      </w:r>
      <w:r>
        <w:rPr>
          <w:rFonts w:cs="FrankRuehl" w:hint="cs"/>
          <w:rtl/>
        </w:rPr>
        <w:t>שיו הכנסת בתור רשות מחוקקת.</w:t>
      </w:r>
    </w:p>
    <w:p w14:paraId="6D01D663" w14:textId="77777777" w:rsidR="00A47B9E" w:rsidRDefault="00A47B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Pr>
        <w:t> </w:t>
      </w:r>
      <w:r>
        <w:rPr>
          <w:rFonts w:cs="FrankRuehl"/>
          <w:rtl/>
        </w:rPr>
        <w:t>דן</w:t>
      </w:r>
      <w:r>
        <w:rPr>
          <w:rFonts w:cs="FrankRuehl" w:hint="cs"/>
          <w:rtl/>
        </w:rPr>
        <w:t xml:space="preserve"> בסמכות המלך לתקן או לבטל דבר מלך זה, ולכן הושמט.</w:t>
      </w:r>
    </w:p>
    <w:p w14:paraId="7A8A79DD" w14:textId="77777777" w:rsidR="00A47B9E" w:rsidRDefault="00A47B9E">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w:t>
      </w:r>
      <w:r>
        <w:rPr>
          <w:rFonts w:cs="FrankRuehl"/>
        </w:rPr>
        <w:t> </w:t>
      </w:r>
      <w:r>
        <w:rPr>
          <w:rFonts w:cs="FrankRuehl"/>
          <w:rtl/>
        </w:rPr>
        <w:t>לפ</w:t>
      </w:r>
      <w:r>
        <w:rPr>
          <w:rFonts w:cs="FrankRuehl" w:hint="cs"/>
          <w:rtl/>
        </w:rPr>
        <w:t>י הנוסח הרשמי "הנ</w:t>
      </w:r>
      <w:r>
        <w:rPr>
          <w:rFonts w:cs="FrankRuehl"/>
          <w:rtl/>
        </w:rPr>
        <w:t>צי</w:t>
      </w:r>
      <w:r>
        <w:rPr>
          <w:rFonts w:cs="FrankRuehl" w:hint="cs"/>
          <w:rtl/>
        </w:rPr>
        <w:t>ב העליון"; השינוי בא בהתאם לסעיף 14(א) לפקודת סדרי השלטון והמשפט, תש"ח</w:t>
      </w:r>
      <w:r>
        <w:rPr>
          <w:rFonts w:cs="FrankRuehl"/>
          <w:rtl/>
        </w:rPr>
        <w:t xml:space="preserve">–1948, </w:t>
      </w:r>
      <w:r>
        <w:rPr>
          <w:rFonts w:cs="FrankRuehl" w:hint="cs"/>
          <w:rtl/>
        </w:rPr>
        <w:t xml:space="preserve">אך לדעת העורך של הוצאה זו נתונה הסמכות להתקין, </w:t>
      </w:r>
      <w:r>
        <w:rPr>
          <w:rFonts w:cs="FrankRuehl"/>
          <w:rtl/>
        </w:rPr>
        <w:t>ל</w:t>
      </w:r>
      <w:r>
        <w:rPr>
          <w:rFonts w:cs="FrankRuehl" w:hint="cs"/>
          <w:rtl/>
        </w:rPr>
        <w:t xml:space="preserve">שנות, לתקן ולבטל תקנות כנ"ל לכנסת אשר היא הרשות המחוקקת </w:t>
      </w:r>
      <w:r>
        <w:rPr>
          <w:rFonts w:cs="FrankRuehl"/>
          <w:rtl/>
        </w:rPr>
        <w:t xml:space="preserve">— </w:t>
      </w:r>
      <w:r>
        <w:rPr>
          <w:rFonts w:cs="FrankRuehl" w:hint="cs"/>
          <w:rtl/>
        </w:rPr>
        <w:t>ראה סעיף 7(א) לפקודה הנ"ל.</w:t>
      </w:r>
    </w:p>
    <w:p w14:paraId="2D7214B0" w14:textId="77777777" w:rsidR="00A47B9E" w:rsidRDefault="00A47B9E">
      <w:pPr>
        <w:pStyle w:val="page"/>
        <w:widowControl/>
        <w:ind w:right="1134"/>
        <w:rPr>
          <w:rFonts w:cs="David"/>
          <w:position w:val="0"/>
          <w:sz w:val="22"/>
          <w:rtl/>
        </w:rPr>
      </w:pPr>
      <w:r>
        <w:rPr>
          <w:rFonts w:cs="David"/>
          <w:position w:val="0"/>
          <w:sz w:val="22"/>
          <w:rtl/>
        </w:rPr>
        <w:t xml:space="preserve"> </w:t>
      </w:r>
    </w:p>
    <w:p w14:paraId="0C907217" w14:textId="77777777" w:rsidR="00A47B9E" w:rsidRDefault="00A47B9E">
      <w:pPr>
        <w:pStyle w:val="P33"/>
        <w:spacing w:before="72"/>
        <w:ind w:left="1474" w:right="1134"/>
        <w:rPr>
          <w:rStyle w:val="default"/>
          <w:rFonts w:cs="FrankRuehl"/>
          <w:rtl/>
        </w:rPr>
      </w:pPr>
      <w:r>
        <w:rPr>
          <w:rStyle w:val="default"/>
          <w:rFonts w:cs="FrankRuehl"/>
          <w:rtl/>
        </w:rPr>
        <w:t>(</w:t>
      </w:r>
      <w:r>
        <w:rPr>
          <w:rStyle w:val="default"/>
          <w:rFonts w:cs="FrankRuehl"/>
          <w:sz w:val="20"/>
        </w:rPr>
        <w:t>II</w:t>
      </w:r>
      <w:r>
        <w:rPr>
          <w:rStyle w:val="default"/>
          <w:rFonts w:cs="FrankRuehl"/>
          <w:rtl/>
        </w:rPr>
        <w:t>)</w:t>
      </w:r>
      <w:r>
        <w:rPr>
          <w:rStyle w:val="default"/>
          <w:rFonts w:cs="FrankRuehl"/>
          <w:rtl/>
        </w:rPr>
        <w:tab/>
        <w:t>ר</w:t>
      </w:r>
      <w:r>
        <w:rPr>
          <w:rStyle w:val="default"/>
          <w:rFonts w:cs="FrankRuehl" w:hint="cs"/>
          <w:rtl/>
        </w:rPr>
        <w:t xml:space="preserve">כישת כל נכס </w:t>
      </w:r>
      <w:r>
        <w:rPr>
          <w:rStyle w:val="default"/>
          <w:rFonts w:cs="FrankRuehl"/>
          <w:rtl/>
        </w:rPr>
        <w:t>מט</w:t>
      </w:r>
      <w:r>
        <w:rPr>
          <w:rStyle w:val="default"/>
          <w:rFonts w:cs="FrankRuehl" w:hint="cs"/>
          <w:rtl/>
        </w:rPr>
        <w:t>עם הממשלה;</w:t>
      </w:r>
    </w:p>
    <w:p w14:paraId="1C75A124" w14:textId="77777777" w:rsidR="00A47B9E" w:rsidRDefault="00A47B9E">
      <w:pPr>
        <w:pStyle w:val="P33"/>
        <w:spacing w:before="72"/>
        <w:ind w:left="1474"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כ</w:t>
      </w:r>
      <w:r>
        <w:rPr>
          <w:rStyle w:val="default"/>
          <w:rFonts w:cs="FrankRuehl" w:hint="cs"/>
          <w:rtl/>
        </w:rPr>
        <w:t>ל עבודה בכל קרקע, לרבות הריסה, סתירה או עקירה של כל נכס;</w:t>
      </w:r>
    </w:p>
    <w:p w14:paraId="67B3B22D" w14:textId="77777777" w:rsidR="00A47B9E" w:rsidRDefault="00A47B9E">
      <w:pPr>
        <w:pStyle w:val="P22"/>
        <w:spacing w:before="72"/>
        <w:ind w:left="1021" w:right="1134"/>
        <w:rPr>
          <w:rStyle w:val="default"/>
          <w:rFonts w:cs="FrankRuehl"/>
          <w:rtl/>
        </w:rPr>
      </w:pPr>
      <w:r>
        <w:rPr>
          <w:rStyle w:val="default"/>
          <w:rFonts w:cs="FrankRuehl"/>
          <w:rtl/>
        </w:rPr>
        <w:t>(ג</w:t>
      </w:r>
      <w:r>
        <w:rPr>
          <w:rStyle w:val="default"/>
          <w:rFonts w:cs="FrankRuehl" w:hint="cs"/>
          <w:rtl/>
        </w:rPr>
        <w:t>)</w:t>
      </w:r>
      <w:r>
        <w:rPr>
          <w:rStyle w:val="default"/>
          <w:rFonts w:cs="FrankRuehl"/>
          <w:rtl/>
        </w:rPr>
        <w:tab/>
        <w:t>ל</w:t>
      </w:r>
      <w:r>
        <w:rPr>
          <w:rStyle w:val="default"/>
          <w:rFonts w:cs="FrankRuehl" w:hint="cs"/>
          <w:rtl/>
        </w:rPr>
        <w:t>התיר את הכניסה לכל בית או החיפוש בו;</w:t>
      </w:r>
    </w:p>
    <w:p w14:paraId="73C748DA" w14:textId="77777777" w:rsidR="00A47B9E" w:rsidRDefault="00A47B9E">
      <w:pPr>
        <w:pStyle w:val="P22"/>
        <w:spacing w:before="72"/>
        <w:ind w:left="1021" w:right="1134"/>
        <w:rPr>
          <w:rStyle w:val="default"/>
          <w:rFonts w:cs="FrankRuehl"/>
          <w:rtl/>
        </w:rPr>
      </w:pPr>
      <w:r>
        <w:rPr>
          <w:rStyle w:val="default"/>
          <w:rFonts w:cs="FrankRuehl" w:hint="cs"/>
          <w:rtl/>
        </w:rPr>
        <w:t>(</w:t>
      </w:r>
      <w:r>
        <w:rPr>
          <w:rStyle w:val="default"/>
          <w:rFonts w:cs="FrankRuehl"/>
          <w:rtl/>
        </w:rPr>
        <w:t>ד</w:t>
      </w:r>
      <w:r>
        <w:rPr>
          <w:rStyle w:val="default"/>
          <w:rFonts w:cs="FrankRuehl" w:hint="cs"/>
          <w:rtl/>
        </w:rPr>
        <w:t>)</w:t>
      </w:r>
      <w:r>
        <w:rPr>
          <w:rStyle w:val="default"/>
          <w:rFonts w:cs="FrankRuehl"/>
          <w:rtl/>
        </w:rPr>
        <w:tab/>
        <w:t>ל</w:t>
      </w:r>
      <w:r>
        <w:rPr>
          <w:rStyle w:val="default"/>
          <w:rFonts w:cs="FrankRuehl" w:hint="cs"/>
          <w:rtl/>
        </w:rPr>
        <w:t>תק</w:t>
      </w:r>
      <w:r>
        <w:rPr>
          <w:rStyle w:val="default"/>
          <w:rFonts w:cs="FrankRuehl"/>
          <w:rtl/>
        </w:rPr>
        <w:t>ן</w:t>
      </w:r>
      <w:r>
        <w:rPr>
          <w:rStyle w:val="default"/>
          <w:rFonts w:cs="FrankRuehl" w:hint="cs"/>
          <w:rtl/>
        </w:rPr>
        <w:t xml:space="preserve"> כל חוק, להפסיק את תקפו של כל חוק ולהטיל כל חוק, בין בשינויים ובין בלא שינויים;</w:t>
      </w:r>
    </w:p>
    <w:p w14:paraId="3F42D19A" w14:textId="77777777" w:rsidR="00A47B9E" w:rsidRDefault="00A47B9E">
      <w:pPr>
        <w:pStyle w:val="P22"/>
        <w:spacing w:before="72"/>
        <w:ind w:left="1021" w:right="1134"/>
        <w:rPr>
          <w:rStyle w:val="default"/>
          <w:rFonts w:cs="FrankRuehl"/>
          <w:rtl/>
        </w:rPr>
      </w:pPr>
      <w:r>
        <w:rPr>
          <w:rStyle w:val="default"/>
          <w:rFonts w:cs="FrankRuehl" w:hint="cs"/>
          <w:rtl/>
        </w:rPr>
        <w:t>(</w:t>
      </w:r>
      <w:r>
        <w:rPr>
          <w:rStyle w:val="default"/>
          <w:rFonts w:cs="FrankRuehl"/>
          <w:rtl/>
        </w:rPr>
        <w:t>ה</w:t>
      </w:r>
      <w:r>
        <w:rPr>
          <w:rStyle w:val="default"/>
          <w:rFonts w:cs="FrankRuehl" w:hint="cs"/>
          <w:rtl/>
        </w:rPr>
        <w:t>)</w:t>
      </w:r>
      <w:r>
        <w:rPr>
          <w:rStyle w:val="default"/>
          <w:rFonts w:cs="FrankRuehl"/>
          <w:rtl/>
        </w:rPr>
        <w:tab/>
        <w:t>ל</w:t>
      </w:r>
      <w:r>
        <w:rPr>
          <w:rStyle w:val="default"/>
          <w:rFonts w:cs="FrankRuehl" w:hint="cs"/>
          <w:rtl/>
        </w:rPr>
        <w:t xml:space="preserve">קבוע הוראות בענין הטלת כל מס שייקבע עפ"י כל </w:t>
      </w:r>
      <w:r>
        <w:rPr>
          <w:rStyle w:val="default"/>
          <w:rFonts w:cs="FrankRuehl"/>
          <w:rtl/>
        </w:rPr>
        <w:t>תק</w:t>
      </w:r>
      <w:r>
        <w:rPr>
          <w:rStyle w:val="default"/>
          <w:rFonts w:cs="FrankRuehl" w:hint="cs"/>
          <w:rtl/>
        </w:rPr>
        <w:t>נות לצורך מתן כל רשיון, רשות, תעודה או מסמך לצורך התקנות;</w:t>
      </w:r>
    </w:p>
    <w:p w14:paraId="016FC4E9" w14:textId="77777777" w:rsidR="00A47B9E" w:rsidRDefault="00A47B9E">
      <w:pPr>
        <w:pStyle w:val="P22"/>
        <w:spacing w:before="72"/>
        <w:ind w:left="1021" w:right="1134"/>
        <w:rPr>
          <w:rStyle w:val="default"/>
          <w:rFonts w:cs="FrankRuehl"/>
          <w:rtl/>
        </w:rPr>
      </w:pPr>
      <w:r>
        <w:rPr>
          <w:rStyle w:val="default"/>
          <w:rFonts w:cs="FrankRuehl" w:hint="cs"/>
          <w:rtl/>
        </w:rPr>
        <w:t>(</w:t>
      </w:r>
      <w:r>
        <w:rPr>
          <w:rStyle w:val="default"/>
          <w:rFonts w:cs="FrankRuehl"/>
          <w:rtl/>
        </w:rPr>
        <w:t>ו</w:t>
      </w:r>
      <w:r>
        <w:rPr>
          <w:rStyle w:val="default"/>
          <w:rFonts w:cs="FrankRuehl" w:hint="cs"/>
          <w:rtl/>
        </w:rPr>
        <w:t>)</w:t>
      </w:r>
      <w:r>
        <w:rPr>
          <w:rStyle w:val="default"/>
          <w:rFonts w:cs="FrankRuehl"/>
          <w:rtl/>
        </w:rPr>
        <w:tab/>
        <w:t>ל</w:t>
      </w:r>
      <w:r>
        <w:rPr>
          <w:rStyle w:val="default"/>
          <w:rFonts w:cs="FrankRuehl" w:hint="cs"/>
          <w:rtl/>
        </w:rPr>
        <w:t>קבוע הוראות לענין תשלום כל פיצוי ושכר לאנשים שנפגעו ע"י התקנו</w:t>
      </w:r>
      <w:r>
        <w:rPr>
          <w:rStyle w:val="default"/>
          <w:rFonts w:cs="FrankRuehl"/>
          <w:rtl/>
        </w:rPr>
        <w:t>ת</w:t>
      </w:r>
      <w:r>
        <w:rPr>
          <w:rStyle w:val="default"/>
          <w:rFonts w:cs="FrankRuehl" w:hint="cs"/>
          <w:rtl/>
        </w:rPr>
        <w:t>;</w:t>
      </w:r>
    </w:p>
    <w:p w14:paraId="37E1C875" w14:textId="77777777" w:rsidR="00A47B9E" w:rsidRDefault="00A47B9E">
      <w:pPr>
        <w:pStyle w:val="P22"/>
        <w:spacing w:before="72"/>
        <w:ind w:left="1021" w:right="1134"/>
        <w:rPr>
          <w:rStyle w:val="default"/>
          <w:rFonts w:cs="FrankRuehl"/>
          <w:rtl/>
        </w:rPr>
      </w:pPr>
      <w:r>
        <w:rPr>
          <w:rStyle w:val="default"/>
          <w:rFonts w:cs="FrankRuehl" w:hint="cs"/>
          <w:rtl/>
        </w:rPr>
        <w:t>(</w:t>
      </w:r>
      <w:r>
        <w:rPr>
          <w:rStyle w:val="default"/>
          <w:rFonts w:cs="FrankRuehl"/>
          <w:rtl/>
        </w:rPr>
        <w:t>ז</w:t>
      </w:r>
      <w:r>
        <w:rPr>
          <w:rStyle w:val="default"/>
          <w:rFonts w:cs="FrankRuehl" w:hint="cs"/>
          <w:rtl/>
        </w:rPr>
        <w:t>)</w:t>
      </w:r>
      <w:r>
        <w:rPr>
          <w:rStyle w:val="default"/>
          <w:rFonts w:cs="FrankRuehl"/>
          <w:rtl/>
        </w:rPr>
        <w:tab/>
        <w:t>ל</w:t>
      </w:r>
      <w:r>
        <w:rPr>
          <w:rStyle w:val="default"/>
          <w:rFonts w:cs="FrankRuehl" w:hint="cs"/>
          <w:rtl/>
        </w:rPr>
        <w:t xml:space="preserve">קבוע הוראות </w:t>
      </w:r>
      <w:r>
        <w:rPr>
          <w:rStyle w:val="default"/>
          <w:rFonts w:cs="FrankRuehl"/>
          <w:rtl/>
        </w:rPr>
        <w:t>—</w:t>
      </w:r>
    </w:p>
    <w:p w14:paraId="6BD3F19E" w14:textId="77777777" w:rsidR="00A47B9E" w:rsidRDefault="00A47B9E">
      <w:pPr>
        <w:pStyle w:val="P33"/>
        <w:spacing w:before="72"/>
        <w:ind w:left="1474" w:right="1134"/>
        <w:rPr>
          <w:rStyle w:val="default"/>
          <w:rFonts w:cs="FrankRuehl"/>
          <w:rtl/>
        </w:rPr>
      </w:pPr>
      <w:r>
        <w:rPr>
          <w:rStyle w:val="default"/>
          <w:rFonts w:cs="FrankRuehl"/>
          <w:rtl/>
        </w:rPr>
        <w:t>(</w:t>
      </w:r>
      <w:r>
        <w:rPr>
          <w:rStyle w:val="default"/>
          <w:rFonts w:cs="FrankRuehl"/>
          <w:sz w:val="20"/>
        </w:rPr>
        <w:t>I</w:t>
      </w:r>
      <w:r>
        <w:rPr>
          <w:rStyle w:val="default"/>
          <w:rFonts w:cs="FrankRuehl"/>
          <w:rtl/>
        </w:rPr>
        <w:t>)</w:t>
      </w:r>
      <w:r>
        <w:rPr>
          <w:rStyle w:val="default"/>
          <w:rFonts w:cs="FrankRuehl"/>
          <w:rtl/>
        </w:rPr>
        <w:tab/>
        <w:t>ל</w:t>
      </w:r>
      <w:r>
        <w:rPr>
          <w:rStyle w:val="default"/>
          <w:rFonts w:cs="FrankRuehl" w:hint="cs"/>
          <w:rtl/>
        </w:rPr>
        <w:t>תפישתם של אנשים העוברים על התקנות;</w:t>
      </w:r>
    </w:p>
    <w:p w14:paraId="3CE919C8" w14:textId="77777777" w:rsidR="00A47B9E" w:rsidRDefault="00A47B9E">
      <w:pPr>
        <w:pStyle w:val="P33"/>
        <w:spacing w:before="72"/>
        <w:ind w:left="1474" w:right="1134"/>
        <w:rPr>
          <w:rStyle w:val="default"/>
          <w:rFonts w:cs="FrankRuehl"/>
          <w:rtl/>
        </w:rPr>
      </w:pPr>
      <w:r>
        <w:rPr>
          <w:rStyle w:val="default"/>
          <w:rFonts w:cs="FrankRuehl" w:hint="cs"/>
          <w:rtl/>
        </w:rPr>
        <w:t>(</w:t>
      </w:r>
      <w:r>
        <w:rPr>
          <w:rStyle w:val="default"/>
          <w:rFonts w:cs="FrankRuehl"/>
          <w:sz w:val="20"/>
        </w:rPr>
        <w:t>II</w:t>
      </w:r>
      <w:r>
        <w:rPr>
          <w:rStyle w:val="default"/>
          <w:rFonts w:cs="FrankRuehl"/>
          <w:rtl/>
        </w:rPr>
        <w:t>)</w:t>
      </w:r>
      <w:r>
        <w:rPr>
          <w:rStyle w:val="default"/>
          <w:rFonts w:cs="FrankRuehl"/>
          <w:rtl/>
        </w:rPr>
        <w:tab/>
        <w:t>ל</w:t>
      </w:r>
      <w:r>
        <w:rPr>
          <w:rStyle w:val="default"/>
          <w:rFonts w:cs="FrankRuehl" w:hint="cs"/>
          <w:rtl/>
        </w:rPr>
        <w:t>שפיטתם של אנשים כאלה ע"י בתי המשפט האזרחיים (לרבות בתי משפט בע</w:t>
      </w:r>
      <w:r>
        <w:rPr>
          <w:rStyle w:val="default"/>
          <w:rFonts w:cs="FrankRuehl"/>
          <w:rtl/>
        </w:rPr>
        <w:t>לי</w:t>
      </w:r>
      <w:r>
        <w:rPr>
          <w:rStyle w:val="default"/>
          <w:rFonts w:cs="FrankRuehl" w:hint="cs"/>
          <w:rtl/>
        </w:rPr>
        <w:t xml:space="preserve"> שיפוט תכוף);</w:t>
      </w:r>
    </w:p>
    <w:p w14:paraId="558EF056" w14:textId="77777777" w:rsidR="00A47B9E" w:rsidRDefault="00A47B9E">
      <w:pPr>
        <w:pStyle w:val="P33"/>
        <w:spacing w:before="72"/>
        <w:ind w:left="1474" w:right="1134"/>
        <w:rPr>
          <w:rStyle w:val="default"/>
          <w:rFonts w:cs="FrankRuehl"/>
          <w:rtl/>
        </w:rPr>
      </w:pPr>
      <w:r>
        <w:rPr>
          <w:rStyle w:val="default"/>
          <w:rFonts w:cs="FrankRuehl" w:hint="cs"/>
          <w:rtl/>
        </w:rPr>
        <w:t>(</w:t>
      </w:r>
      <w:r>
        <w:rPr>
          <w:rStyle w:val="default"/>
          <w:rFonts w:cs="FrankRuehl"/>
          <w:sz w:val="20"/>
        </w:rPr>
        <w:t>III</w:t>
      </w:r>
      <w:r>
        <w:rPr>
          <w:rStyle w:val="default"/>
          <w:rFonts w:cs="FrankRuehl"/>
          <w:rtl/>
        </w:rPr>
        <w:t>)</w:t>
      </w:r>
      <w:r>
        <w:rPr>
          <w:rStyle w:val="default"/>
          <w:rFonts w:cs="FrankRuehl"/>
          <w:rtl/>
        </w:rPr>
        <w:tab/>
        <w:t>ל</w:t>
      </w:r>
      <w:r>
        <w:rPr>
          <w:rStyle w:val="default"/>
          <w:rFonts w:cs="FrankRuehl" w:hint="cs"/>
          <w:rtl/>
        </w:rPr>
        <w:t>שפיטתם של אנשים שעברו עבירות עפ"י התקנות לענין הגנה, ע"י אותם בתי המשפט הצבאיים שיתכוננו עפ"י התקנות לענין הגנה, בין שעברו את העבירות לפני שיתכוננו בתי משפט אלה ובין שעברו עליהן לאחר שנתכוננו, וכן לשפיטתם של אנשים שעברו עבירות עפ"י כ</w:t>
      </w:r>
      <w:r>
        <w:rPr>
          <w:rStyle w:val="default"/>
          <w:rFonts w:cs="FrankRuehl"/>
          <w:rtl/>
        </w:rPr>
        <w:t xml:space="preserve">ל </w:t>
      </w:r>
      <w:r>
        <w:rPr>
          <w:rStyle w:val="default"/>
          <w:rFonts w:cs="FrankRuehl" w:hint="cs"/>
          <w:rtl/>
        </w:rPr>
        <w:t>חוק אחר לאחר אותו תאריך, ע"י בתי משפט צבאיים אלה;</w:t>
      </w:r>
    </w:p>
    <w:p w14:paraId="67A6F58C" w14:textId="77777777" w:rsidR="00A47B9E" w:rsidRDefault="00A47B9E">
      <w:pPr>
        <w:pStyle w:val="P33"/>
        <w:spacing w:before="72"/>
        <w:ind w:left="1474" w:right="1134"/>
        <w:rPr>
          <w:rStyle w:val="default"/>
          <w:rFonts w:cs="FrankRuehl"/>
          <w:rtl/>
        </w:rPr>
      </w:pPr>
      <w:r>
        <w:rPr>
          <w:rStyle w:val="default"/>
          <w:rFonts w:cs="FrankRuehl" w:hint="cs"/>
          <w:rtl/>
        </w:rPr>
        <w:t>(</w:t>
      </w:r>
      <w:r>
        <w:rPr>
          <w:rStyle w:val="default"/>
          <w:rFonts w:cs="FrankRuehl"/>
          <w:sz w:val="20"/>
        </w:rPr>
        <w:t>IV</w:t>
      </w:r>
      <w:r>
        <w:rPr>
          <w:rStyle w:val="default"/>
          <w:rFonts w:cs="FrankRuehl"/>
          <w:rtl/>
        </w:rPr>
        <w:t>)</w:t>
      </w:r>
      <w:r>
        <w:rPr>
          <w:rStyle w:val="default"/>
          <w:rFonts w:cs="FrankRuehl"/>
          <w:rtl/>
        </w:rPr>
        <w:tab/>
        <w:t>ל</w:t>
      </w:r>
      <w:r>
        <w:rPr>
          <w:rStyle w:val="default"/>
          <w:rFonts w:cs="FrankRuehl" w:hint="cs"/>
          <w:rtl/>
        </w:rPr>
        <w:t>הטלת העונשין שייקבעו, ע"י כל בית משפט אזרחי או כל בית משפט צבאי שיתכ</w:t>
      </w:r>
      <w:r>
        <w:rPr>
          <w:rStyle w:val="default"/>
          <w:rFonts w:cs="FrankRuehl"/>
          <w:rtl/>
        </w:rPr>
        <w:t>ו</w:t>
      </w:r>
      <w:r>
        <w:rPr>
          <w:rStyle w:val="default"/>
          <w:rFonts w:cs="FrankRuehl" w:hint="cs"/>
          <w:rtl/>
        </w:rPr>
        <w:t xml:space="preserve">נן כאמור לעיל; אם העבירה היא עבירה על תקנות ההגנה </w:t>
      </w:r>
      <w:r>
        <w:rPr>
          <w:rStyle w:val="default"/>
          <w:rFonts w:cs="FrankRuehl"/>
          <w:rtl/>
        </w:rPr>
        <w:t xml:space="preserve">— </w:t>
      </w:r>
      <w:r>
        <w:rPr>
          <w:rStyle w:val="default"/>
          <w:rFonts w:cs="FrankRuehl" w:hint="cs"/>
          <w:rtl/>
        </w:rPr>
        <w:t xml:space="preserve">עפ"י תקנות ההגנה, ואילו אם העבירה היא עבירה אחרת </w:t>
      </w:r>
      <w:r>
        <w:rPr>
          <w:rStyle w:val="default"/>
          <w:rFonts w:cs="FrankRuehl"/>
          <w:rtl/>
        </w:rPr>
        <w:t xml:space="preserve">— </w:t>
      </w:r>
      <w:r>
        <w:rPr>
          <w:rStyle w:val="default"/>
          <w:rFonts w:cs="FrankRuehl" w:hint="cs"/>
          <w:rtl/>
        </w:rPr>
        <w:t>עפ"י החוק הנוהג באותה שעה;</w:t>
      </w:r>
    </w:p>
    <w:p w14:paraId="0B26E1B1" w14:textId="77777777" w:rsidR="00A47B9E" w:rsidRDefault="00A47B9E">
      <w:pPr>
        <w:pStyle w:val="P33"/>
        <w:spacing w:before="72"/>
        <w:ind w:left="1474" w:right="1134"/>
        <w:rPr>
          <w:rStyle w:val="default"/>
          <w:rFonts w:cs="FrankRuehl"/>
          <w:rtl/>
        </w:rPr>
      </w:pPr>
      <w:r>
        <w:rPr>
          <w:rStyle w:val="default"/>
          <w:rFonts w:cs="FrankRuehl" w:hint="cs"/>
          <w:rtl/>
        </w:rPr>
        <w:t>(</w:t>
      </w:r>
      <w:r>
        <w:rPr>
          <w:rStyle w:val="default"/>
          <w:rFonts w:cs="FrankRuehl"/>
          <w:sz w:val="20"/>
        </w:rPr>
        <w:t>V</w:t>
      </w:r>
      <w:r>
        <w:rPr>
          <w:rStyle w:val="default"/>
          <w:rFonts w:cs="FrankRuehl"/>
          <w:rtl/>
        </w:rPr>
        <w:t>)</w:t>
      </w:r>
      <w:r>
        <w:rPr>
          <w:rStyle w:val="default"/>
          <w:rFonts w:cs="FrankRuehl"/>
          <w:rtl/>
        </w:rPr>
        <w:tab/>
        <w:t>ל</w:t>
      </w:r>
      <w:r>
        <w:rPr>
          <w:rStyle w:val="default"/>
          <w:rFonts w:cs="FrankRuehl" w:hint="cs"/>
          <w:rtl/>
        </w:rPr>
        <w:t>ענין הטלת קנסות על כל חבר אנשים או</w:t>
      </w:r>
      <w:r>
        <w:rPr>
          <w:rFonts w:cs="FrankRuehl"/>
        </w:rPr>
        <w:t> </w:t>
      </w:r>
      <w:r>
        <w:rPr>
          <w:rStyle w:val="default"/>
          <w:rFonts w:cs="FrankRuehl"/>
          <w:rtl/>
        </w:rPr>
        <w:t xml:space="preserve"> ה</w:t>
      </w:r>
      <w:r>
        <w:rPr>
          <w:rStyle w:val="default"/>
          <w:rFonts w:cs="FrankRuehl" w:hint="cs"/>
          <w:rtl/>
        </w:rPr>
        <w:t>תאגדויות, והחרמת רכוש והשמדתו בתור אמצעי עונשין, בין שאפשר לזהות את העבריינים האמית</w:t>
      </w:r>
      <w:r>
        <w:rPr>
          <w:rStyle w:val="default"/>
          <w:rFonts w:cs="FrankRuehl"/>
          <w:rtl/>
        </w:rPr>
        <w:t>י</w:t>
      </w:r>
      <w:r>
        <w:rPr>
          <w:rStyle w:val="default"/>
          <w:rFonts w:cs="FrankRuehl" w:hint="cs"/>
          <w:rtl/>
        </w:rPr>
        <w:t>ים ובין שאי אפשר לזהותם;</w:t>
      </w:r>
    </w:p>
    <w:p w14:paraId="6DACF101" w14:textId="77777777" w:rsidR="00A47B9E" w:rsidRDefault="00A47B9E">
      <w:pPr>
        <w:pStyle w:val="P33"/>
        <w:spacing w:before="72"/>
        <w:ind w:left="1474" w:right="1134"/>
        <w:rPr>
          <w:rStyle w:val="default"/>
          <w:rFonts w:cs="FrankRuehl"/>
          <w:rtl/>
        </w:rPr>
      </w:pPr>
      <w:r>
        <w:rPr>
          <w:rStyle w:val="default"/>
          <w:rFonts w:cs="FrankRuehl" w:hint="cs"/>
          <w:rtl/>
        </w:rPr>
        <w:t>(</w:t>
      </w:r>
      <w:r>
        <w:rPr>
          <w:rStyle w:val="default"/>
          <w:rFonts w:cs="FrankRuehl"/>
          <w:sz w:val="20"/>
        </w:rPr>
        <w:t>VI</w:t>
      </w:r>
      <w:r>
        <w:rPr>
          <w:rStyle w:val="default"/>
          <w:rFonts w:cs="FrankRuehl"/>
          <w:rtl/>
        </w:rPr>
        <w:t>)</w:t>
      </w:r>
      <w:r>
        <w:rPr>
          <w:rStyle w:val="default"/>
          <w:rFonts w:cs="FrankRuehl"/>
          <w:rtl/>
        </w:rPr>
        <w:tab/>
        <w:t>ל</w:t>
      </w:r>
      <w:r>
        <w:rPr>
          <w:rStyle w:val="default"/>
          <w:rFonts w:cs="FrankRuehl" w:hint="cs"/>
          <w:rtl/>
        </w:rPr>
        <w:t>ענין הפרוצדורה והנוהג של בתי המשפט</w:t>
      </w:r>
      <w:r>
        <w:rPr>
          <w:rFonts w:cs="FrankRuehl"/>
        </w:rPr>
        <w:t> </w:t>
      </w:r>
      <w:r>
        <w:rPr>
          <w:rStyle w:val="default"/>
          <w:rFonts w:cs="FrankRuehl"/>
          <w:rtl/>
        </w:rPr>
        <w:t xml:space="preserve"> ה</w:t>
      </w:r>
      <w:r>
        <w:rPr>
          <w:rStyle w:val="default"/>
          <w:rFonts w:cs="FrankRuehl" w:hint="cs"/>
          <w:rtl/>
        </w:rPr>
        <w:t>צבאיים האמורים;</w:t>
      </w:r>
    </w:p>
    <w:p w14:paraId="1EA6ABED" w14:textId="77777777" w:rsidR="00A47B9E" w:rsidRDefault="00A47B9E">
      <w:pPr>
        <w:pStyle w:val="page"/>
        <w:widowControl/>
        <w:ind w:right="1134"/>
        <w:rPr>
          <w:rFonts w:cs="David"/>
          <w:position w:val="0"/>
          <w:sz w:val="22"/>
          <w:rtl/>
        </w:rPr>
      </w:pPr>
      <w:r>
        <w:rPr>
          <w:rFonts w:cs="David"/>
          <w:position w:val="0"/>
          <w:sz w:val="22"/>
          <w:rtl/>
        </w:rPr>
        <w:t xml:space="preserve"> </w:t>
      </w:r>
    </w:p>
    <w:p w14:paraId="7B1E609C" w14:textId="77777777" w:rsidR="00A47B9E" w:rsidRDefault="00A47B9E">
      <w:pPr>
        <w:pStyle w:val="P33"/>
        <w:spacing w:before="72"/>
        <w:ind w:left="1474" w:right="1134"/>
        <w:rPr>
          <w:rStyle w:val="default"/>
          <w:rFonts w:cs="FrankRuehl"/>
          <w:rtl/>
        </w:rPr>
      </w:pPr>
      <w:r>
        <w:rPr>
          <w:rStyle w:val="default"/>
          <w:rFonts w:cs="FrankRuehl"/>
          <w:rtl/>
        </w:rPr>
        <w:t>(</w:t>
      </w:r>
      <w:r>
        <w:rPr>
          <w:rStyle w:val="default"/>
          <w:rFonts w:cs="FrankRuehl"/>
          <w:sz w:val="20"/>
        </w:rPr>
        <w:t>VII</w:t>
      </w:r>
      <w:r>
        <w:rPr>
          <w:rStyle w:val="default"/>
          <w:rFonts w:cs="FrankRuehl"/>
          <w:rtl/>
        </w:rPr>
        <w:t>)</w:t>
      </w:r>
      <w:r>
        <w:rPr>
          <w:rStyle w:val="default"/>
          <w:rFonts w:cs="FrankRuehl"/>
          <w:rtl/>
        </w:rPr>
        <w:tab/>
        <w:t>ל</w:t>
      </w:r>
      <w:r>
        <w:rPr>
          <w:rStyle w:val="default"/>
          <w:rFonts w:cs="FrankRuehl" w:hint="cs"/>
          <w:rtl/>
        </w:rPr>
        <w:t>ענין ערעורים</w:t>
      </w:r>
      <w:r>
        <w:rPr>
          <w:rStyle w:val="default"/>
          <w:rFonts w:cs="FrankRuehl"/>
          <w:rtl/>
        </w:rPr>
        <w:t xml:space="preserve"> ע</w:t>
      </w:r>
      <w:r>
        <w:rPr>
          <w:rStyle w:val="default"/>
          <w:rFonts w:cs="FrankRuehl" w:hint="cs"/>
          <w:rtl/>
        </w:rPr>
        <w:t>ל פסקי דין או צווים של בתי משפט צבאיים, או לקבוע כי אין להגיש ערעור עליהם; וכן</w:t>
      </w:r>
    </w:p>
    <w:p w14:paraId="576D45BE" w14:textId="77777777" w:rsidR="00A47B9E" w:rsidRDefault="00A47B9E">
      <w:pPr>
        <w:pStyle w:val="P33"/>
        <w:spacing w:before="72"/>
        <w:ind w:left="1474" w:right="1134"/>
        <w:rPr>
          <w:rStyle w:val="default"/>
          <w:rFonts w:cs="FrankRuehl"/>
          <w:rtl/>
        </w:rPr>
      </w:pPr>
      <w:r>
        <w:rPr>
          <w:rStyle w:val="default"/>
          <w:rFonts w:cs="FrankRuehl" w:hint="cs"/>
          <w:rtl/>
        </w:rPr>
        <w:t>(</w:t>
      </w:r>
      <w:r>
        <w:rPr>
          <w:rStyle w:val="default"/>
          <w:rFonts w:cs="FrankRuehl"/>
          <w:sz w:val="20"/>
        </w:rPr>
        <w:t>VIII</w:t>
      </w:r>
      <w:r>
        <w:rPr>
          <w:rStyle w:val="default"/>
          <w:rFonts w:cs="FrankRuehl"/>
          <w:rtl/>
        </w:rPr>
        <w:t>)</w:t>
      </w:r>
      <w:r>
        <w:rPr>
          <w:rStyle w:val="default"/>
          <w:rFonts w:cs="FrankRuehl"/>
          <w:rtl/>
        </w:rPr>
        <w:tab/>
      </w:r>
      <w:r>
        <w:rPr>
          <w:rFonts w:cs="FrankRuehl"/>
        </w:rPr>
        <w:t> </w:t>
      </w:r>
      <w:r>
        <w:rPr>
          <w:rStyle w:val="default"/>
          <w:rFonts w:cs="FrankRuehl"/>
          <w:rtl/>
        </w:rPr>
        <w:t>כי</w:t>
      </w:r>
      <w:r>
        <w:rPr>
          <w:rStyle w:val="default"/>
          <w:rFonts w:cs="FrankRuehl" w:hint="cs"/>
          <w:rtl/>
        </w:rPr>
        <w:t xml:space="preserve"> פסק דין, צווים וההליכים של בתי משפ</w:t>
      </w:r>
      <w:r>
        <w:rPr>
          <w:rStyle w:val="default"/>
          <w:rFonts w:cs="FrankRuehl"/>
          <w:rtl/>
        </w:rPr>
        <w:t>ט</w:t>
      </w:r>
      <w:r>
        <w:rPr>
          <w:rStyle w:val="default"/>
          <w:rFonts w:cs="FrankRuehl" w:hint="cs"/>
          <w:rtl/>
        </w:rPr>
        <w:t xml:space="preserve"> צבאיים לא יהרהרו אחריהם לא בפקודת בית משפט ולא בדרך אחרת, ולא יוטל כל ספק בהם בכל צורה שהיא לא ע"י בית משפט ולא בפני כל בית משפט</w:t>
      </w:r>
      <w:r>
        <w:rPr>
          <w:rStyle w:val="default"/>
          <w:rFonts w:cs="FrankRuehl"/>
          <w:rtl/>
        </w:rPr>
        <w:t>, א</w:t>
      </w:r>
      <w:r>
        <w:rPr>
          <w:rStyle w:val="default"/>
          <w:rFonts w:cs="FrankRuehl" w:hint="cs"/>
          <w:rtl/>
        </w:rPr>
        <w:t>לא בדרך כל ערעור כפי שייקבע ע"י תקנות הגנה.</w:t>
      </w:r>
    </w:p>
    <w:p w14:paraId="16197AA5"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(3)</w:t>
      </w:r>
      <w:r>
        <w:rPr>
          <w:rStyle w:val="default"/>
          <w:rFonts w:cs="FrankRuehl"/>
          <w:rtl/>
        </w:rPr>
        <w:tab/>
        <w:t>ת</w:t>
      </w:r>
      <w:r>
        <w:rPr>
          <w:rStyle w:val="default"/>
          <w:rFonts w:cs="FrankRuehl" w:hint="cs"/>
          <w:rtl/>
        </w:rPr>
        <w:t>קנות לענין הגנה תוכלנה לקבוע הוראות המקנות את הסמכויות לאותם רשויות, או ב</w:t>
      </w:r>
      <w:r>
        <w:rPr>
          <w:rStyle w:val="default"/>
          <w:rFonts w:cs="FrankRuehl"/>
          <w:rtl/>
        </w:rPr>
        <w:t>נ</w:t>
      </w:r>
      <w:r>
        <w:rPr>
          <w:rStyle w:val="default"/>
          <w:rFonts w:cs="FrankRuehl" w:hint="cs"/>
          <w:rtl/>
        </w:rPr>
        <w:t>י אדם, או סוגים של בני אדם שיפורשו בתקנות ליתן צווים, ולהתקין תקנות וחוקי עזר לכל מטרה שמותר להתקין לשמה תקנות אלה לפי דבר מלך זה</w:t>
      </w:r>
      <w:r>
        <w:rPr>
          <w:rStyle w:val="default"/>
          <w:rFonts w:cs="FrankRuehl"/>
          <w:rtl/>
        </w:rPr>
        <w:t>, ו</w:t>
      </w:r>
      <w:r>
        <w:rPr>
          <w:rStyle w:val="default"/>
          <w:rFonts w:cs="FrankRuehl" w:hint="cs"/>
          <w:rtl/>
        </w:rPr>
        <w:t>הן תוכלנה לכלול אותן הוראות נוספות או הוראות לואי שהממשלה תמצא שהן נחוצות או רצויות לצורך התקנות.</w:t>
      </w:r>
    </w:p>
    <w:p w14:paraId="6A82BFA4"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(4)</w:t>
      </w:r>
      <w:r>
        <w:rPr>
          <w:rStyle w:val="default"/>
          <w:rFonts w:cs="FrankRuehl"/>
          <w:rtl/>
        </w:rPr>
        <w:tab/>
        <w:t>ת</w:t>
      </w:r>
      <w:r>
        <w:rPr>
          <w:rStyle w:val="default"/>
          <w:rFonts w:cs="FrankRuehl" w:hint="cs"/>
          <w:rtl/>
        </w:rPr>
        <w:t>קנה לענין הגנה או ל</w:t>
      </w:r>
      <w:r>
        <w:rPr>
          <w:rStyle w:val="default"/>
          <w:rFonts w:cs="FrankRuehl"/>
          <w:rtl/>
        </w:rPr>
        <w:t>כ</w:t>
      </w:r>
      <w:r>
        <w:rPr>
          <w:rStyle w:val="default"/>
          <w:rFonts w:cs="FrankRuehl" w:hint="cs"/>
          <w:rtl/>
        </w:rPr>
        <w:t>ל צו, תקנה או חוק-עזר שניתנו בהתאם לתקנה כזאת יהא להם תוקף למרות כל סתירה לכך הכלולה בכל חוק; וכל הוראה של חוק שתהא סותרת כל תקנה</w:t>
      </w:r>
      <w:r>
        <w:rPr>
          <w:rStyle w:val="default"/>
          <w:rFonts w:cs="FrankRuehl"/>
          <w:rtl/>
        </w:rPr>
        <w:t xml:space="preserve"> ל</w:t>
      </w:r>
      <w:r>
        <w:rPr>
          <w:rStyle w:val="default"/>
          <w:rFonts w:cs="FrankRuehl" w:hint="cs"/>
          <w:rtl/>
        </w:rPr>
        <w:t>ענין הגנה או כל דבר מלך, תקנה או חוק עזר כזה לא יהא להם תוקף, עד לשעור אותה סתירה, כל עוד התקנה, הצו או חוק-העזר ישארו בתקפם</w:t>
      </w:r>
      <w:r>
        <w:rPr>
          <w:rStyle w:val="default"/>
          <w:rFonts w:cs="FrankRuehl"/>
          <w:rtl/>
        </w:rPr>
        <w:t xml:space="preserve">, </w:t>
      </w:r>
      <w:r>
        <w:rPr>
          <w:rStyle w:val="default"/>
          <w:rFonts w:cs="FrankRuehl" w:hint="cs"/>
          <w:rtl/>
        </w:rPr>
        <w:t>בין שאותה הוראה תוקנה, שונתה או הופסק תוקף פעולתה לפי סעיף זה, ובין שלא תוקנה, לא שונתה ולא הופסק תוקף פעולתה לפי סעיף זה.</w:t>
      </w:r>
    </w:p>
    <w:p w14:paraId="34FEDD28" w14:textId="77777777" w:rsidR="00A47B9E" w:rsidRDefault="00A47B9E">
      <w:pPr>
        <w:pStyle w:val="P00"/>
        <w:spacing w:before="72"/>
        <w:ind w:left="0" w:right="1134"/>
        <w:rPr>
          <w:rStyle w:val="default"/>
          <w:rFonts w:cs="FrankRuehl"/>
          <w:rtl/>
        </w:rPr>
      </w:pPr>
      <w:bookmarkStart w:id="8" w:name="Seif6"/>
      <w:bookmarkEnd w:id="8"/>
      <w:r>
        <w:rPr>
          <w:lang w:val="he-IL"/>
        </w:rPr>
        <w:pict w14:anchorId="649816D8">
          <v:rect id="_x0000_s1031" style="position:absolute;left:0;text-align:left;margin-left:464.5pt;margin-top:8.05pt;width:75.05pt;height:16pt;z-index:251657216" o:allowincell="f" filled="f" stroked="f" strokecolor="lime" strokeweight=".25pt">
            <v:textbox inset="0,0,0,0">
              <w:txbxContent>
                <w:p w14:paraId="0E9D6BCC" w14:textId="77777777" w:rsidR="00A47B9E" w:rsidRDefault="00A47B9E">
                  <w:pPr>
                    <w:spacing w:line="160" w:lineRule="exact"/>
                    <w:jc w:val="left"/>
                    <w:rPr>
                      <w:rFonts w:cs="Miriam"/>
                      <w:noProof/>
                      <w:sz w:val="18"/>
                      <w:szCs w:val="18"/>
                      <w:rtl/>
                    </w:rPr>
                  </w:pPr>
                  <w:r>
                    <w:rPr>
                      <w:rFonts w:cs="Miriam"/>
                      <w:sz w:val="18"/>
                      <w:szCs w:val="18"/>
                      <w:rtl/>
                    </w:rPr>
                    <w:t>הע</w:t>
                  </w:r>
                  <w:r>
                    <w:rPr>
                      <w:rFonts w:cs="Miriam" w:hint="cs"/>
                      <w:sz w:val="18"/>
                      <w:szCs w:val="18"/>
                      <w:rtl/>
                    </w:rPr>
                    <w:t>ברת סמכויות ע"י הממשלה</w:t>
                  </w:r>
                </w:p>
              </w:txbxContent>
            </v:textbox>
            <w10:anchorlock/>
          </v:rect>
        </w:pict>
      </w:r>
      <w:r>
        <w:rPr>
          <w:rStyle w:val="big-number"/>
          <w:rFonts w:cs="Miriam"/>
          <w:rtl/>
        </w:rPr>
        <w:t>7.</w:t>
      </w:r>
      <w:r>
        <w:rPr>
          <w:rStyle w:val="big-number"/>
          <w:rFonts w:cs="Miriam"/>
          <w:rtl/>
        </w:rPr>
        <w:tab/>
      </w:r>
      <w:r>
        <w:rPr>
          <w:rStyle w:val="default"/>
          <w:rFonts w:cs="FrankRuehl"/>
          <w:rtl/>
        </w:rPr>
        <w:t>ה</w:t>
      </w:r>
      <w:r>
        <w:rPr>
          <w:rStyle w:val="default"/>
          <w:rFonts w:cs="FrankRuehl" w:hint="cs"/>
          <w:rtl/>
        </w:rPr>
        <w:t>מ</w:t>
      </w:r>
      <w:r>
        <w:rPr>
          <w:rStyle w:val="default"/>
          <w:rFonts w:cs="FrankRuehl"/>
          <w:rtl/>
        </w:rPr>
        <w:t>מ</w:t>
      </w:r>
      <w:r>
        <w:rPr>
          <w:rStyle w:val="default"/>
          <w:rFonts w:cs="FrankRuehl" w:hint="cs"/>
          <w:rtl/>
        </w:rPr>
        <w:t xml:space="preserve">שלה רשאית, אם תראה צורך בכך, להעביר במינשר את תפקידיה עפ"י סעיף 6 מדבר המלך הזה, למפקד העליון של החילות בישראל, בכפיפות לאותם הגבלות ותנאים שתרצה לפרשם במינשר; וכל מינשר כזה מותר לשנותו או לבטלו במינשר אחר שהממשלה תפרסם לאחר מכן, אך השינוי או הביטול של </w:t>
      </w:r>
      <w:r>
        <w:rPr>
          <w:rStyle w:val="default"/>
          <w:rFonts w:cs="FrankRuehl"/>
          <w:rtl/>
        </w:rPr>
        <w:t>כ</w:t>
      </w:r>
      <w:r>
        <w:rPr>
          <w:rStyle w:val="default"/>
          <w:rFonts w:cs="FrankRuehl" w:hint="cs"/>
          <w:rtl/>
        </w:rPr>
        <w:t>ל</w:t>
      </w:r>
      <w:r>
        <w:rPr>
          <w:rStyle w:val="default"/>
          <w:rFonts w:cs="FrankRuehl"/>
          <w:rtl/>
        </w:rPr>
        <w:t xml:space="preserve"> </w:t>
      </w:r>
      <w:r>
        <w:rPr>
          <w:rStyle w:val="default"/>
          <w:rFonts w:cs="FrankRuehl" w:hint="cs"/>
          <w:rtl/>
        </w:rPr>
        <w:t>מינשר כזה לא יפגע בתוקף פעולתן של כל תקנות הגנה שיצאו מכוח מינשר כזה.</w:t>
      </w:r>
    </w:p>
    <w:p w14:paraId="3077148F" w14:textId="77777777" w:rsidR="00A47B9E" w:rsidRDefault="00A47B9E">
      <w:pPr>
        <w:pStyle w:val="medium2-header"/>
        <w:keepLines w:val="0"/>
        <w:spacing w:before="72"/>
        <w:ind w:left="0" w:right="1134"/>
        <w:rPr>
          <w:rFonts w:cs="FrankRuehl"/>
          <w:noProof/>
          <w:rtl/>
        </w:rPr>
      </w:pPr>
      <w:bookmarkStart w:id="9" w:name="med3"/>
      <w:bookmarkEnd w:id="9"/>
      <w:r>
        <w:rPr>
          <w:rFonts w:cs="FrankRuehl"/>
          <w:noProof/>
          <w:rtl/>
        </w:rPr>
        <w:t>חל</w:t>
      </w:r>
      <w:r>
        <w:rPr>
          <w:rFonts w:cs="FrankRuehl" w:hint="cs"/>
          <w:noProof/>
          <w:rtl/>
        </w:rPr>
        <w:t>ק ג'</w:t>
      </w:r>
    </w:p>
    <w:p w14:paraId="635C814C" w14:textId="77777777" w:rsidR="00A47B9E" w:rsidRDefault="00A47B9E">
      <w:pPr>
        <w:pStyle w:val="medium2-header"/>
        <w:keepLines w:val="0"/>
        <w:spacing w:before="72"/>
        <w:ind w:left="0" w:right="1134"/>
        <w:rPr>
          <w:rFonts w:cs="FrankRuehl"/>
          <w:noProof/>
          <w:rtl/>
        </w:rPr>
      </w:pPr>
      <w:bookmarkStart w:id="10" w:name="med4"/>
      <w:bookmarkEnd w:id="10"/>
      <w:r>
        <w:rPr>
          <w:rFonts w:cs="FrankRuehl" w:hint="cs"/>
          <w:noProof/>
          <w:rtl/>
        </w:rPr>
        <w:t>ה</w:t>
      </w:r>
      <w:r>
        <w:rPr>
          <w:rFonts w:cs="FrankRuehl"/>
          <w:noProof/>
          <w:rtl/>
        </w:rPr>
        <w:t>ו</w:t>
      </w:r>
      <w:r>
        <w:rPr>
          <w:rFonts w:cs="FrankRuehl" w:hint="cs"/>
          <w:noProof/>
          <w:rtl/>
        </w:rPr>
        <w:t xml:space="preserve">ראות מעבר והוראות </w:t>
      </w:r>
      <w:r>
        <w:rPr>
          <w:rFonts w:cs="FrankRuehl"/>
          <w:noProof/>
          <w:rtl/>
        </w:rPr>
        <w:t>נ</w:t>
      </w:r>
      <w:r>
        <w:rPr>
          <w:rFonts w:cs="FrankRuehl" w:hint="cs"/>
          <w:noProof/>
          <w:rtl/>
        </w:rPr>
        <w:t>וספות</w:t>
      </w:r>
    </w:p>
    <w:p w14:paraId="6ED92828" w14:textId="77777777" w:rsidR="00A47B9E" w:rsidRDefault="00A47B9E">
      <w:pPr>
        <w:pStyle w:val="P00"/>
        <w:spacing w:before="72"/>
        <w:ind w:left="0" w:right="1134"/>
        <w:rPr>
          <w:rStyle w:val="default"/>
          <w:rFonts w:cs="FrankRuehl"/>
          <w:rtl/>
        </w:rPr>
      </w:pPr>
      <w:bookmarkStart w:id="11" w:name="Seif7"/>
      <w:bookmarkEnd w:id="11"/>
      <w:r>
        <w:rPr>
          <w:lang w:val="he-IL"/>
        </w:rPr>
        <w:pict w14:anchorId="39B14EF6">
          <v:rect id="_x0000_s1032" style="position:absolute;left:0;text-align:left;margin-left:464.5pt;margin-top:8.05pt;width:75.05pt;height:16pt;z-index:251658240" o:allowincell="f" filled="f" stroked="f" strokecolor="lime" strokeweight=".25pt">
            <v:textbox inset="0,0,0,0">
              <w:txbxContent>
                <w:p w14:paraId="6DDF3295" w14:textId="77777777" w:rsidR="00A47B9E" w:rsidRDefault="00A47B9E">
                  <w:pPr>
                    <w:spacing w:line="160" w:lineRule="exact"/>
                    <w:jc w:val="left"/>
                    <w:rPr>
                      <w:rFonts w:cs="Miriam"/>
                      <w:noProof/>
                      <w:sz w:val="18"/>
                      <w:szCs w:val="18"/>
                      <w:rtl/>
                    </w:rPr>
                  </w:pPr>
                  <w:r>
                    <w:rPr>
                      <w:rFonts w:cs="Miriam"/>
                      <w:sz w:val="18"/>
                      <w:szCs w:val="18"/>
                      <w:rtl/>
                    </w:rPr>
                    <w:t>אי</w:t>
                  </w:r>
                  <w:r>
                    <w:rPr>
                      <w:rFonts w:cs="Miriam" w:hint="cs"/>
                      <w:sz w:val="18"/>
                      <w:szCs w:val="18"/>
                      <w:rtl/>
                    </w:rPr>
                    <w:t>ן דבר מלך זה פוגע בסמכויות הממשלה</w:t>
                  </w:r>
                </w:p>
              </w:txbxContent>
            </v:textbox>
            <w10:anchorlock/>
          </v:rect>
        </w:pict>
      </w:r>
      <w:r>
        <w:rPr>
          <w:rStyle w:val="big-number"/>
          <w:rFonts w:cs="Miriam"/>
          <w:rtl/>
        </w:rPr>
        <w:t>8.</w:t>
      </w:r>
      <w:r>
        <w:rPr>
          <w:rStyle w:val="big-number"/>
          <w:rFonts w:cs="Miriam"/>
          <w:rtl/>
        </w:rPr>
        <w:tab/>
      </w:r>
      <w:r>
        <w:rPr>
          <w:rStyle w:val="default"/>
          <w:rFonts w:cs="FrankRuehl"/>
          <w:rtl/>
        </w:rPr>
        <w:t>הס</w:t>
      </w:r>
      <w:r>
        <w:rPr>
          <w:rStyle w:val="default"/>
          <w:rFonts w:cs="FrankRuehl" w:hint="cs"/>
          <w:rtl/>
        </w:rPr>
        <w:t>מכויות המסורות עפ"י דבר מלך זה ועפ"י דברי המלך משנת 1931 ו-1936, תיחשבנה כאילו באו להוסיף על הסמכויות המסורות לממשלה בהתאם לדבר המלך במועצה על א</w:t>
      </w:r>
      <w:r>
        <w:rPr>
          <w:rStyle w:val="default"/>
          <w:rFonts w:cs="FrankRuehl"/>
          <w:rtl/>
        </w:rPr>
        <w:t>רץ</w:t>
      </w:r>
      <w:r>
        <w:rPr>
          <w:rStyle w:val="default"/>
          <w:rFonts w:cs="FrankRuehl" w:hint="cs"/>
          <w:rtl/>
        </w:rPr>
        <w:t>-ישראל, 1922, וכל דבר מלך המתקן דבר מלך, או משנה אותו באופן אחר, ולא לגרוע מהן.</w:t>
      </w:r>
    </w:p>
    <w:p w14:paraId="1BE687C9" w14:textId="77777777" w:rsidR="00A47B9E" w:rsidRDefault="00A47B9E">
      <w:pPr>
        <w:pStyle w:val="page"/>
        <w:widowControl/>
        <w:ind w:right="1134"/>
        <w:rPr>
          <w:rFonts w:cs="David"/>
          <w:position w:val="0"/>
          <w:sz w:val="22"/>
          <w:rtl/>
        </w:rPr>
      </w:pPr>
      <w:r>
        <w:rPr>
          <w:rFonts w:cs="David"/>
          <w:position w:val="0"/>
          <w:sz w:val="22"/>
          <w:rtl/>
        </w:rPr>
        <w:t xml:space="preserve"> </w:t>
      </w:r>
    </w:p>
    <w:p w14:paraId="75F3EA3B" w14:textId="77777777" w:rsidR="00A47B9E" w:rsidRDefault="00A47B9E">
      <w:pPr>
        <w:pStyle w:val="P00"/>
        <w:spacing w:before="72"/>
        <w:ind w:left="0" w:right="1134"/>
        <w:rPr>
          <w:rStyle w:val="default"/>
          <w:rFonts w:cs="FrankRuehl"/>
          <w:rtl/>
        </w:rPr>
      </w:pPr>
      <w:bookmarkStart w:id="12" w:name="Seif8"/>
      <w:bookmarkEnd w:id="12"/>
      <w:r>
        <w:rPr>
          <w:lang w:val="he-IL"/>
        </w:rPr>
        <w:pict w14:anchorId="622EFBD2">
          <v:rect id="_x0000_s1033" style="position:absolute;left:0;text-align:left;margin-left:464.5pt;margin-top:8.05pt;width:75.05pt;height:32pt;z-index:251659264" o:allowincell="f" filled="f" stroked="f" strokecolor="lime" strokeweight=".25pt">
            <v:textbox inset="0,0,0,0">
              <w:txbxContent>
                <w:p w14:paraId="0DE307F9" w14:textId="77777777" w:rsidR="00A47B9E" w:rsidRDefault="00A47B9E">
                  <w:pPr>
                    <w:spacing w:line="160" w:lineRule="exact"/>
                    <w:jc w:val="left"/>
                    <w:rPr>
                      <w:rFonts w:cs="Miriam"/>
                      <w:noProof/>
                      <w:sz w:val="18"/>
                      <w:szCs w:val="18"/>
                      <w:rtl/>
                    </w:rPr>
                  </w:pPr>
                  <w:r>
                    <w:rPr>
                      <w:rFonts w:cs="Miriam"/>
                      <w:sz w:val="18"/>
                      <w:szCs w:val="18"/>
                      <w:rtl/>
                    </w:rPr>
                    <w:t>אי</w:t>
                  </w:r>
                  <w:r>
                    <w:rPr>
                      <w:rFonts w:cs="Miriam" w:hint="cs"/>
                      <w:sz w:val="18"/>
                      <w:szCs w:val="18"/>
                      <w:rtl/>
                    </w:rPr>
                    <w:t>ן דבר מלך זה פוגע בתקנות שהותקנו עפ"י דבר המלך</w:t>
                  </w:r>
                </w:p>
                <w:p w14:paraId="59B59CA5" w14:textId="77777777" w:rsidR="00A47B9E" w:rsidRDefault="00A47B9E">
                  <w:pPr>
                    <w:spacing w:line="160" w:lineRule="exact"/>
                    <w:jc w:val="left"/>
                    <w:rPr>
                      <w:rFonts w:cs="Miriam"/>
                      <w:noProof/>
                      <w:sz w:val="18"/>
                      <w:szCs w:val="18"/>
                      <w:rtl/>
                    </w:rPr>
                  </w:pPr>
                  <w:r>
                    <w:rPr>
                      <w:rFonts w:cs="Miriam"/>
                      <w:sz w:val="18"/>
                      <w:szCs w:val="18"/>
                      <w:rtl/>
                    </w:rPr>
                    <w:t>מש</w:t>
                  </w:r>
                  <w:r>
                    <w:rPr>
                      <w:rFonts w:cs="Miriam" w:hint="cs"/>
                      <w:sz w:val="18"/>
                      <w:szCs w:val="18"/>
                      <w:rtl/>
                    </w:rPr>
                    <w:t>נת 1931</w:t>
                  </w:r>
                </w:p>
              </w:txbxContent>
            </v:textbox>
            <w10:anchorlock/>
          </v:rect>
        </w:pict>
      </w:r>
      <w:r>
        <w:rPr>
          <w:rStyle w:val="big-number"/>
          <w:rFonts w:cs="Miriam"/>
          <w:rtl/>
        </w:rPr>
        <w:t>9.</w:t>
      </w:r>
      <w:r>
        <w:rPr>
          <w:rStyle w:val="big-number"/>
          <w:rFonts w:cs="Miriam"/>
          <w:rtl/>
        </w:rPr>
        <w:tab/>
      </w:r>
      <w:r>
        <w:rPr>
          <w:rStyle w:val="default"/>
          <w:rFonts w:cs="FrankRuehl"/>
          <w:rtl/>
        </w:rPr>
        <w:t>שו</w:t>
      </w:r>
      <w:r>
        <w:rPr>
          <w:rStyle w:val="default"/>
          <w:rFonts w:cs="FrankRuehl" w:hint="cs"/>
          <w:rtl/>
        </w:rPr>
        <w:t>ם דבר האמור בדבר המלך משנת 1936 אין לראותו כאילו הוא פוגע בכל תקנה שהותקנה עפ"י דבר המלך משנת 1931 שהיה לה תוקף ביום העשרים ותשעה בספטמבר, 193</w:t>
      </w:r>
      <w:r>
        <w:rPr>
          <w:rStyle w:val="default"/>
          <w:rFonts w:cs="FrankRuehl"/>
          <w:rtl/>
        </w:rPr>
        <w:t>6, ו</w:t>
      </w:r>
      <w:r>
        <w:rPr>
          <w:rStyle w:val="default"/>
          <w:rFonts w:cs="FrankRuehl" w:hint="cs"/>
          <w:rtl/>
        </w:rPr>
        <w:t>אולם כל אותן תקנות תיחשבנה כאילו הוסיפו להיות בתקפן, אך מיום ביטולן, תיקונן או שינוין עפ"י התקנות ע"י דברי המלך במועצה לארץ-ישראל (הגנה), 1931 ו-1936, יהא תוקפן כפוף לאותו ביטול, תיקון או שינוי; ולפיכך שום הרשעה על עבירה עפ"י התקנות הנ"ל ושום דבר שנעש</w:t>
      </w:r>
      <w:r>
        <w:rPr>
          <w:rStyle w:val="default"/>
          <w:rFonts w:cs="FrankRuehl"/>
          <w:rtl/>
        </w:rPr>
        <w:t>ה ע</w:t>
      </w:r>
      <w:r>
        <w:rPr>
          <w:rStyle w:val="default"/>
          <w:rFonts w:cs="FrankRuehl" w:hint="cs"/>
          <w:rtl/>
        </w:rPr>
        <w:t>פ"י התקנות הנ"ל, לא ייחשבו כאילו הם בלתי מותרים או בלתי חוקיים מחמת שהתקנות הנ"ל שהיו בתקפן ביום עשרים ותשעה בספטמבר, 1936, לא היה להן תוקף לאחר אותו תאריך.</w:t>
      </w:r>
    </w:p>
    <w:p w14:paraId="296DCCD3" w14:textId="77777777" w:rsidR="00A47B9E" w:rsidRDefault="00A47B9E">
      <w:pPr>
        <w:pStyle w:val="P00"/>
        <w:spacing w:before="72"/>
        <w:ind w:left="0" w:right="1134"/>
        <w:rPr>
          <w:rStyle w:val="default"/>
          <w:rFonts w:cs="FrankRuehl"/>
          <w:rtl/>
        </w:rPr>
      </w:pPr>
      <w:bookmarkStart w:id="13" w:name="Seif9"/>
      <w:bookmarkEnd w:id="13"/>
      <w:r>
        <w:rPr>
          <w:lang w:val="he-IL"/>
        </w:rPr>
        <w:pict w14:anchorId="3F7F99EE">
          <v:rect id="_x0000_s1034" style="position:absolute;left:0;text-align:left;margin-left:464.5pt;margin-top:8.05pt;width:75.05pt;height:24pt;z-index:251660288" o:allowincell="f" filled="f" stroked="f" strokecolor="lime" strokeweight=".25pt">
            <v:textbox inset="0,0,0,0">
              <w:txbxContent>
                <w:p w14:paraId="738EEB84" w14:textId="77777777" w:rsidR="00A47B9E" w:rsidRDefault="00A47B9E">
                  <w:pPr>
                    <w:spacing w:line="160" w:lineRule="exact"/>
                    <w:jc w:val="left"/>
                    <w:rPr>
                      <w:rFonts w:cs="Miriam"/>
                      <w:noProof/>
                      <w:sz w:val="18"/>
                      <w:szCs w:val="18"/>
                      <w:rtl/>
                    </w:rPr>
                  </w:pPr>
                  <w:r>
                    <w:rPr>
                      <w:rFonts w:cs="Miriam"/>
                      <w:sz w:val="18"/>
                      <w:szCs w:val="18"/>
                      <w:rtl/>
                    </w:rPr>
                    <w:t>בי</w:t>
                  </w:r>
                  <w:r>
                    <w:rPr>
                      <w:rFonts w:cs="Miriam" w:hint="cs"/>
                      <w:sz w:val="18"/>
                      <w:szCs w:val="18"/>
                      <w:rtl/>
                    </w:rPr>
                    <w:t>טול דברי המלך מש' 1931</w:t>
                  </w:r>
                </w:p>
                <w:p w14:paraId="4CEE1360" w14:textId="77777777" w:rsidR="00A47B9E" w:rsidRDefault="00A47B9E">
                  <w:pPr>
                    <w:spacing w:line="160" w:lineRule="exact"/>
                    <w:jc w:val="left"/>
                    <w:rPr>
                      <w:rFonts w:cs="Miriam"/>
                      <w:noProof/>
                      <w:sz w:val="18"/>
                      <w:szCs w:val="18"/>
                      <w:rtl/>
                    </w:rPr>
                  </w:pPr>
                  <w:r>
                    <w:rPr>
                      <w:rFonts w:cs="Miriam"/>
                      <w:sz w:val="18"/>
                      <w:szCs w:val="18"/>
                      <w:rtl/>
                    </w:rPr>
                    <w:t>ומ</w:t>
                  </w:r>
                  <w:r>
                    <w:rPr>
                      <w:rFonts w:cs="Miriam" w:hint="cs"/>
                      <w:sz w:val="18"/>
                      <w:szCs w:val="18"/>
                      <w:rtl/>
                    </w:rPr>
                    <w:t>שנת 1936</w:t>
                  </w:r>
                </w:p>
              </w:txbxContent>
            </v:textbox>
            <w10:anchorlock/>
          </v:rect>
        </w:pict>
      </w:r>
      <w:r>
        <w:rPr>
          <w:rStyle w:val="big-number"/>
          <w:rFonts w:cs="Miriam"/>
          <w:rtl/>
        </w:rPr>
        <w:t>10.</w:t>
      </w:r>
      <w:r>
        <w:rPr>
          <w:rStyle w:val="big-number"/>
          <w:rFonts w:cs="Miriam"/>
          <w:rtl/>
        </w:rPr>
        <w:tab/>
      </w:r>
      <w:r>
        <w:rPr>
          <w:rStyle w:val="default"/>
          <w:rFonts w:cs="FrankRuehl"/>
          <w:rtl/>
        </w:rPr>
        <w:t>בי</w:t>
      </w:r>
      <w:r>
        <w:rPr>
          <w:rStyle w:val="default"/>
          <w:rFonts w:cs="FrankRuehl" w:hint="cs"/>
          <w:rtl/>
        </w:rPr>
        <w:t>ום שבו יינתן בפעם הראשונה תוקף לחלק ב' מדבר מלך זה ע"י מינשר יבוטלו דבר המלך משנת 1931 ודב</w:t>
      </w:r>
      <w:r>
        <w:rPr>
          <w:rStyle w:val="default"/>
          <w:rFonts w:cs="FrankRuehl"/>
          <w:rtl/>
        </w:rPr>
        <w:t xml:space="preserve">ר </w:t>
      </w:r>
      <w:r>
        <w:rPr>
          <w:rStyle w:val="default"/>
          <w:rFonts w:cs="FrankRuehl" w:hint="cs"/>
          <w:rtl/>
        </w:rPr>
        <w:t>המלך משנת :1936</w:t>
      </w:r>
    </w:p>
    <w:p w14:paraId="74578A00" w14:textId="77777777" w:rsidR="00A47B9E" w:rsidRDefault="00A47B9E">
      <w:pPr>
        <w:pStyle w:val="P00"/>
        <w:spacing w:before="72"/>
        <w:ind w:left="0" w:right="1134"/>
        <w:rPr>
          <w:rStyle w:val="default"/>
          <w:rFonts w:cs="FrankRuehl"/>
          <w:rtl/>
        </w:rPr>
      </w:pPr>
      <w:r>
        <w:rPr>
          <w:rFonts w:cs="FrankRuehl"/>
          <w:sz w:val="26"/>
          <w:rtl/>
        </w:rPr>
        <w:tab/>
      </w:r>
      <w:r>
        <w:rPr>
          <w:rStyle w:val="default"/>
          <w:rFonts w:cs="FrankRuehl"/>
          <w:rtl/>
        </w:rPr>
        <w:t>בת</w:t>
      </w:r>
      <w:r>
        <w:rPr>
          <w:rStyle w:val="default"/>
          <w:rFonts w:cs="FrankRuehl" w:hint="cs"/>
          <w:rtl/>
        </w:rPr>
        <w:t>נאי ששום דבר האמור בביטול זה לא יפגע בכל תקנה הנוהגת בתאריך האמור לעיל (ולרבות התקנות המאוזכרות בסעיף הקודם) אך כל תקנות כאלו תוספנה להיות בתוקפן ותיחשבנה כתקנות הגנה לצורך חלק ב' מדבר מלך זה ומותר</w:t>
      </w:r>
      <w:r>
        <w:rPr>
          <w:rStyle w:val="default"/>
          <w:rFonts w:cs="FrankRuehl"/>
          <w:rtl/>
        </w:rPr>
        <w:t xml:space="preserve"> </w:t>
      </w:r>
      <w:r>
        <w:rPr>
          <w:rStyle w:val="default"/>
          <w:rFonts w:cs="FrankRuehl" w:hint="cs"/>
          <w:rtl/>
        </w:rPr>
        <w:t>יהיה לבטלן, לתקנן או לשנותן כאמור.</w:t>
      </w:r>
    </w:p>
    <w:p w14:paraId="5D56098D" w14:textId="77777777" w:rsidR="00A47B9E" w:rsidRDefault="00A47B9E">
      <w:pPr>
        <w:pStyle w:val="P00"/>
        <w:spacing w:before="72"/>
        <w:ind w:left="0" w:right="1134"/>
        <w:rPr>
          <w:rStyle w:val="default"/>
          <w:rFonts w:cs="FrankRuehl"/>
          <w:rtl/>
        </w:rPr>
      </w:pPr>
      <w:bookmarkStart w:id="14" w:name="Seif10"/>
      <w:bookmarkEnd w:id="14"/>
      <w:r>
        <w:rPr>
          <w:lang w:val="he-IL"/>
        </w:rPr>
        <w:pict w14:anchorId="1D4115DB">
          <v:rect id="_x0000_s1035" style="position:absolute;left:0;text-align:left;margin-left:464.5pt;margin-top:8.05pt;width:75.05pt;height:16pt;z-index:251661312" o:allowincell="f" filled="f" stroked="f" strokecolor="lime" strokeweight=".25pt">
            <v:textbox inset="0,0,0,0">
              <w:txbxContent>
                <w:p w14:paraId="55F78004" w14:textId="77777777" w:rsidR="00A47B9E" w:rsidRDefault="00A47B9E">
                  <w:pPr>
                    <w:spacing w:line="160" w:lineRule="exact"/>
                    <w:jc w:val="left"/>
                    <w:rPr>
                      <w:rFonts w:cs="Miriam"/>
                      <w:noProof/>
                      <w:sz w:val="18"/>
                      <w:szCs w:val="18"/>
                      <w:rtl/>
                    </w:rPr>
                  </w:pPr>
                  <w:r>
                    <w:rPr>
                      <w:rFonts w:cs="Miriam"/>
                      <w:sz w:val="18"/>
                      <w:szCs w:val="18"/>
                      <w:rtl/>
                    </w:rPr>
                    <w:t>פי</w:t>
                  </w:r>
                  <w:r>
                    <w:rPr>
                      <w:rFonts w:cs="Miriam" w:hint="cs"/>
                      <w:sz w:val="18"/>
                      <w:szCs w:val="18"/>
                      <w:rtl/>
                    </w:rPr>
                    <w:t>רוש איזכורים של דברי המלך המבוטלים</w:t>
                  </w:r>
                </w:p>
              </w:txbxContent>
            </v:textbox>
            <w10:anchorlock/>
          </v:rect>
        </w:pict>
      </w:r>
      <w:r>
        <w:rPr>
          <w:rStyle w:val="big-number"/>
          <w:rFonts w:cs="Miriam"/>
          <w:rtl/>
        </w:rPr>
        <w:t>11.</w:t>
      </w:r>
      <w:r>
        <w:rPr>
          <w:rStyle w:val="big-number"/>
          <w:rFonts w:cs="Miriam"/>
          <w:rtl/>
        </w:rPr>
        <w:tab/>
      </w:r>
      <w:r>
        <w:rPr>
          <w:rStyle w:val="default"/>
          <w:rFonts w:cs="FrankRuehl"/>
          <w:rtl/>
        </w:rPr>
        <w:t>כל</w:t>
      </w:r>
      <w:r>
        <w:rPr>
          <w:rStyle w:val="default"/>
          <w:rFonts w:cs="FrankRuehl" w:hint="cs"/>
          <w:rtl/>
        </w:rPr>
        <w:t xml:space="preserve"> איזכור באיזה חוק של דבר המלך משנת 1931, או של דבר המלך משנת 1936, או של שניהם, הרי יפורשו כאילו הם כוללים איזכורים של החלקים א' ו-ג' מדבר המלך הזה, ולמן היום שבו מבוטלים דבר</w:t>
      </w:r>
      <w:r>
        <w:rPr>
          <w:rStyle w:val="default"/>
          <w:rFonts w:cs="FrankRuehl"/>
          <w:rtl/>
        </w:rPr>
        <w:t>י</w:t>
      </w:r>
      <w:r>
        <w:rPr>
          <w:rStyle w:val="default"/>
          <w:rFonts w:cs="FrankRuehl" w:hint="cs"/>
          <w:rtl/>
        </w:rPr>
        <w:t xml:space="preserve"> מלך אלה, כאילו הם כוללים איזכורים של החלק ב' מדבר מלך זה.</w:t>
      </w:r>
    </w:p>
    <w:p w14:paraId="48B94143" w14:textId="77777777" w:rsidR="00A47B9E" w:rsidRDefault="00A47B9E">
      <w:pPr>
        <w:pStyle w:val="P00"/>
        <w:spacing w:before="72"/>
        <w:ind w:left="0" w:right="1134"/>
        <w:rPr>
          <w:rStyle w:val="default"/>
          <w:rFonts w:cs="FrankRuehl"/>
          <w:rtl/>
        </w:rPr>
      </w:pPr>
      <w:bookmarkStart w:id="15" w:name="Seif11"/>
      <w:bookmarkEnd w:id="15"/>
      <w:r>
        <w:rPr>
          <w:lang w:val="he-IL"/>
        </w:rPr>
        <w:pict w14:anchorId="64F03697">
          <v:rect id="_x0000_s1036" style="position:absolute;left:0;text-align:left;margin-left:464.5pt;margin-top:8.05pt;width:75.05pt;height:8pt;z-index:251662336" o:allowincell="f" filled="f" stroked="f" strokecolor="lime" strokeweight=".25pt">
            <v:textbox inset="0,0,0,0">
              <w:txbxContent>
                <w:p w14:paraId="26F19525" w14:textId="77777777" w:rsidR="00A47B9E" w:rsidRDefault="00A47B9E">
                  <w:pPr>
                    <w:spacing w:line="160" w:lineRule="exact"/>
                    <w:jc w:val="left"/>
                    <w:rPr>
                      <w:rFonts w:cs="Miriam"/>
                      <w:noProof/>
                      <w:sz w:val="18"/>
                      <w:szCs w:val="18"/>
                      <w:rtl/>
                    </w:rPr>
                  </w:pPr>
                  <w:r>
                    <w:rPr>
                      <w:rFonts w:cs="Miriam"/>
                      <w:sz w:val="18"/>
                      <w:szCs w:val="18"/>
                      <w:rtl/>
                    </w:rPr>
                    <w:t>תק</w:t>
                  </w:r>
                  <w:r>
                    <w:rPr>
                      <w:rFonts w:cs="Miriam" w:hint="cs"/>
                      <w:sz w:val="18"/>
                      <w:szCs w:val="18"/>
                      <w:rtl/>
                    </w:rPr>
                    <w:t>פם של מסמכים</w:t>
                  </w:r>
                </w:p>
              </w:txbxContent>
            </v:textbox>
            <w10:anchorlock/>
          </v:rect>
        </w:pict>
      </w:r>
      <w:r>
        <w:rPr>
          <w:rStyle w:val="big-number"/>
          <w:rFonts w:cs="Miriam"/>
          <w:rtl/>
        </w:rPr>
        <w:t>12.</w:t>
      </w:r>
      <w:r>
        <w:rPr>
          <w:rStyle w:val="big-number"/>
          <w:rFonts w:cs="Miriam"/>
          <w:rtl/>
        </w:rPr>
        <w:tab/>
      </w:r>
      <w:r>
        <w:rPr>
          <w:rStyle w:val="default"/>
          <w:rFonts w:cs="FrankRuehl"/>
          <w:rtl/>
        </w:rPr>
        <w:t>כל</w:t>
      </w:r>
      <w:r>
        <w:rPr>
          <w:rStyle w:val="default"/>
          <w:rFonts w:cs="FrankRuehl" w:hint="cs"/>
          <w:rtl/>
        </w:rPr>
        <w:t xml:space="preserve"> מסמך שמיו</w:t>
      </w:r>
      <w:r>
        <w:rPr>
          <w:rStyle w:val="default"/>
          <w:rFonts w:cs="FrankRuehl"/>
          <w:rtl/>
        </w:rPr>
        <w:t>מר</w:t>
      </w:r>
      <w:r>
        <w:rPr>
          <w:rStyle w:val="default"/>
          <w:rFonts w:cs="FrankRuehl" w:hint="cs"/>
          <w:rtl/>
        </w:rPr>
        <w:t xml:space="preserve"> בו כי הוא מסמך (בין תחיקתי ובין מוציא לפועל) שניתן או הוצא בהתאם לדברים דלקמן או לצרכם, דהיינו </w:t>
      </w:r>
      <w:r>
        <w:rPr>
          <w:rStyle w:val="default"/>
          <w:rFonts w:cs="FrankRuehl"/>
          <w:rtl/>
        </w:rPr>
        <w:t>—</w:t>
      </w:r>
    </w:p>
    <w:p w14:paraId="0609756B" w14:textId="77777777" w:rsidR="00A47B9E" w:rsidRDefault="00A47B9E">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בר מלך זה, דבר המלך משנת 1931, או דבר המלך משנת 1936, או</w:t>
      </w:r>
    </w:p>
    <w:p w14:paraId="33EA47B0" w14:textId="77777777" w:rsidR="00A47B9E" w:rsidRDefault="00A47B9E">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הוראה הכלולה בתקנות ההגנה או בכל תקנות</w:t>
      </w:r>
      <w:r>
        <w:rPr>
          <w:rFonts w:cs="FrankRuehl"/>
        </w:rPr>
        <w:t> </w:t>
      </w:r>
      <w:r>
        <w:rPr>
          <w:rStyle w:val="default"/>
          <w:rFonts w:cs="FrankRuehl"/>
          <w:rtl/>
        </w:rPr>
        <w:t xml:space="preserve"> ש</w:t>
      </w:r>
      <w:r>
        <w:rPr>
          <w:rStyle w:val="default"/>
          <w:rFonts w:cs="FrankRuehl" w:hint="cs"/>
          <w:rtl/>
        </w:rPr>
        <w:t>הותקנו עפ"י דבר המלך משנת 1931 או עפ"י דבר המל</w:t>
      </w:r>
      <w:r>
        <w:rPr>
          <w:rStyle w:val="default"/>
          <w:rFonts w:cs="FrankRuehl"/>
          <w:rtl/>
        </w:rPr>
        <w:t xml:space="preserve">ך </w:t>
      </w:r>
      <w:r>
        <w:rPr>
          <w:rStyle w:val="default"/>
          <w:rFonts w:cs="FrankRuehl" w:hint="cs"/>
          <w:rtl/>
        </w:rPr>
        <w:t>משנת 1936, או שיש להן תוקף מכוחן של תקנות אלה,</w:t>
      </w:r>
    </w:p>
    <w:p w14:paraId="3DCCFF28" w14:textId="77777777" w:rsidR="00A47B9E" w:rsidRDefault="00A47B9E">
      <w:pPr>
        <w:pStyle w:val="P00"/>
        <w:spacing w:before="72"/>
        <w:ind w:left="0" w:right="1134"/>
        <w:rPr>
          <w:rFonts w:cs="FrankRuehl"/>
          <w:sz w:val="26"/>
          <w:rtl/>
        </w:rPr>
      </w:pPr>
      <w:r>
        <w:rPr>
          <w:rFonts w:cs="FrankRuehl"/>
          <w:sz w:val="26"/>
          <w:rtl/>
        </w:rPr>
        <w:t>יי</w:t>
      </w:r>
      <w:r>
        <w:rPr>
          <w:rFonts w:cs="FrankRuehl" w:hint="cs"/>
          <w:sz w:val="26"/>
          <w:rtl/>
        </w:rPr>
        <w:t>חשב כמסמך שניתן כחוק כאמור לעיל, ותקפן של ההוראות הכלולות במסמך אין להרהר אחריו בכל בית משפט או באופן מן האופני</w:t>
      </w:r>
      <w:r>
        <w:rPr>
          <w:rFonts w:cs="FrankRuehl"/>
          <w:sz w:val="26"/>
          <w:rtl/>
        </w:rPr>
        <w:t>ם</w:t>
      </w:r>
      <w:r>
        <w:rPr>
          <w:rFonts w:cs="FrankRuehl" w:hint="cs"/>
          <w:sz w:val="26"/>
          <w:rtl/>
        </w:rPr>
        <w:t>.</w:t>
      </w:r>
    </w:p>
    <w:p w14:paraId="7C6581A9" w14:textId="77777777" w:rsidR="00A47B9E" w:rsidRDefault="00A47B9E">
      <w:pPr>
        <w:pStyle w:val="page"/>
        <w:widowControl/>
        <w:ind w:right="1134"/>
        <w:rPr>
          <w:rFonts w:cs="David"/>
          <w:position w:val="0"/>
          <w:sz w:val="22"/>
          <w:rtl/>
        </w:rPr>
      </w:pPr>
      <w:r>
        <w:rPr>
          <w:rFonts w:cs="David"/>
          <w:position w:val="0"/>
          <w:sz w:val="22"/>
          <w:rtl/>
        </w:rPr>
        <w:t xml:space="preserve"> </w:t>
      </w:r>
    </w:p>
    <w:p w14:paraId="5D2C3252" w14:textId="77777777" w:rsidR="00A47B9E" w:rsidRDefault="00A47B9E">
      <w:pPr>
        <w:pStyle w:val="P00"/>
        <w:spacing w:before="72"/>
        <w:ind w:left="0" w:right="1134"/>
        <w:rPr>
          <w:rStyle w:val="default"/>
          <w:rFonts w:cs="FrankRuehl"/>
          <w:rtl/>
        </w:rPr>
      </w:pPr>
      <w:bookmarkStart w:id="16" w:name="Seif12"/>
      <w:bookmarkEnd w:id="16"/>
      <w:r>
        <w:rPr>
          <w:lang w:val="he-IL"/>
        </w:rPr>
        <w:pict w14:anchorId="6E6B3C5C">
          <v:rect id="_x0000_s1037" style="position:absolute;left:0;text-align:left;margin-left:464.5pt;margin-top:8.05pt;width:75.05pt;height:8pt;z-index:251663360" o:allowincell="f" filled="f" stroked="f" strokecolor="lime" strokeweight=".25pt">
            <v:textbox inset="0,0,0,0">
              <w:txbxContent>
                <w:p w14:paraId="41AD7548" w14:textId="77777777" w:rsidR="00A47B9E" w:rsidRDefault="00A47B9E">
                  <w:pPr>
                    <w:spacing w:line="160" w:lineRule="exact"/>
                    <w:jc w:val="left"/>
                    <w:rPr>
                      <w:rFonts w:cs="Miriam"/>
                      <w:noProof/>
                      <w:sz w:val="18"/>
                      <w:szCs w:val="18"/>
                      <w:rtl/>
                    </w:rPr>
                  </w:pPr>
                  <w:r>
                    <w:rPr>
                      <w:rFonts w:cs="Miriam"/>
                      <w:sz w:val="18"/>
                      <w:szCs w:val="18"/>
                      <w:rtl/>
                    </w:rPr>
                    <w:t>הו</w:t>
                  </w:r>
                  <w:r>
                    <w:rPr>
                      <w:rFonts w:cs="Miriam" w:hint="cs"/>
                      <w:sz w:val="18"/>
                      <w:szCs w:val="18"/>
                      <w:rtl/>
                    </w:rPr>
                    <w:t>כחת מסמכים</w:t>
                  </w:r>
                </w:p>
              </w:txbxContent>
            </v:textbox>
            <w10:anchorlock/>
          </v:rect>
        </w:pict>
      </w:r>
      <w:r>
        <w:rPr>
          <w:rStyle w:val="big-number"/>
          <w:rFonts w:cs="Miriam"/>
          <w:rtl/>
        </w:rPr>
        <w:t>13.</w:t>
      </w:r>
      <w:r>
        <w:rPr>
          <w:rStyle w:val="big-number"/>
          <w:rFonts w:cs="Miriam"/>
          <w:rtl/>
        </w:rPr>
        <w:tab/>
      </w:r>
      <w:r>
        <w:rPr>
          <w:rStyle w:val="default"/>
          <w:rFonts w:cs="FrankRuehl"/>
          <w:rtl/>
        </w:rPr>
        <w:t>כל</w:t>
      </w:r>
      <w:r>
        <w:rPr>
          <w:rStyle w:val="default"/>
          <w:rFonts w:cs="FrankRuehl" w:hint="cs"/>
          <w:rtl/>
        </w:rPr>
        <w:t xml:space="preserve"> מסמך שמיומר בו כי הוא מסמך (בין תחיקתי ובין מוציא לפועל) </w:t>
      </w:r>
      <w:r>
        <w:rPr>
          <w:rStyle w:val="default"/>
          <w:rFonts w:cs="FrankRuehl"/>
          <w:rtl/>
        </w:rPr>
        <w:t xml:space="preserve">— </w:t>
      </w:r>
      <w:r>
        <w:rPr>
          <w:rStyle w:val="default"/>
          <w:rFonts w:cs="FrankRuehl" w:hint="cs"/>
          <w:rtl/>
        </w:rPr>
        <w:t xml:space="preserve">שניתן או הוצא ע"י כל רשות או אדם בהתאם לדברים דלקמן או לצרכים, דהיינו </w:t>
      </w:r>
      <w:r>
        <w:rPr>
          <w:rStyle w:val="default"/>
          <w:rFonts w:cs="FrankRuehl"/>
          <w:rtl/>
        </w:rPr>
        <w:t>—</w:t>
      </w:r>
    </w:p>
    <w:p w14:paraId="03934C6F" w14:textId="77777777" w:rsidR="00A47B9E" w:rsidRDefault="00A47B9E">
      <w:pPr>
        <w:pStyle w:val="P22"/>
        <w:spacing w:before="72"/>
        <w:ind w:left="1021" w:right="1134"/>
        <w:rPr>
          <w:rStyle w:val="default"/>
          <w:rFonts w:cs="FrankRuehl"/>
          <w:rtl/>
        </w:rPr>
      </w:pPr>
      <w:r>
        <w:rPr>
          <w:rStyle w:val="default"/>
          <w:rFonts w:cs="FrankRuehl"/>
          <w:rtl/>
        </w:rPr>
        <w:t>(1)</w:t>
      </w:r>
      <w:r>
        <w:rPr>
          <w:rStyle w:val="default"/>
          <w:rFonts w:cs="FrankRuehl"/>
          <w:rtl/>
        </w:rPr>
        <w:tab/>
        <w:t>ד</w:t>
      </w:r>
      <w:r>
        <w:rPr>
          <w:rStyle w:val="default"/>
          <w:rFonts w:cs="FrankRuehl" w:hint="cs"/>
          <w:rtl/>
        </w:rPr>
        <w:t>בר מלך זה, דבר המלך משנת 1931, או דבר המלך משנת 1936, או</w:t>
      </w:r>
    </w:p>
    <w:p w14:paraId="44E7ED3B" w14:textId="77777777" w:rsidR="00A47B9E" w:rsidRDefault="00A47B9E">
      <w:pPr>
        <w:pStyle w:val="P22"/>
        <w:spacing w:before="72"/>
        <w:ind w:left="1021" w:right="1134"/>
        <w:rPr>
          <w:rStyle w:val="default"/>
          <w:rFonts w:cs="FrankRuehl"/>
          <w:rtl/>
        </w:rPr>
      </w:pPr>
      <w:r>
        <w:rPr>
          <w:rStyle w:val="default"/>
          <w:rFonts w:cs="FrankRuehl" w:hint="cs"/>
          <w:rtl/>
        </w:rPr>
        <w:t>(2)</w:t>
      </w:r>
      <w:r>
        <w:rPr>
          <w:rStyle w:val="default"/>
          <w:rFonts w:cs="FrankRuehl"/>
          <w:rtl/>
        </w:rPr>
        <w:tab/>
        <w:t>כ</w:t>
      </w:r>
      <w:r>
        <w:rPr>
          <w:rStyle w:val="default"/>
          <w:rFonts w:cs="FrankRuehl" w:hint="cs"/>
          <w:rtl/>
        </w:rPr>
        <w:t>ל הוראה הכלולה בתקנות ההגנה או בכל תקנות</w:t>
      </w:r>
      <w:r>
        <w:rPr>
          <w:rFonts w:cs="FrankRuehl"/>
        </w:rPr>
        <w:t> </w:t>
      </w:r>
      <w:r>
        <w:rPr>
          <w:rStyle w:val="default"/>
          <w:rFonts w:cs="FrankRuehl"/>
          <w:rtl/>
        </w:rPr>
        <w:t xml:space="preserve"> ש</w:t>
      </w:r>
      <w:r>
        <w:rPr>
          <w:rStyle w:val="default"/>
          <w:rFonts w:cs="FrankRuehl" w:hint="cs"/>
          <w:rtl/>
        </w:rPr>
        <w:t>הותקנו עפ"י דבר המלך משנת 1931 או עפ"י דבר המלך משנת 1936, או שיש להן תו</w:t>
      </w:r>
      <w:r>
        <w:rPr>
          <w:rStyle w:val="default"/>
          <w:rFonts w:cs="FrankRuehl"/>
          <w:rtl/>
        </w:rPr>
        <w:t>קף</w:t>
      </w:r>
      <w:r>
        <w:rPr>
          <w:rStyle w:val="default"/>
          <w:rFonts w:cs="FrankRuehl" w:hint="cs"/>
          <w:rtl/>
        </w:rPr>
        <w:t xml:space="preserve"> מכוחן של תקנות אלה,</w:t>
      </w:r>
    </w:p>
    <w:p w14:paraId="1084BF09" w14:textId="77777777" w:rsidR="00A47B9E" w:rsidRDefault="00A47B9E">
      <w:pPr>
        <w:pStyle w:val="P00"/>
        <w:spacing w:before="72"/>
        <w:ind w:left="0" w:right="1134"/>
        <w:rPr>
          <w:rFonts w:cs="FrankRuehl"/>
          <w:sz w:val="26"/>
          <w:rtl/>
        </w:rPr>
      </w:pPr>
      <w:r>
        <w:rPr>
          <w:rFonts w:cs="FrankRuehl"/>
          <w:sz w:val="26"/>
          <w:rtl/>
        </w:rPr>
        <w:t>וה</w:t>
      </w:r>
      <w:r>
        <w:rPr>
          <w:rFonts w:cs="FrankRuehl" w:hint="cs"/>
          <w:sz w:val="26"/>
          <w:rtl/>
        </w:rPr>
        <w:t>וא חתום ע"י אותה רשות או אותו אדם או מטעמם, יקובלו בעדות, ועד שלא יוכח היפך, ייחשב כמסמך שניתן או הוצא ע"י אותה רשות או או</w:t>
      </w:r>
      <w:r>
        <w:rPr>
          <w:rFonts w:cs="FrankRuehl"/>
          <w:sz w:val="26"/>
          <w:rtl/>
        </w:rPr>
        <w:t>ת</w:t>
      </w:r>
      <w:r>
        <w:rPr>
          <w:rFonts w:cs="FrankRuehl" w:hint="cs"/>
          <w:sz w:val="26"/>
          <w:rtl/>
        </w:rPr>
        <w:t>ו אדם, הכל כפי שהענין יחייב.</w:t>
      </w:r>
    </w:p>
    <w:p w14:paraId="4FA18480" w14:textId="77777777" w:rsidR="00A47B9E" w:rsidRDefault="00A47B9E">
      <w:pPr>
        <w:pStyle w:val="P00"/>
        <w:spacing w:before="72"/>
        <w:ind w:left="0" w:right="1134"/>
        <w:rPr>
          <w:rFonts w:cs="FrankRuehl"/>
          <w:sz w:val="26"/>
          <w:rtl/>
        </w:rPr>
      </w:pPr>
    </w:p>
    <w:p w14:paraId="0265003D" w14:textId="77777777" w:rsidR="00A47B9E" w:rsidRDefault="00A47B9E">
      <w:pPr>
        <w:pStyle w:val="P00"/>
        <w:spacing w:before="72"/>
        <w:ind w:left="0" w:right="1134"/>
        <w:rPr>
          <w:rFonts w:cs="FrankRuehl"/>
          <w:sz w:val="26"/>
          <w:rtl/>
        </w:rPr>
      </w:pPr>
    </w:p>
    <w:p w14:paraId="77C6E08D" w14:textId="77777777" w:rsidR="00A47B9E" w:rsidRDefault="00A47B9E">
      <w:pPr>
        <w:pStyle w:val="P00"/>
        <w:spacing w:before="72"/>
        <w:ind w:left="0" w:right="1134"/>
        <w:rPr>
          <w:rFonts w:cs="FrankRuehl"/>
          <w:sz w:val="26"/>
          <w:rtl/>
        </w:rPr>
      </w:pPr>
    </w:p>
    <w:p w14:paraId="23A16A80" w14:textId="77777777" w:rsidR="00A47B9E" w:rsidRDefault="00A47B9E">
      <w:pPr>
        <w:pStyle w:val="P00"/>
        <w:spacing w:before="72"/>
        <w:ind w:left="0" w:right="1134"/>
        <w:rPr>
          <w:rFonts w:cs="FrankRuehl"/>
          <w:sz w:val="26"/>
          <w:rtl/>
        </w:rPr>
      </w:pPr>
    </w:p>
    <w:p w14:paraId="027F82DA" w14:textId="77777777" w:rsidR="00A47B9E" w:rsidRDefault="00A47B9E">
      <w:pPr>
        <w:pStyle w:val="P00"/>
        <w:spacing w:before="72"/>
        <w:ind w:left="0" w:right="1134"/>
        <w:rPr>
          <w:rFonts w:cs="FrankRuehl"/>
          <w:sz w:val="26"/>
          <w:rtl/>
        </w:rPr>
      </w:pPr>
    </w:p>
    <w:p w14:paraId="70CB8A35" w14:textId="77777777" w:rsidR="00A47B9E" w:rsidRDefault="00A47B9E">
      <w:pPr>
        <w:pStyle w:val="P00"/>
        <w:spacing w:before="72"/>
        <w:ind w:left="0" w:right="1134"/>
        <w:rPr>
          <w:rFonts w:cs="FrankRuehl"/>
          <w:sz w:val="26"/>
          <w:rtl/>
        </w:rPr>
      </w:pPr>
    </w:p>
    <w:p w14:paraId="4B82091E" w14:textId="77777777" w:rsidR="00A47B9E" w:rsidRDefault="00A47B9E">
      <w:pPr>
        <w:pStyle w:val="page"/>
        <w:widowControl/>
        <w:ind w:right="1134"/>
        <w:rPr>
          <w:rFonts w:cs="David"/>
          <w:position w:val="0"/>
          <w:sz w:val="22"/>
          <w:rtl/>
        </w:rPr>
      </w:pPr>
      <w:r>
        <w:rPr>
          <w:rFonts w:cs="David"/>
          <w:position w:val="0"/>
          <w:sz w:val="22"/>
          <w:rtl/>
        </w:rPr>
        <w:t xml:space="preserve"> </w:t>
      </w:r>
    </w:p>
    <w:p w14:paraId="56A4AA06" w14:textId="77777777" w:rsidR="00A47B9E" w:rsidRDefault="00A47B9E">
      <w:pPr>
        <w:pStyle w:val="page"/>
        <w:widowControl/>
        <w:ind w:right="1134"/>
        <w:rPr>
          <w:rFonts w:cs="David"/>
          <w:position w:val="0"/>
          <w:sz w:val="22"/>
          <w:rtl/>
        </w:rPr>
      </w:pPr>
    </w:p>
    <w:p w14:paraId="061B9820" w14:textId="77777777" w:rsidR="00A47B9E" w:rsidRDefault="00A47B9E">
      <w:pPr>
        <w:pStyle w:val="page"/>
        <w:widowControl/>
        <w:ind w:right="1134"/>
        <w:rPr>
          <w:rFonts w:cs="David"/>
          <w:position w:val="0"/>
          <w:sz w:val="22"/>
          <w:rtl/>
        </w:rPr>
      </w:pPr>
    </w:p>
    <w:p w14:paraId="6BA7C556" w14:textId="77777777" w:rsidR="00A47B9E" w:rsidRDefault="00A47B9E">
      <w:pPr>
        <w:ind w:right="1134"/>
        <w:rPr>
          <w:rFonts w:cs="David"/>
          <w:sz w:val="24"/>
          <w:rtl/>
        </w:rPr>
      </w:pPr>
      <w:bookmarkStart w:id="17" w:name="LawPartEnd"/>
    </w:p>
    <w:bookmarkEnd w:id="17"/>
    <w:p w14:paraId="1E4A598C" w14:textId="77777777" w:rsidR="00F56F0D" w:rsidRDefault="00F56F0D">
      <w:pPr>
        <w:ind w:right="1134"/>
        <w:rPr>
          <w:rFonts w:cs="David"/>
          <w:sz w:val="24"/>
          <w:rtl/>
        </w:rPr>
      </w:pPr>
    </w:p>
    <w:p w14:paraId="255A1984" w14:textId="77777777" w:rsidR="00F56F0D" w:rsidRDefault="00F56F0D">
      <w:pPr>
        <w:ind w:right="1134"/>
        <w:rPr>
          <w:rFonts w:cs="David"/>
          <w:sz w:val="24"/>
          <w:rtl/>
        </w:rPr>
      </w:pPr>
    </w:p>
    <w:p w14:paraId="0C91A5A3" w14:textId="77777777" w:rsidR="00F56F0D" w:rsidRDefault="00F56F0D" w:rsidP="00F56F0D">
      <w:pPr>
        <w:ind w:right="1134"/>
        <w:jc w:val="center"/>
        <w:rPr>
          <w:rFonts w:cs="David"/>
          <w:color w:val="0000FF"/>
          <w:sz w:val="24"/>
          <w:u w:val="single"/>
          <w:rtl/>
        </w:rPr>
      </w:pPr>
      <w:hyperlink r:id="rId6" w:history="1">
        <w:r>
          <w:rPr>
            <w:rStyle w:val="Hyperlink"/>
            <w:rtl/>
          </w:rPr>
          <w:t>הודעה למנויים על עריכה ושינויים במסמכי פסיקה, חקיקה ועוד באתר נבו - הקש כאן</w:t>
        </w:r>
      </w:hyperlink>
    </w:p>
    <w:p w14:paraId="4A8C1909" w14:textId="77777777" w:rsidR="00F31767" w:rsidRDefault="00F31767" w:rsidP="00F56F0D">
      <w:pPr>
        <w:ind w:right="1134"/>
        <w:jc w:val="center"/>
        <w:rPr>
          <w:rFonts w:cs="David"/>
          <w:color w:val="0000FF"/>
          <w:sz w:val="24"/>
          <w:u w:val="single"/>
          <w:rtl/>
        </w:rPr>
      </w:pPr>
    </w:p>
    <w:p w14:paraId="7BA9384C" w14:textId="77777777" w:rsidR="00F31767" w:rsidRDefault="00F31767" w:rsidP="00F56F0D">
      <w:pPr>
        <w:ind w:right="1134"/>
        <w:jc w:val="center"/>
        <w:rPr>
          <w:rFonts w:cs="David"/>
          <w:color w:val="0000FF"/>
          <w:sz w:val="24"/>
          <w:u w:val="single"/>
          <w:rtl/>
        </w:rPr>
      </w:pPr>
    </w:p>
    <w:p w14:paraId="25E1A722" w14:textId="77777777" w:rsidR="00F31767" w:rsidRDefault="00F31767" w:rsidP="00F31767">
      <w:pPr>
        <w:ind w:right="1134"/>
        <w:jc w:val="center"/>
        <w:rPr>
          <w:rFonts w:cs="David"/>
          <w:color w:val="0000FF"/>
          <w:sz w:val="24"/>
          <w:u w:val="single"/>
          <w:rtl/>
        </w:rPr>
      </w:pPr>
      <w:hyperlink r:id="rId7" w:history="1">
        <w:r>
          <w:rPr>
            <w:rFonts w:cs="David"/>
            <w:color w:val="0000FF"/>
            <w:sz w:val="24"/>
            <w:u w:val="single"/>
            <w:rtl/>
          </w:rPr>
          <w:t>הודעה למנויים על עריכה ושינויים במסמכי פסיקה, חקיקה ועוד באתר נבו - הקש כאן</w:t>
        </w:r>
      </w:hyperlink>
    </w:p>
    <w:p w14:paraId="5CD59000" w14:textId="77777777" w:rsidR="00A47B9E" w:rsidRPr="00F31767" w:rsidRDefault="00A47B9E" w:rsidP="00F31767">
      <w:pPr>
        <w:ind w:right="1134"/>
        <w:jc w:val="center"/>
        <w:rPr>
          <w:rFonts w:cs="David"/>
          <w:color w:val="0000FF"/>
          <w:sz w:val="24"/>
          <w:u w:val="single"/>
          <w:rtl/>
        </w:rPr>
      </w:pPr>
    </w:p>
    <w:sectPr w:rsidR="00A47B9E" w:rsidRPr="00F31767">
      <w:headerReference w:type="even" r:id="rId8"/>
      <w:headerReference w:type="default" r:id="rId9"/>
      <w:footerReference w:type="even" r:id="rId10"/>
      <w:footerReference w:type="default" r:id="rId11"/>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5D91BD" w14:textId="77777777" w:rsidR="00A47B9E" w:rsidRDefault="00A47B9E">
      <w:r>
        <w:separator/>
      </w:r>
    </w:p>
  </w:endnote>
  <w:endnote w:type="continuationSeparator" w:id="0">
    <w:p w14:paraId="6090991B" w14:textId="77777777" w:rsidR="00A47B9E" w:rsidRDefault="00A47B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David">
    <w:panose1 w:val="020E0502060401010101"/>
    <w:charset w:val="00"/>
    <w:family w:val="swiss"/>
    <w:pitch w:val="variable"/>
    <w:sig w:usb0="00000803" w:usb1="00000000" w:usb2="00000000" w:usb3="00000000" w:csb0="00000021" w:csb1="00000000"/>
  </w:font>
  <w:font w:name="TopType Jerushalmi">
    <w:altName w:val="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D307B3" w14:textId="77777777" w:rsidR="00A47B9E" w:rsidRDefault="00A47B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14:paraId="33DB485A" w14:textId="77777777" w:rsidR="00A47B9E" w:rsidRDefault="00A47B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7E738054" w14:textId="77777777" w:rsidR="00A47B9E" w:rsidRDefault="00A47B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1767">
      <w:rPr>
        <w:rFonts w:cs="TopType Jerushalmi"/>
        <w:noProof/>
        <w:color w:val="000000"/>
        <w:sz w:val="14"/>
        <w:szCs w:val="14"/>
      </w:rPr>
      <w:t>Z:\00000000000000000000000=2014------------------------\05-May\2014-05-28\LawsForHofit\01\066_005.doc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BEF8F7" w14:textId="77777777" w:rsidR="00A47B9E" w:rsidRDefault="00A47B9E">
    <w:pPr>
      <w:pStyle w:val="a4"/>
      <w:ind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F31767">
      <w:rPr>
        <w:rFonts w:hAnsi="FrankRuehl" w:cs="FrankRuehl"/>
        <w:noProof/>
        <w:sz w:val="24"/>
        <w:szCs w:val="24"/>
        <w:rtl/>
      </w:rPr>
      <w:t>5</w:t>
    </w:r>
    <w:r>
      <w:rPr>
        <w:rFonts w:hAnsi="FrankRuehl" w:cs="FrankRuehl"/>
        <w:sz w:val="24"/>
        <w:szCs w:val="24"/>
        <w:rtl/>
      </w:rPr>
      <w:fldChar w:fldCharType="end"/>
    </w:r>
  </w:p>
  <w:p w14:paraId="0F6200E3" w14:textId="77777777" w:rsidR="00A47B9E" w:rsidRDefault="00A47B9E">
    <w:pPr>
      <w:pStyle w:val="a4"/>
      <w:pBdr>
        <w:top w:val="single" w:sz="4" w:space="1" w:color="auto"/>
        <w:between w:val="single" w:sz="4" w:space="0" w:color="auto"/>
      </w:pBdr>
      <w:spacing w:after="60" w:line="240" w:lineRule="auto"/>
      <w:ind w:right="1134"/>
      <w:jc w:val="center"/>
      <w:rPr>
        <w:rFonts w:cs="TopType Jerushalmi"/>
        <w:color w:val="000000"/>
        <w:sz w:val="28"/>
        <w:rtl/>
      </w:rPr>
    </w:pPr>
    <w:r>
      <w:rPr>
        <w:rFonts w:cs="TopType Jerushalmi"/>
        <w:color w:val="000000"/>
        <w:sz w:val="28"/>
        <w:rtl/>
      </w:rPr>
      <w:t xml:space="preserve">נבו הוצאה לאור בע"מ  </w:t>
    </w:r>
    <w:r>
      <w:rPr>
        <w:rFonts w:cs="TopType Jerushalmi"/>
        <w:color w:val="000000"/>
        <w:sz w:val="28"/>
      </w:rPr>
      <w:t>nevo.co.il</w:t>
    </w:r>
    <w:r>
      <w:rPr>
        <w:rFonts w:cs="TopType Jerushalmi"/>
        <w:color w:val="000000"/>
        <w:sz w:val="28"/>
        <w:rtl/>
      </w:rPr>
      <w:t xml:space="preserve">   המאגר המשפטי הישראלי</w:t>
    </w:r>
  </w:p>
  <w:p w14:paraId="3DC8C02F" w14:textId="77777777" w:rsidR="00A47B9E" w:rsidRDefault="00A47B9E">
    <w:pPr>
      <w:pStyle w:val="a4"/>
      <w:pBdr>
        <w:top w:val="single" w:sz="4" w:space="1" w:color="auto"/>
        <w:between w:val="single" w:sz="4" w:space="0" w:color="auto"/>
      </w:pBdr>
      <w:spacing w:line="240" w:lineRule="auto"/>
      <w:ind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sidR="00F31767">
      <w:rPr>
        <w:rFonts w:cs="TopType Jerushalmi"/>
        <w:noProof/>
        <w:color w:val="000000"/>
        <w:sz w:val="14"/>
        <w:szCs w:val="14"/>
      </w:rPr>
      <w:t>Z:\00000000000000000000000=2014------------------------\05-May\2014-05-28\LawsForHofit\01\066_005.doc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F778C7" w14:textId="77777777" w:rsidR="00A47B9E" w:rsidRDefault="00A47B9E">
      <w:r>
        <w:separator/>
      </w:r>
    </w:p>
  </w:footnote>
  <w:footnote w:type="continuationSeparator" w:id="0">
    <w:p w14:paraId="7E30A755" w14:textId="77777777" w:rsidR="00A47B9E" w:rsidRDefault="00A47B9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A9771A" w14:textId="77777777" w:rsidR="00A47B9E" w:rsidRDefault="00A47B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דבר המלך במועצה על ארץ-ישראל (הגנה), 1937</w:t>
    </w:r>
  </w:p>
  <w:p w14:paraId="134AEF46" w14:textId="77777777" w:rsidR="00A47B9E" w:rsidRDefault="00A47B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3CCA0734" w14:textId="77777777" w:rsidR="00A47B9E" w:rsidRDefault="00A47B9E">
    <w:pPr>
      <w:pStyle w:val="a3"/>
      <w:pBdr>
        <w:top w:val="single" w:sz="4" w:space="0" w:color="auto"/>
      </w:pBdr>
      <w:spacing w:line="220" w:lineRule="exact"/>
      <w:ind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861939" w14:textId="77777777" w:rsidR="00A47B9E" w:rsidRDefault="00A47B9E">
    <w:pPr>
      <w:pStyle w:val="a3"/>
      <w:spacing w:line="220" w:lineRule="exact"/>
      <w:ind w:right="1134"/>
      <w:jc w:val="center"/>
      <w:rPr>
        <w:rFonts w:hAnsi="FrankRuehl" w:cs="FrankRuehl"/>
        <w:color w:val="000000"/>
        <w:sz w:val="28"/>
        <w:szCs w:val="28"/>
        <w:rtl/>
      </w:rPr>
    </w:pPr>
    <w:r>
      <w:rPr>
        <w:rFonts w:hAnsi="FrankRuehl" w:cs="FrankRuehl"/>
        <w:color w:val="000000"/>
        <w:sz w:val="28"/>
        <w:szCs w:val="28"/>
        <w:rtl/>
      </w:rPr>
      <w:t>דבר המלך במועצה על ארץ-ישראל (הגנה), 1937</w:t>
    </w:r>
  </w:p>
  <w:p w14:paraId="0282580F" w14:textId="77777777" w:rsidR="00A47B9E" w:rsidRDefault="00A47B9E">
    <w:pPr>
      <w:pStyle w:val="a3"/>
      <w:pBdr>
        <w:top w:val="single" w:sz="4" w:space="0" w:color="auto"/>
      </w:pBdr>
      <w:spacing w:line="220" w:lineRule="exact"/>
      <w:ind w:right="1134"/>
      <w:jc w:val="center"/>
      <w:rPr>
        <w:rFonts w:hAnsi="FrankRuehl" w:cs="FrankRuehl"/>
        <w:color w:val="000000"/>
        <w:sz w:val="26"/>
        <w:szCs w:val="26"/>
        <w:rtl/>
      </w:rPr>
    </w:pPr>
    <w:r>
      <w:rPr>
        <w:rFonts w:hAnsi="FrankRuehl" w:cs="FrankRuehl"/>
        <w:color w:val="000000"/>
        <w:sz w:val="26"/>
        <w:szCs w:val="26"/>
        <w:rtl/>
      </w:rPr>
      <w:t>נוסח מלא ומעודכן</w:t>
    </w:r>
  </w:p>
  <w:p w14:paraId="5D78DB57" w14:textId="77777777" w:rsidR="00A47B9E" w:rsidRDefault="00A47B9E">
    <w:pPr>
      <w:pStyle w:val="a3"/>
      <w:pBdr>
        <w:top w:val="single" w:sz="4" w:space="0" w:color="auto"/>
      </w:pBdr>
      <w:spacing w:line="220" w:lineRule="exact"/>
      <w:ind w:right="1134"/>
      <w:jc w:val="center"/>
      <w:rPr>
        <w:rFonts w:hAnsi="FrankRuehl" w:cs="FrankRuehl"/>
        <w:color w:val="000000"/>
        <w:sz w:val="26"/>
        <w:szCs w:val="26"/>
        <w:rtl/>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87DC5"/>
    <w:rsid w:val="00587DC5"/>
    <w:rsid w:val="007723D0"/>
    <w:rsid w:val="00A47B9E"/>
    <w:rsid w:val="00F31767"/>
    <w:rsid w:val="00F56F0D"/>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0824551A"/>
  <w15:chartTrackingRefBased/>
  <w15:docId w15:val="{6EBC9204-F0AA-4265-B645-6C0137DAF8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noProof/>
      <w:sz w:val="20"/>
      <w:szCs w:val="32"/>
    </w:rPr>
  </w:style>
  <w:style w:type="paragraph" w:customStyle="1" w:styleId="P00">
    <w:name w:val="P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character" w:customStyle="1" w:styleId="default">
    <w:name w:val="default"/>
    <w:basedOn w:val="a0"/>
    <w:rPr>
      <w:rFonts w:ascii="Times New Roman" w:hAnsi="Times New Roman" w:cs="Times New Roman"/>
      <w:sz w:val="26"/>
      <w:szCs w:val="26"/>
    </w:rPr>
  </w:style>
  <w:style w:type="character" w:customStyle="1" w:styleId="big-number">
    <w:name w:val="big-number"/>
    <w:basedOn w:val="default"/>
    <w:rPr>
      <w:rFonts w:ascii="Times New Roman" w:hAnsi="Times New Roman" w:cs="Times New Roman"/>
      <w:sz w:val="32"/>
      <w:szCs w:val="32"/>
    </w:rPr>
  </w:style>
  <w:style w:type="paragraph" w:customStyle="1" w:styleId="medium-header">
    <w:name w:val="medium-header"/>
    <w:basedOn w:val="P00"/>
    <w:pPr>
      <w:keepNext/>
      <w:keepLines/>
      <w:tabs>
        <w:tab w:val="clear" w:pos="6259"/>
      </w:tabs>
      <w:spacing w:before="72"/>
      <w:jc w:val="center"/>
    </w:pPr>
  </w:style>
  <w:style w:type="character" w:customStyle="1" w:styleId="super">
    <w:name w:val="super"/>
    <w:basedOn w:val="default"/>
    <w:rPr>
      <w:rFonts w:ascii="Times New Roman" w:hAnsi="Times New Roman" w:cs="Times New Roman"/>
      <w:position w:val="4"/>
      <w:sz w:val="16"/>
      <w:szCs w:val="16"/>
      <w:lang w:val="en-US" w:eastAsia="x-none"/>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tabs>
        <w:tab w:val="center" w:pos="4153"/>
        <w:tab w:val="right" w:pos="8306"/>
      </w:tabs>
    </w:pPr>
    <w:rPr>
      <w:szCs w:val="22"/>
    </w:rPr>
  </w:style>
  <w:style w:type="paragraph" w:styleId="a4">
    <w:name w:val="footer"/>
    <w:basedOn w:val="a"/>
    <w:pPr>
      <w:tabs>
        <w:tab w:val="center" w:pos="4153"/>
        <w:tab w:val="right" w:pos="8306"/>
      </w:tabs>
    </w:pPr>
    <w:rPr>
      <w:szCs w:val="22"/>
    </w:rPr>
  </w:style>
  <w:style w:type="character" w:styleId="Hyperlink">
    <w:name w:val="Hyperlink"/>
    <w:basedOn w:val="a0"/>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www.nevo.co.il/advertisements/nevo-100.doc" TargetMode="External"/><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www.nevo.co.il/advertisements/nevo-100.doc" TargetMode="External"/><Relationship Id="rId11" Type="http://schemas.openxmlformats.org/officeDocument/2006/relationships/footer" Target="footer2.xml"/><Relationship Id="rId5" Type="http://schemas.openxmlformats.org/officeDocument/2006/relationships/endnotes" Target="endnotes.xml"/><Relationship Id="rId10"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eader" Target="header2.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1432</Words>
  <Characters>8164</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9577</CharactersWithSpaces>
  <SharedDoc>false</SharedDoc>
  <HLinks>
    <vt:vector size="114" baseType="variant">
      <vt:variant>
        <vt:i4>393283</vt:i4>
      </vt:variant>
      <vt:variant>
        <vt:i4>105</vt:i4>
      </vt:variant>
      <vt:variant>
        <vt:i4>0</vt:i4>
      </vt:variant>
      <vt:variant>
        <vt:i4>5</vt:i4>
      </vt:variant>
      <vt:variant>
        <vt:lpwstr>http://www.nevo.co.il/advertisements/nevo-100.doc</vt:lpwstr>
      </vt:variant>
      <vt:variant>
        <vt:lpwstr/>
      </vt:variant>
      <vt:variant>
        <vt:i4>393283</vt:i4>
      </vt:variant>
      <vt:variant>
        <vt:i4>102</vt:i4>
      </vt:variant>
      <vt:variant>
        <vt:i4>0</vt:i4>
      </vt:variant>
      <vt:variant>
        <vt:i4>5</vt:i4>
      </vt:variant>
      <vt:variant>
        <vt:lpwstr>http://www.nevo.co.il/advertisements/nevo-100.doc</vt:lpwstr>
      </vt:variant>
      <vt:variant>
        <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3342379</vt:i4>
      </vt:variant>
      <vt:variant>
        <vt:i4>84</vt:i4>
      </vt:variant>
      <vt:variant>
        <vt:i4>0</vt:i4>
      </vt:variant>
      <vt:variant>
        <vt:i4>5</vt:i4>
      </vt:variant>
      <vt:variant>
        <vt:lpwstr/>
      </vt:variant>
      <vt:variant>
        <vt:lpwstr>Seif10</vt:lpwstr>
      </vt:variant>
      <vt:variant>
        <vt:i4>196634</vt:i4>
      </vt:variant>
      <vt:variant>
        <vt:i4>78</vt:i4>
      </vt:variant>
      <vt:variant>
        <vt:i4>0</vt:i4>
      </vt:variant>
      <vt:variant>
        <vt:i4>5</vt:i4>
      </vt:variant>
      <vt:variant>
        <vt:lpwstr/>
      </vt:variant>
      <vt:variant>
        <vt:lpwstr>Seif9</vt:lpwstr>
      </vt:variant>
      <vt:variant>
        <vt:i4>196634</vt:i4>
      </vt:variant>
      <vt:variant>
        <vt:i4>72</vt:i4>
      </vt:variant>
      <vt:variant>
        <vt:i4>0</vt:i4>
      </vt:variant>
      <vt:variant>
        <vt:i4>5</vt:i4>
      </vt:variant>
      <vt:variant>
        <vt:lpwstr/>
      </vt:variant>
      <vt:variant>
        <vt:lpwstr>Seif8</vt:lpwstr>
      </vt:variant>
      <vt:variant>
        <vt:i4>196634</vt:i4>
      </vt:variant>
      <vt:variant>
        <vt:i4>66</vt:i4>
      </vt:variant>
      <vt:variant>
        <vt:i4>0</vt:i4>
      </vt:variant>
      <vt:variant>
        <vt:i4>5</vt:i4>
      </vt:variant>
      <vt:variant>
        <vt:lpwstr/>
      </vt:variant>
      <vt:variant>
        <vt:lpwstr>Seif7</vt:lpwstr>
      </vt:variant>
      <vt:variant>
        <vt:i4>5308425</vt:i4>
      </vt:variant>
      <vt:variant>
        <vt:i4>60</vt:i4>
      </vt:variant>
      <vt:variant>
        <vt:i4>0</vt:i4>
      </vt:variant>
      <vt:variant>
        <vt:i4>5</vt:i4>
      </vt:variant>
      <vt:variant>
        <vt:lpwstr/>
      </vt:variant>
      <vt:variant>
        <vt:lpwstr>med4</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Seif6</vt:lpwstr>
      </vt:variant>
      <vt:variant>
        <vt:i4>196634</vt:i4>
      </vt:variant>
      <vt:variant>
        <vt:i4>42</vt:i4>
      </vt:variant>
      <vt:variant>
        <vt:i4>0</vt:i4>
      </vt:variant>
      <vt:variant>
        <vt:i4>5</vt:i4>
      </vt:variant>
      <vt:variant>
        <vt:lpwstr/>
      </vt:variant>
      <vt:variant>
        <vt:lpwstr>Seif5</vt:lpwstr>
      </vt:variant>
      <vt:variant>
        <vt:i4>5701641</vt:i4>
      </vt:variant>
      <vt:variant>
        <vt:i4>36</vt:i4>
      </vt:variant>
      <vt:variant>
        <vt:i4>0</vt:i4>
      </vt:variant>
      <vt:variant>
        <vt:i4>5</vt:i4>
      </vt:variant>
      <vt:variant>
        <vt:lpwstr/>
      </vt:variant>
      <vt:variant>
        <vt:lpwstr>med2</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Seif4</vt:lpwstr>
      </vt:variant>
      <vt:variant>
        <vt:i4>196634</vt:i4>
      </vt:variant>
      <vt:variant>
        <vt:i4>18</vt:i4>
      </vt:variant>
      <vt:variant>
        <vt:i4>0</vt:i4>
      </vt:variant>
      <vt:variant>
        <vt:i4>5</vt:i4>
      </vt:variant>
      <vt:variant>
        <vt:lpwstr/>
      </vt:variant>
      <vt:variant>
        <vt:lpwstr>Seif3</vt:lpwstr>
      </vt:variant>
      <vt:variant>
        <vt:i4>196634</vt:i4>
      </vt:variant>
      <vt:variant>
        <vt:i4>12</vt:i4>
      </vt:variant>
      <vt:variant>
        <vt:i4>0</vt:i4>
      </vt:variant>
      <vt:variant>
        <vt:i4>5</vt:i4>
      </vt:variant>
      <vt:variant>
        <vt:lpwstr/>
      </vt:variant>
      <vt:variant>
        <vt:lpwstr>Seif2</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2023-06-05T18:48:00Z</dcterms:created>
  <dcterms:modified xsi:type="dcterms:W3CDTF">2023-06-05T18:48:00Z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0066</vt:lpwstr>
  </property>
  <property fmtid="{D5CDD505-2E9C-101B-9397-08002B2CF9AE}" pid="3" name="CHNAME">
    <vt:lpwstr>דברי המלך במועצה על ארץ-ישראל</vt:lpwstr>
  </property>
  <property fmtid="{D5CDD505-2E9C-101B-9397-08002B2CF9AE}" pid="4" name="LAWNAME">
    <vt:lpwstr>דבר המלך במועצה על ארץ-ישראל (הגנה), 1937</vt:lpwstr>
  </property>
  <property fmtid="{D5CDD505-2E9C-101B-9397-08002B2CF9AE}" pid="5" name="LAWNUMBER">
    <vt:lpwstr>0005</vt:lpwstr>
  </property>
  <property fmtid="{D5CDD505-2E9C-101B-9397-08002B2CF9AE}" pid="6" name="TYPE">
    <vt:lpwstr>01</vt:lpwstr>
  </property>
  <property fmtid="{D5CDD505-2E9C-101B-9397-08002B2CF9AE}" pid="7" name="NOSE11">
    <vt:lpwstr>דיני חוקה </vt:lpwstr>
  </property>
  <property fmtid="{D5CDD505-2E9C-101B-9397-08002B2CF9AE}" pid="8" name="NOSE21">
    <vt:lpwstr>פרשנות ויסודות המשפט</vt:lpwstr>
  </property>
  <property fmtid="{D5CDD505-2E9C-101B-9397-08002B2CF9AE}" pid="9" name="NOSE31">
    <vt:lpwstr>דבר המלך במועצה</vt:lpwstr>
  </property>
  <property fmtid="{D5CDD505-2E9C-101B-9397-08002B2CF9AE}" pid="10" name="NOSE41">
    <vt:lpwstr/>
  </property>
  <property fmtid="{D5CDD505-2E9C-101B-9397-08002B2CF9AE}" pid="11" name="NOSE12">
    <vt:lpwstr/>
  </property>
  <property fmtid="{D5CDD505-2E9C-101B-9397-08002B2CF9AE}" pid="12" name="NOSE22">
    <vt:lpwstr/>
  </property>
  <property fmtid="{D5CDD505-2E9C-101B-9397-08002B2CF9AE}" pid="13" name="NOSE32">
    <vt:lpwstr/>
  </property>
  <property fmtid="{D5CDD505-2E9C-101B-9397-08002B2CF9AE}" pid="14" name="NOSE42">
    <vt:lpwstr/>
  </property>
  <property fmtid="{D5CDD505-2E9C-101B-9397-08002B2CF9AE}" pid="15" name="NOSE13">
    <vt:lpwstr/>
  </property>
  <property fmtid="{D5CDD505-2E9C-101B-9397-08002B2CF9AE}" pid="16" name="NOSE23">
    <vt:lpwstr/>
  </property>
  <property fmtid="{D5CDD505-2E9C-101B-9397-08002B2CF9AE}" pid="17" name="NOSE33">
    <vt:lpwstr/>
  </property>
  <property fmtid="{D5CDD505-2E9C-101B-9397-08002B2CF9AE}" pid="18" name="NOSE43">
    <vt:lpwstr/>
  </property>
  <property fmtid="{D5CDD505-2E9C-101B-9397-08002B2CF9AE}" pid="19" name="NOSE14">
    <vt:lpwstr/>
  </property>
  <property fmtid="{D5CDD505-2E9C-101B-9397-08002B2CF9AE}" pid="20" name="NOSE24">
    <vt:lpwstr/>
  </property>
  <property fmtid="{D5CDD505-2E9C-101B-9397-08002B2CF9AE}" pid="21" name="NOSE34">
    <vt:lpwstr/>
  </property>
  <property fmtid="{D5CDD505-2E9C-101B-9397-08002B2CF9AE}" pid="22" name="NOSE44">
    <vt:lpwstr/>
  </property>
  <property fmtid="{D5CDD505-2E9C-101B-9397-08002B2CF9AE}" pid="23" name="NOSE15">
    <vt:lpwstr/>
  </property>
  <property fmtid="{D5CDD505-2E9C-101B-9397-08002B2CF9AE}" pid="24" name="NOSE25">
    <vt:lpwstr/>
  </property>
  <property fmtid="{D5CDD505-2E9C-101B-9397-08002B2CF9AE}" pid="25" name="NOSE35">
    <vt:lpwstr/>
  </property>
  <property fmtid="{D5CDD505-2E9C-101B-9397-08002B2CF9AE}" pid="26" name="NOSE45">
    <vt:lpwstr/>
  </property>
  <property fmtid="{D5CDD505-2E9C-101B-9397-08002B2CF9AE}" pid="27" name="NOSE16">
    <vt:lpwstr/>
  </property>
  <property fmtid="{D5CDD505-2E9C-101B-9397-08002B2CF9AE}" pid="28" name="NOSE26">
    <vt:lpwstr/>
  </property>
  <property fmtid="{D5CDD505-2E9C-101B-9397-08002B2CF9AE}" pid="29" name="NOSE36">
    <vt:lpwstr/>
  </property>
  <property fmtid="{D5CDD505-2E9C-101B-9397-08002B2CF9AE}" pid="30" name="NOSE46">
    <vt:lpwstr/>
  </property>
  <property fmtid="{D5CDD505-2E9C-101B-9397-08002B2CF9AE}" pid="31" name="NOSE17">
    <vt:lpwstr/>
  </property>
  <property fmtid="{D5CDD505-2E9C-101B-9397-08002B2CF9AE}" pid="32" name="NOSE27">
    <vt:lpwstr/>
  </property>
  <property fmtid="{D5CDD505-2E9C-101B-9397-08002B2CF9AE}" pid="33" name="NOSE37">
    <vt:lpwstr/>
  </property>
  <property fmtid="{D5CDD505-2E9C-101B-9397-08002B2CF9AE}" pid="34" name="NOSE47">
    <vt:lpwstr/>
  </property>
  <property fmtid="{D5CDD505-2E9C-101B-9397-08002B2CF9AE}" pid="35" name="NOSE18">
    <vt:lpwstr/>
  </property>
  <property fmtid="{D5CDD505-2E9C-101B-9397-08002B2CF9AE}" pid="36" name="NOSE28">
    <vt:lpwstr/>
  </property>
  <property fmtid="{D5CDD505-2E9C-101B-9397-08002B2CF9AE}" pid="37" name="NOSE38">
    <vt:lpwstr/>
  </property>
  <property fmtid="{D5CDD505-2E9C-101B-9397-08002B2CF9AE}" pid="38" name="NOSE48">
    <vt:lpwstr/>
  </property>
  <property fmtid="{D5CDD505-2E9C-101B-9397-08002B2CF9AE}" pid="39" name="NOSE19">
    <vt:lpwstr/>
  </property>
  <property fmtid="{D5CDD505-2E9C-101B-9397-08002B2CF9AE}" pid="40" name="NOSE29">
    <vt:lpwstr/>
  </property>
  <property fmtid="{D5CDD505-2E9C-101B-9397-08002B2CF9AE}" pid="41" name="NOSE39">
    <vt:lpwstr/>
  </property>
  <property fmtid="{D5CDD505-2E9C-101B-9397-08002B2CF9AE}" pid="42" name="NOSE49">
    <vt:lpwstr/>
  </property>
  <property fmtid="{D5CDD505-2E9C-101B-9397-08002B2CF9AE}" pid="43" name="NOSE110">
    <vt:lpwstr/>
  </property>
  <property fmtid="{D5CDD505-2E9C-101B-9397-08002B2CF9AE}" pid="44" name="NOSE210">
    <vt:lpwstr/>
  </property>
  <property fmtid="{D5CDD505-2E9C-101B-9397-08002B2CF9AE}" pid="45" name="NOSE310">
    <vt:lpwstr/>
  </property>
  <property fmtid="{D5CDD505-2E9C-101B-9397-08002B2CF9AE}" pid="46" name="NOSE410">
    <vt:lpwstr/>
  </property>
</Properties>
</file>