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E44E" w14:textId="77777777" w:rsidR="0053296E" w:rsidRDefault="0053296E">
      <w:pPr>
        <w:pStyle w:val="big-header"/>
        <w:ind w:left="0" w:right="1134"/>
        <w:rPr>
          <w:rFonts w:cs="FrankRuehl"/>
          <w:sz w:val="32"/>
        </w:rPr>
      </w:pPr>
      <w:r>
        <w:rPr>
          <w:rFonts w:cs="FrankRuehl" w:hint="cs"/>
          <w:sz w:val="32"/>
          <w:rtl/>
        </w:rPr>
        <w:t>ד</w:t>
      </w:r>
      <w:r>
        <w:rPr>
          <w:rFonts w:cs="FrankRuehl"/>
          <w:sz w:val="32"/>
          <w:rtl/>
        </w:rPr>
        <w:t>ב</w:t>
      </w:r>
      <w:r>
        <w:rPr>
          <w:rFonts w:cs="FrankRuehl" w:hint="cs"/>
          <w:sz w:val="32"/>
          <w:rtl/>
        </w:rPr>
        <w:t>רי המלך במועצה על ארץ-ישראל</w:t>
      </w:r>
    </w:p>
    <w:p w14:paraId="34815928" w14:textId="77777777" w:rsidR="00593193" w:rsidRPr="00593193" w:rsidRDefault="00593193" w:rsidP="00593193">
      <w:pPr>
        <w:spacing w:line="320" w:lineRule="auto"/>
        <w:jc w:val="left"/>
        <w:rPr>
          <w:rFonts w:cs="FrankRuehl"/>
          <w:szCs w:val="26"/>
          <w:rtl/>
        </w:rPr>
      </w:pPr>
    </w:p>
    <w:p w14:paraId="61461EAF" w14:textId="77777777" w:rsidR="00593193" w:rsidRDefault="00593193" w:rsidP="00593193">
      <w:pPr>
        <w:spacing w:line="320" w:lineRule="auto"/>
        <w:jc w:val="left"/>
        <w:rPr>
          <w:rtl/>
        </w:rPr>
      </w:pPr>
    </w:p>
    <w:p w14:paraId="5A140088" w14:textId="77777777" w:rsidR="00593193" w:rsidRPr="00593193" w:rsidRDefault="00593193" w:rsidP="00593193">
      <w:pPr>
        <w:spacing w:line="320" w:lineRule="auto"/>
        <w:jc w:val="left"/>
        <w:rPr>
          <w:rFonts w:cs="Miriam"/>
          <w:szCs w:val="22"/>
          <w:rtl/>
        </w:rPr>
      </w:pPr>
      <w:r w:rsidRPr="00593193">
        <w:rPr>
          <w:rFonts w:cs="Miriam"/>
          <w:szCs w:val="22"/>
          <w:rtl/>
        </w:rPr>
        <w:t>רשויות ומשפט מנהלי</w:t>
      </w:r>
      <w:r w:rsidRPr="00593193">
        <w:rPr>
          <w:rFonts w:cs="FrankRuehl"/>
          <w:szCs w:val="26"/>
          <w:rtl/>
        </w:rPr>
        <w:t xml:space="preserve"> – רבנות ושירותי דת – מקומות קדושים</w:t>
      </w:r>
    </w:p>
    <w:p w14:paraId="4C653CE5" w14:textId="77777777" w:rsidR="0053296E" w:rsidRDefault="0053296E">
      <w:pPr>
        <w:pStyle w:val="big-header"/>
        <w:ind w:left="0" w:right="1134"/>
        <w:rPr>
          <w:rStyle w:val="default"/>
          <w:rFonts w:cs="FrankRuehl"/>
          <w:rtl/>
        </w:rPr>
      </w:pPr>
      <w:r>
        <w:rPr>
          <w:rFonts w:cs="FrankRuehl"/>
          <w:sz w:val="32"/>
          <w:rtl/>
        </w:rPr>
        <w:t>דב</w:t>
      </w:r>
      <w:r>
        <w:rPr>
          <w:rFonts w:cs="FrankRuehl" w:hint="cs"/>
          <w:sz w:val="32"/>
          <w:rtl/>
        </w:rPr>
        <w:t>ר המלך במועצה על ארץ-ישראל (המקומות הקדושים), 1924</w:t>
      </w:r>
      <w:r>
        <w:rPr>
          <w:rStyle w:val="super"/>
          <w:rFonts w:cs="Miriam"/>
          <w:noProof w:val="0"/>
          <w:rtl/>
          <w:lang w:eastAsia="he-IL"/>
        </w:rPr>
        <w:t>(3)(*)</w:t>
      </w:r>
    </w:p>
    <w:p w14:paraId="62DDEEB6" w14:textId="77777777" w:rsidR="0053296E" w:rsidRDefault="0053296E">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דב</w:t>
      </w:r>
      <w:r>
        <w:rPr>
          <w:rStyle w:val="default"/>
          <w:rFonts w:cs="FrankRuehl" w:hint="cs"/>
          <w:rtl/>
        </w:rPr>
        <w:t>ר מלך זה ייקרא "דבר המלך במועצה על ארץ-ישראל (המקומות הקדושים), 1924".</w:t>
      </w:r>
    </w:p>
    <w:p w14:paraId="771BADEE" w14:textId="77777777" w:rsidR="0053296E" w:rsidRDefault="0053296E">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למ</w:t>
      </w:r>
      <w:r>
        <w:rPr>
          <w:rStyle w:val="default"/>
          <w:rFonts w:cs="FrankRuehl" w:hint="cs"/>
          <w:rtl/>
        </w:rPr>
        <w:t>רות כל הוראה בדבר המלך במועצה על ארץ-ישראל, 1922, או בכל פקודה אחרת או בכל חוק</w:t>
      </w:r>
      <w:r>
        <w:rPr>
          <w:rStyle w:val="default"/>
          <w:rFonts w:cs="FrankRuehl"/>
          <w:rtl/>
        </w:rPr>
        <w:t xml:space="preserve"> א</w:t>
      </w:r>
      <w:r>
        <w:rPr>
          <w:rStyle w:val="default"/>
          <w:rFonts w:cs="FrankRuehl" w:hint="cs"/>
          <w:rtl/>
        </w:rPr>
        <w:t>חר בישראל, האומרת את ההיפך, לא יבורר ולא יחולט על ידי שום בית משפט בישראל כל משפט או ענין הקשורים במקומות הקדושים או בבנינים הדתיים או במקומות הדתיים בישראל או בזכויות או בתביעות ה</w:t>
      </w:r>
      <w:r>
        <w:rPr>
          <w:rStyle w:val="default"/>
          <w:rFonts w:cs="FrankRuehl"/>
          <w:rtl/>
        </w:rPr>
        <w:t>נ</w:t>
      </w:r>
      <w:r>
        <w:rPr>
          <w:rStyle w:val="default"/>
          <w:rFonts w:cs="FrankRuehl" w:hint="cs"/>
          <w:rtl/>
        </w:rPr>
        <w:t>וגעות לעדות הדתיות השונות בישראל:</w:t>
      </w:r>
    </w:p>
    <w:p w14:paraId="7BEC804A" w14:textId="77777777" w:rsidR="0053296E" w:rsidRDefault="0053296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דבר האמור בזה לא יפגע ולא י</w:t>
      </w:r>
      <w:r>
        <w:rPr>
          <w:rStyle w:val="default"/>
          <w:rFonts w:cs="FrankRuehl"/>
          <w:rtl/>
        </w:rPr>
        <w:t>צמ</w:t>
      </w:r>
      <w:r>
        <w:rPr>
          <w:rStyle w:val="default"/>
          <w:rFonts w:cs="FrankRuehl" w:hint="cs"/>
          <w:rtl/>
        </w:rPr>
        <w:t>צם בשיפוט שהוקנה לבתי הדין הדתיים עפ"י דבר המלך במועצה הנ"ל ובהתאם לו.</w:t>
      </w:r>
    </w:p>
    <w:p w14:paraId="3B028866" w14:textId="77777777" w:rsidR="0053296E" w:rsidRDefault="0053296E">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נת</w:t>
      </w:r>
      <w:r>
        <w:rPr>
          <w:rStyle w:val="default"/>
          <w:rFonts w:cs="FrankRuehl" w:hint="cs"/>
          <w:rtl/>
        </w:rPr>
        <w:t>עוררה שאלה אם איזה משפט או ענין נופלים בגדר הסעיף הקודם, הרי עד שתוקם ועדה שינתן לה השיפוט על ענינים המפ</w:t>
      </w:r>
      <w:r>
        <w:rPr>
          <w:rStyle w:val="default"/>
          <w:rFonts w:cs="FrankRuehl"/>
          <w:rtl/>
        </w:rPr>
        <w:t>ו</w:t>
      </w:r>
      <w:r>
        <w:rPr>
          <w:rStyle w:val="default"/>
          <w:rFonts w:cs="FrankRuehl" w:hint="cs"/>
          <w:rtl/>
        </w:rPr>
        <w:t>רטים בסעיף הקודם, תובא השאלה לפני שר הדתות</w:t>
      </w:r>
      <w:r>
        <w:rPr>
          <w:rStyle w:val="a6"/>
          <w:rFonts w:cs="FrankRuehl"/>
          <w:sz w:val="26"/>
          <w:rtl/>
        </w:rPr>
        <w:footnoteReference w:customMarkFollows="1" w:id="1"/>
        <w:t>*</w:t>
      </w:r>
      <w:r>
        <w:rPr>
          <w:rStyle w:val="default"/>
          <w:rFonts w:cs="FrankRuehl" w:hint="cs"/>
          <w:rtl/>
        </w:rPr>
        <w:t xml:space="preserve">, והוא יחליט בשאלה לאחר שיחקור </w:t>
      </w:r>
      <w:r>
        <w:rPr>
          <w:rStyle w:val="default"/>
          <w:rFonts w:cs="FrankRuehl"/>
          <w:rtl/>
        </w:rPr>
        <w:t>כה</w:t>
      </w:r>
      <w:r>
        <w:rPr>
          <w:rStyle w:val="default"/>
          <w:rFonts w:cs="FrankRuehl" w:hint="cs"/>
          <w:rtl/>
        </w:rPr>
        <w:t>לכה בענין.</w:t>
      </w:r>
    </w:p>
    <w:p w14:paraId="6B379216" w14:textId="77777777" w:rsidR="0053296E" w:rsidRDefault="0053296E">
      <w:pPr>
        <w:pStyle w:val="P00"/>
        <w:spacing w:before="72"/>
        <w:ind w:left="0" w:right="1134"/>
        <w:rPr>
          <w:rStyle w:val="default"/>
          <w:rFonts w:cs="FrankRuehl"/>
          <w:rtl/>
        </w:rPr>
      </w:pPr>
      <w:r>
        <w:rPr>
          <w:rFonts w:cs="FrankRuehl"/>
          <w:sz w:val="26"/>
          <w:rtl/>
        </w:rPr>
        <w:tab/>
      </w:r>
      <w:r>
        <w:rPr>
          <w:rStyle w:val="default"/>
          <w:rFonts w:cs="FrankRuehl"/>
          <w:rtl/>
        </w:rPr>
        <w:t>הח</w:t>
      </w:r>
      <w:r>
        <w:rPr>
          <w:rStyle w:val="default"/>
          <w:rFonts w:cs="FrankRuehl" w:hint="cs"/>
          <w:rtl/>
        </w:rPr>
        <w:t>לטת שר הדתות</w:t>
      </w:r>
      <w:r>
        <w:rPr>
          <w:rStyle w:val="default"/>
          <w:rFonts w:hint="cs"/>
          <w:sz w:val="22"/>
          <w:szCs w:val="22"/>
          <w:rtl/>
        </w:rPr>
        <w:t>*</w:t>
      </w:r>
      <w:r>
        <w:rPr>
          <w:rStyle w:val="default"/>
          <w:rFonts w:cs="FrankRuehl" w:hint="cs"/>
          <w:rtl/>
        </w:rPr>
        <w:t xml:space="preserve"> תהא החלטת גמר ומחייבת את כל הצדדים.</w:t>
      </w:r>
    </w:p>
    <w:p w14:paraId="4DEC3873" w14:textId="77777777" w:rsidR="0053296E" w:rsidRDefault="0053296E">
      <w:pPr>
        <w:pStyle w:val="P00"/>
        <w:spacing w:before="72"/>
        <w:ind w:left="0" w:right="1134"/>
        <w:rPr>
          <w:rStyle w:val="default"/>
          <w:rFonts w:cs="FrankRuehl"/>
          <w:rtl/>
        </w:rPr>
      </w:pPr>
      <w:r>
        <w:rPr>
          <w:rStyle w:val="big-number"/>
          <w:rFonts w:cs="Miriam"/>
          <w:rtl/>
        </w:rPr>
        <w:t>4.</w:t>
      </w:r>
      <w:r>
        <w:rPr>
          <w:rStyle w:val="big-number"/>
          <w:rFonts w:cs="Miriam"/>
          <w:rtl/>
        </w:rPr>
        <w:tab/>
      </w:r>
      <w:r>
        <w:rPr>
          <w:rStyle w:val="super"/>
          <w:rFonts w:cs="Miriam"/>
          <w:noProof w:val="0"/>
          <w:rtl/>
          <w:lang w:eastAsia="he-IL"/>
        </w:rPr>
        <w:t>(**)</w:t>
      </w:r>
      <w:r>
        <w:rPr>
          <w:rStyle w:val="default"/>
          <w:rFonts w:cs="FrankRuehl"/>
          <w:rtl/>
        </w:rPr>
        <w:t>.</w:t>
      </w:r>
    </w:p>
    <w:p w14:paraId="7A3E6153" w14:textId="77777777" w:rsidR="0053296E" w:rsidRDefault="0053296E">
      <w:pPr>
        <w:ind w:right="1134"/>
        <w:rPr>
          <w:rFonts w:cs="David"/>
          <w:sz w:val="24"/>
          <w:rtl/>
        </w:rPr>
      </w:pPr>
      <w:bookmarkStart w:id="0" w:name="LawPartEnd"/>
    </w:p>
    <w:bookmarkEnd w:id="0"/>
    <w:p w14:paraId="4628AD48" w14:textId="77777777" w:rsidR="0053296E" w:rsidRDefault="005329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(3)</w:t>
      </w:r>
      <w:r>
        <w:rPr>
          <w:rFonts w:cs="FrankRuehl"/>
        </w:rPr>
        <w:t> </w:t>
      </w:r>
      <w:r>
        <w:rPr>
          <w:rFonts w:cs="FrankRuehl"/>
          <w:rtl/>
        </w:rPr>
        <w:t>פו</w:t>
      </w:r>
      <w:r>
        <w:rPr>
          <w:rFonts w:cs="FrankRuehl" w:hint="cs"/>
          <w:rtl/>
        </w:rPr>
        <w:t>רסם חא"י, כרך ג', עמ' (ע) 2805, (א) 2625.</w:t>
      </w:r>
    </w:p>
    <w:p w14:paraId="218C6E03" w14:textId="77777777" w:rsidR="0053296E" w:rsidRDefault="0053296E">
      <w:pPr>
        <w:ind w:right="1134"/>
        <w:rPr>
          <w:rFonts w:cs="David"/>
          <w:sz w:val="24"/>
          <w:rtl/>
        </w:rPr>
      </w:pPr>
    </w:p>
    <w:sectPr w:rsidR="0053296E">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ABCB" w14:textId="77777777" w:rsidR="0053296E" w:rsidRDefault="0053296E">
      <w:r>
        <w:separator/>
      </w:r>
    </w:p>
  </w:endnote>
  <w:endnote w:type="continuationSeparator" w:id="0">
    <w:p w14:paraId="274A06B4" w14:textId="77777777" w:rsidR="0053296E" w:rsidRDefault="0053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95B" w14:textId="77777777" w:rsidR="0053296E" w:rsidRDefault="005329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664C17" w14:textId="77777777" w:rsidR="0053296E" w:rsidRDefault="005329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81F03F" w14:textId="77777777" w:rsidR="0053296E" w:rsidRDefault="005329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M:\00000000\law\index\tmp-3\066_003.doc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AD50" w14:textId="77777777" w:rsidR="0053296E" w:rsidRDefault="005329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3193">
      <w:rPr>
        <w:rFonts w:hAnsi="FrankRuehl" w:cs="FrankRuehl"/>
        <w:noProof/>
        <w:sz w:val="24"/>
        <w:szCs w:val="24"/>
        <w:rtl/>
      </w:rPr>
      <w:t>1</w:t>
    </w:r>
    <w:r>
      <w:rPr>
        <w:rFonts w:hAnsi="FrankRuehl" w:cs="FrankRuehl"/>
        <w:sz w:val="24"/>
        <w:szCs w:val="24"/>
        <w:rtl/>
      </w:rPr>
      <w:fldChar w:fldCharType="end"/>
    </w:r>
  </w:p>
  <w:p w14:paraId="2B02B752" w14:textId="77777777" w:rsidR="0053296E" w:rsidRDefault="005329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3F95CA" w14:textId="77777777" w:rsidR="0053296E" w:rsidRDefault="005329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M:\00000000\law\index\tmp-3\066_003.doc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3178" w14:textId="77777777" w:rsidR="0053296E" w:rsidRDefault="0053296E">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2E2D" w14:textId="77777777" w:rsidR="0053296E" w:rsidRDefault="0053296E">
      <w:r>
        <w:separator/>
      </w:r>
    </w:p>
  </w:footnote>
  <w:footnote w:type="continuationSeparator" w:id="0">
    <w:p w14:paraId="26213C07" w14:textId="77777777" w:rsidR="0053296E" w:rsidRDefault="0053296E">
      <w:r>
        <w:continuationSeparator/>
      </w:r>
    </w:p>
  </w:footnote>
  <w:footnote w:id="1">
    <w:p w14:paraId="2E8FD5D7" w14:textId="77777777" w:rsidR="0053296E" w:rsidRDefault="005329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Pr>
        <w:t>*</w:t>
      </w:r>
      <w:r>
        <w:rPr>
          <w:rFonts w:cs="FrankRuehl" w:hint="cs"/>
          <w:sz w:val="20"/>
          <w:rtl/>
        </w:rPr>
        <w:t xml:space="preserve"> סמכויותיו הועברו לראש הממשלה בי"פ תשס"ד מס' 5266 מיום 21.1.2004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61B" w14:textId="77777777" w:rsidR="0053296E" w:rsidRDefault="005329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דבר המלך במועצה על ארץ-ישראל (המקומות הקדושים), 1924</w:t>
    </w:r>
  </w:p>
  <w:p w14:paraId="5A331332" w14:textId="77777777" w:rsidR="0053296E" w:rsidRDefault="005329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7459C0" w14:textId="77777777" w:rsidR="0053296E" w:rsidRDefault="005329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6CB3" w14:textId="77777777" w:rsidR="0053296E" w:rsidRDefault="005329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דבר המלך במועצה על ארץ-ישראל (המקומות הקדושים), 1924</w:t>
    </w:r>
  </w:p>
  <w:p w14:paraId="00ECF6E2" w14:textId="77777777" w:rsidR="0053296E" w:rsidRDefault="005329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C7E624" w14:textId="77777777" w:rsidR="0053296E" w:rsidRDefault="0053296E">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72F" w14:textId="77777777" w:rsidR="0053296E" w:rsidRDefault="0053296E">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193"/>
    <w:rsid w:val="0053296E"/>
    <w:rsid w:val="00593193"/>
    <w:rsid w:val="00995B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1759E2"/>
  <w15:chartTrackingRefBased/>
  <w15:docId w15:val="{4B341DD4-020F-44D7-A432-AA5C4418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66</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66</dc:title>
  <dc:subject/>
  <dc:creator>eli</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0066</vt:lpwstr>
  </property>
  <property fmtid="{D5CDD505-2E9C-101B-9397-08002B2CF9AE}" pid="3" name="CHNAME">
    <vt:lpwstr>דברי המלך במועצה על ארץ-ישראל</vt:lpwstr>
  </property>
  <property fmtid="{D5CDD505-2E9C-101B-9397-08002B2CF9AE}" pid="4" name="LAWNAME">
    <vt:lpwstr>דבר המלך במועצה על ארץ-ישראל (המקומות הקדושים), 1924</vt:lpwstr>
  </property>
  <property fmtid="{D5CDD505-2E9C-101B-9397-08002B2CF9AE}" pid="5" name="LAWNUMBER">
    <vt:lpwstr>0003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רבנות ושירותי דת</vt:lpwstr>
  </property>
  <property fmtid="{D5CDD505-2E9C-101B-9397-08002B2CF9AE}" pid="9" name="NOSE31">
    <vt:lpwstr>מקומות קדושים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