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8B3" w14:textId="77777777" w:rsidR="000303E1" w:rsidRDefault="000303E1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4AEE1249" w14:textId="77777777" w:rsidR="000303E1" w:rsidRDefault="000303E1">
      <w:pPr>
        <w:pStyle w:val="big-header"/>
        <w:ind w:left="0" w:right="1134"/>
        <w:rPr>
          <w:rStyle w:val="default"/>
        </w:rPr>
      </w:pP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דעה בדבר הסמכת פקידי משרד רשם הפטנטים והמדגמים לעשות פעולות מסויימות</w:t>
      </w:r>
      <w:r>
        <w:rPr>
          <w:rStyle w:val="default"/>
          <w:rtl/>
        </w:rPr>
        <w:footnoteReference w:customMarkFollows="1" w:id="1"/>
        <w:t>*</w:t>
      </w:r>
    </w:p>
    <w:p w14:paraId="2A404A65" w14:textId="77777777" w:rsidR="00D80153" w:rsidRPr="00D80153" w:rsidRDefault="00D80153" w:rsidP="00D80153">
      <w:pPr>
        <w:spacing w:line="320" w:lineRule="auto"/>
        <w:jc w:val="left"/>
        <w:rPr>
          <w:rStyle w:val="default"/>
          <w:rFonts w:cs="FrankRuehl"/>
          <w:rtl/>
        </w:rPr>
      </w:pPr>
    </w:p>
    <w:p w14:paraId="7F72D04A" w14:textId="77777777" w:rsidR="00D80153" w:rsidRDefault="00D80153" w:rsidP="00D80153">
      <w:pPr>
        <w:spacing w:line="320" w:lineRule="auto"/>
        <w:jc w:val="left"/>
        <w:rPr>
          <w:rStyle w:val="default"/>
          <w:rtl/>
        </w:rPr>
      </w:pPr>
    </w:p>
    <w:p w14:paraId="72ADB1A6" w14:textId="77777777" w:rsidR="00D80153" w:rsidRDefault="00D80153" w:rsidP="00D80153">
      <w:pPr>
        <w:spacing w:line="320" w:lineRule="auto"/>
        <w:jc w:val="left"/>
        <w:rPr>
          <w:rStyle w:val="default"/>
          <w:rFonts w:cs="FrankRuehl"/>
          <w:rtl/>
        </w:rPr>
      </w:pPr>
      <w:r w:rsidRPr="00D80153">
        <w:rPr>
          <w:rStyle w:val="default"/>
          <w:rFonts w:cs="Miriam"/>
          <w:szCs w:val="22"/>
          <w:rtl/>
        </w:rPr>
        <w:t>משפט פרטי וכלכלה</w:t>
      </w:r>
      <w:r w:rsidRPr="00D80153">
        <w:rPr>
          <w:rStyle w:val="default"/>
          <w:rFonts w:cs="FrankRuehl"/>
          <w:rtl/>
        </w:rPr>
        <w:t xml:space="preserve"> – קניין – קניין רוחני – פטנטים</w:t>
      </w:r>
    </w:p>
    <w:p w14:paraId="0C85166F" w14:textId="77777777" w:rsidR="00D80153" w:rsidRPr="00D80153" w:rsidRDefault="00D80153" w:rsidP="00D80153">
      <w:pPr>
        <w:spacing w:line="320" w:lineRule="auto"/>
        <w:jc w:val="left"/>
        <w:rPr>
          <w:rStyle w:val="default"/>
          <w:rFonts w:cs="Miriam"/>
          <w:szCs w:val="22"/>
        </w:rPr>
      </w:pPr>
      <w:r w:rsidRPr="00D80153">
        <w:rPr>
          <w:rStyle w:val="default"/>
          <w:rFonts w:cs="Miriam"/>
          <w:szCs w:val="22"/>
          <w:rtl/>
        </w:rPr>
        <w:t>משפט פרטי וכלכלה</w:t>
      </w:r>
      <w:r w:rsidRPr="00D80153">
        <w:rPr>
          <w:rStyle w:val="default"/>
          <w:rFonts w:cs="FrankRuehl"/>
          <w:rtl/>
        </w:rPr>
        <w:t xml:space="preserve"> – קניין – קניין רוחני – מדגמים</w:t>
      </w:r>
    </w:p>
    <w:p w14:paraId="68BA4DCE" w14:textId="77777777" w:rsidR="00D80153" w:rsidRDefault="00D80153">
      <w:pPr>
        <w:pStyle w:val="big-header"/>
        <w:ind w:left="0" w:right="1134"/>
        <w:rPr>
          <w:rStyle w:val="default"/>
          <w:rFonts w:cs="FrankRuehl" w:hint="cs"/>
          <w:rtl/>
        </w:rPr>
      </w:pPr>
    </w:p>
    <w:p w14:paraId="4E47BB7D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מודיע שבתוקף סמכותי לפי סעיף 3(4) לפקודת הפטנטים והמדגמים, קבעתי כי כל פעולה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מהפעולות המפורטות להלן שעשייתן על פי הפקודה או התקנות שהותקנו לפי היא בידי 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שם הפטנטים והמדגמים, תהיה חוקית גם אם תיעשה בידי פקיד במשרד הרושם שייבחר לכך על ידיו ותקפה כתוקף פעולה שנעשתה על ידי הרושם עצמו.</w:t>
      </w:r>
    </w:p>
    <w:p w14:paraId="30F09A94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ההגשה לפי סעיף 7(1);</w:t>
      </w:r>
    </w:p>
    <w:p w14:paraId="1966F663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לפי סעיף 8(2);</w:t>
      </w:r>
    </w:p>
    <w:p w14:paraId="1E06E68B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שור קבלת הפירוט לפי סעיף 10(1);</w:t>
      </w:r>
    </w:p>
    <w:p w14:paraId="09C72D47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תום פטנט לפי סעיף 12(1);</w:t>
      </w:r>
    </w:p>
    <w:p w14:paraId="3920BAE9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תום כפל פטנט לפי סעיף 28;</w:t>
      </w:r>
    </w:p>
    <w:p w14:paraId="37AF4660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העתקים מתעודות רישום לפי סעיף 32(2);</w:t>
      </w:r>
    </w:p>
    <w:p w14:paraId="5A2BA086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שור העתקים לפי סעיף 40;</w:t>
      </w:r>
    </w:p>
    <w:p w14:paraId="56BA11BD" w14:textId="77777777" w:rsidR="000303E1" w:rsidRDefault="000303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ארכות זמן לביצוע פעולה מסויימת.</w:t>
      </w:r>
    </w:p>
    <w:p w14:paraId="3B47706E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B0ED99" w14:textId="77777777" w:rsidR="000303E1" w:rsidRDefault="000303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. א. בלום</w:t>
      </w:r>
    </w:p>
    <w:p w14:paraId="2497E4EB" w14:textId="77777777" w:rsidR="000303E1" w:rsidRDefault="000303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ושם הפטנטים והמדגמ</w:t>
      </w:r>
      <w:r>
        <w:rPr>
          <w:rFonts w:cs="FrankRuehl"/>
          <w:sz w:val="22"/>
          <w:rtl/>
        </w:rPr>
        <w:t>ים</w:t>
      </w:r>
    </w:p>
    <w:p w14:paraId="7235D925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מסכים.</w:t>
      </w:r>
    </w:p>
    <w:p w14:paraId="16D84F1D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5FC9F4" w14:textId="77777777" w:rsidR="000303E1" w:rsidRDefault="000303E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בתמוז תש"י (14 ביולי 1950)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0CD354E2" w14:textId="77777777" w:rsidR="000303E1" w:rsidRDefault="000303E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26C2145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450C44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F44905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EA22720" w14:textId="77777777" w:rsidR="000303E1" w:rsidRDefault="000303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303E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1ED7" w14:textId="77777777" w:rsidR="00744EF4" w:rsidRDefault="00744EF4">
      <w:r>
        <w:separator/>
      </w:r>
    </w:p>
  </w:endnote>
  <w:endnote w:type="continuationSeparator" w:id="0">
    <w:p w14:paraId="17A1F9EB" w14:textId="77777777" w:rsidR="00744EF4" w:rsidRDefault="0074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B78E" w14:textId="77777777" w:rsidR="000303E1" w:rsidRDefault="000303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4E8E09" w14:textId="77777777" w:rsidR="000303E1" w:rsidRDefault="000303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ABEC19" w14:textId="77777777" w:rsidR="000303E1" w:rsidRDefault="000303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0A8A" w14:textId="77777777" w:rsidR="000303E1" w:rsidRDefault="000303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015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7D2B9F" w14:textId="77777777" w:rsidR="000303E1" w:rsidRDefault="000303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FF4449" w14:textId="77777777" w:rsidR="000303E1" w:rsidRDefault="000303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B617" w14:textId="77777777" w:rsidR="00744EF4" w:rsidRDefault="00744EF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727BCC" w14:textId="77777777" w:rsidR="00744EF4" w:rsidRDefault="00744EF4">
      <w:r>
        <w:continuationSeparator/>
      </w:r>
    </w:p>
  </w:footnote>
  <w:footnote w:id="1">
    <w:p w14:paraId="51D9441A" w14:textId="77777777" w:rsidR="000303E1" w:rsidRDefault="000303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 xml:space="preserve">מה </w:t>
      </w:r>
      <w:hyperlink r:id="rId1" w:history="1">
        <w:r>
          <w:rPr>
            <w:rStyle w:val="Hyperlink"/>
            <w:rFonts w:cs="FrankRuehl" w:hint="cs"/>
            <w:rtl/>
          </w:rPr>
          <w:t>ק"ת תש"י מס' 102</w:t>
        </w:r>
      </w:hyperlink>
      <w:r>
        <w:rPr>
          <w:rFonts w:cs="FrankRuehl" w:hint="cs"/>
          <w:rtl/>
        </w:rPr>
        <w:t xml:space="preserve"> מיום 28.7.1950 עמ' 1171.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975E" w14:textId="77777777" w:rsidR="000303E1" w:rsidRDefault="000303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הסמכת פקידי משרד רשם הפטנטים והמדגמים לעשות פעולות מסויימות</w:t>
    </w:r>
  </w:p>
  <w:p w14:paraId="6E4D8F58" w14:textId="77777777" w:rsidR="000303E1" w:rsidRDefault="000303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810487" w14:textId="77777777" w:rsidR="000303E1" w:rsidRDefault="000303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D14F" w14:textId="77777777" w:rsidR="000303E1" w:rsidRDefault="000303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הסמכת פקידי משרד רשם הפטנטים והמדגמים לעשות פעולות מסויימות</w:t>
    </w:r>
  </w:p>
  <w:p w14:paraId="213C8EDB" w14:textId="77777777" w:rsidR="000303E1" w:rsidRDefault="000303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12227" w14:textId="77777777" w:rsidR="000303E1" w:rsidRDefault="000303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3E1"/>
    <w:rsid w:val="000303E1"/>
    <w:rsid w:val="0008797C"/>
    <w:rsid w:val="00612444"/>
    <w:rsid w:val="006C02EA"/>
    <w:rsid w:val="00744EF4"/>
    <w:rsid w:val="00D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29394F"/>
  <w15:chartTrackingRefBased/>
  <w15:docId w15:val="{72A42834-1DC5-4CB0-A29A-D9F5CEF7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187</vt:lpstr>
    </vt:vector>
  </TitlesOfParts>
  <Company/>
  <LinksUpToDate>false</LinksUpToDate>
  <CharactersWithSpaces>810</CharactersWithSpaces>
  <SharedDoc>false</SharedDoc>
  <HLinks>
    <vt:vector size="6" baseType="variant"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187</dc:title>
  <dc:subject/>
  <dc:creator> 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P187</vt:lpwstr>
  </property>
  <property fmtid="{D5CDD505-2E9C-101B-9397-08002B2CF9AE}" pid="3" name="CHNAME">
    <vt:lpwstr>פטנטים ומדגמים</vt:lpwstr>
  </property>
  <property fmtid="{D5CDD505-2E9C-101B-9397-08002B2CF9AE}" pid="4" name="LAWNAME">
    <vt:lpwstr>הודעה בדבר הסמכת פקידי משרד רשם הפטנטים והמדגמים לעשות פעולות מסויימות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פקודת הפטנטים והמדגמים</vt:lpwstr>
  </property>
  <property fmtid="{D5CDD505-2E9C-101B-9397-08002B2CF9AE}" pid="8" name="MEKOR_SAIF1">
    <vt:lpwstr>3X4X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קניין רוחני</vt:lpwstr>
  </property>
  <property fmtid="{D5CDD505-2E9C-101B-9397-08002B2CF9AE}" pid="12" name="NOSE41">
    <vt:lpwstr>פטנטים</vt:lpwstr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קניין רוחני</vt:lpwstr>
  </property>
  <property fmtid="{D5CDD505-2E9C-101B-9397-08002B2CF9AE}" pid="16" name="NOSE42">
    <vt:lpwstr>מדגמים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