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CF0D" w14:textId="77777777" w:rsidR="00713F8B" w:rsidRDefault="00713F8B" w:rsidP="00287841">
      <w:pPr>
        <w:pStyle w:val="big-header"/>
        <w:ind w:left="0" w:right="1134"/>
        <w:rPr>
          <w:rStyle w:val="default"/>
          <w:rFonts w:hint="cs"/>
          <w:sz w:val="22"/>
          <w:szCs w:val="22"/>
          <w:rtl/>
        </w:rPr>
      </w:pPr>
      <w:r>
        <w:rPr>
          <w:rFonts w:cs="FrankRuehl"/>
          <w:sz w:val="32"/>
          <w:rtl/>
        </w:rPr>
        <w:t>הו</w:t>
      </w:r>
      <w:r>
        <w:rPr>
          <w:rFonts w:cs="FrankRuehl" w:hint="cs"/>
          <w:sz w:val="32"/>
          <w:rtl/>
        </w:rPr>
        <w:t>דעה</w:t>
      </w:r>
      <w:r>
        <w:rPr>
          <w:rFonts w:cs="FrankRuehl"/>
          <w:sz w:val="32"/>
          <w:rtl/>
        </w:rPr>
        <w:t xml:space="preserve"> </w:t>
      </w:r>
      <w:r>
        <w:rPr>
          <w:rFonts w:cs="FrankRuehl" w:hint="cs"/>
          <w:sz w:val="32"/>
          <w:rtl/>
        </w:rPr>
        <w:t>בדבר כללים למניעת ניגוד ענינים של שרים וסגני שרים, תשס"ג-2003</w:t>
      </w:r>
    </w:p>
    <w:p w14:paraId="728BDEF7" w14:textId="77777777" w:rsidR="00287841" w:rsidRPr="001569AE" w:rsidRDefault="00287841" w:rsidP="00287841">
      <w:pPr>
        <w:spacing w:line="320" w:lineRule="auto"/>
        <w:jc w:val="left"/>
        <w:rPr>
          <w:rStyle w:val="default"/>
          <w:rFonts w:cs="FrankRuehl"/>
          <w:rtl/>
        </w:rPr>
      </w:pPr>
    </w:p>
    <w:p w14:paraId="7AF5A13D" w14:textId="77777777" w:rsidR="00287841" w:rsidRDefault="00287841" w:rsidP="00287841">
      <w:pPr>
        <w:spacing w:line="320" w:lineRule="auto"/>
        <w:jc w:val="left"/>
        <w:rPr>
          <w:rStyle w:val="default"/>
          <w:rFonts w:cs="FrankRuehl"/>
          <w:rtl/>
        </w:rPr>
      </w:pPr>
    </w:p>
    <w:p w14:paraId="3C379693" w14:textId="77777777" w:rsidR="00287841" w:rsidRPr="001569AE" w:rsidRDefault="00287841" w:rsidP="00287841">
      <w:pPr>
        <w:spacing w:line="320" w:lineRule="auto"/>
        <w:jc w:val="left"/>
        <w:rPr>
          <w:rStyle w:val="default"/>
          <w:rFonts w:cs="Miriam" w:hint="cs"/>
          <w:szCs w:val="22"/>
          <w:rtl/>
        </w:rPr>
      </w:pPr>
      <w:r w:rsidRPr="001569AE">
        <w:rPr>
          <w:rStyle w:val="default"/>
          <w:rFonts w:cs="Miriam"/>
          <w:szCs w:val="22"/>
          <w:rtl/>
        </w:rPr>
        <w:t xml:space="preserve">דיני חוקה </w:t>
      </w:r>
      <w:r w:rsidRPr="001569AE">
        <w:rPr>
          <w:rStyle w:val="default"/>
          <w:rFonts w:cs="FrankRuehl"/>
          <w:rtl/>
        </w:rPr>
        <w:t xml:space="preserve"> – ממשלה – שרים וסגני שרים – מניעת ניגודי עניינים</w:t>
      </w:r>
    </w:p>
    <w:p w14:paraId="3B985128" w14:textId="77777777" w:rsidR="00287841" w:rsidRPr="00287841" w:rsidRDefault="00287841" w:rsidP="00287841">
      <w:pPr>
        <w:pStyle w:val="big-header"/>
        <w:ind w:left="0" w:right="1134"/>
        <w:rPr>
          <w:rFonts w:cs="FrankRuehl"/>
          <w:sz w:val="32"/>
        </w:rPr>
      </w:pPr>
      <w:r w:rsidRPr="00287841">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7841" w:rsidRPr="00384E54" w14:paraId="3E6886FE" w14:textId="77777777" w:rsidTr="00AD728D">
        <w:tblPrEx>
          <w:tblCellMar>
            <w:top w:w="0" w:type="dxa"/>
            <w:bottom w:w="0" w:type="dxa"/>
          </w:tblCellMar>
        </w:tblPrEx>
        <w:tc>
          <w:tcPr>
            <w:tcW w:w="1247" w:type="dxa"/>
          </w:tcPr>
          <w:p w14:paraId="5D6E3782"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6854571B"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הגדרות</w:t>
            </w:r>
          </w:p>
        </w:tc>
        <w:tc>
          <w:tcPr>
            <w:tcW w:w="567" w:type="dxa"/>
          </w:tcPr>
          <w:p w14:paraId="069EA1B2" w14:textId="77777777" w:rsidR="00287841" w:rsidRPr="00384E54" w:rsidRDefault="00287841" w:rsidP="00AD728D">
            <w:pPr>
              <w:spacing w:line="240" w:lineRule="auto"/>
              <w:jc w:val="left"/>
              <w:rPr>
                <w:rStyle w:val="Hyperlink"/>
                <w:rtl/>
              </w:rPr>
            </w:pPr>
            <w:hyperlink w:anchor="Seif1" w:tooltip="הגדרות" w:history="1">
              <w:r w:rsidRPr="00384E54">
                <w:rPr>
                  <w:rStyle w:val="Hyperlink"/>
                </w:rPr>
                <w:t>Go</w:t>
              </w:r>
            </w:hyperlink>
          </w:p>
        </w:tc>
        <w:tc>
          <w:tcPr>
            <w:tcW w:w="850" w:type="dxa"/>
          </w:tcPr>
          <w:p w14:paraId="0EADD8F2"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w:t>
            </w:r>
            <w:r>
              <w:rPr>
                <w:rStyle w:val="default"/>
                <w:rFonts w:cs="Frankruhel"/>
                <w:sz w:val="24"/>
                <w:szCs w:val="24"/>
                <w:rtl/>
              </w:rPr>
              <w:fldChar w:fldCharType="end"/>
            </w:r>
          </w:p>
        </w:tc>
      </w:tr>
      <w:tr w:rsidR="00287841" w:rsidRPr="00384E54" w14:paraId="05A4D81E" w14:textId="77777777" w:rsidTr="00AD728D">
        <w:tblPrEx>
          <w:tblCellMar>
            <w:top w:w="0" w:type="dxa"/>
            <w:bottom w:w="0" w:type="dxa"/>
          </w:tblCellMar>
        </w:tblPrEx>
        <w:tc>
          <w:tcPr>
            <w:tcW w:w="1247" w:type="dxa"/>
          </w:tcPr>
          <w:p w14:paraId="4B0F9843"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305121F3"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שמירת דינים</w:t>
            </w:r>
          </w:p>
        </w:tc>
        <w:tc>
          <w:tcPr>
            <w:tcW w:w="567" w:type="dxa"/>
          </w:tcPr>
          <w:p w14:paraId="3390386D" w14:textId="77777777" w:rsidR="00287841" w:rsidRPr="00384E54" w:rsidRDefault="00287841" w:rsidP="00AD728D">
            <w:pPr>
              <w:spacing w:line="240" w:lineRule="auto"/>
              <w:jc w:val="left"/>
              <w:rPr>
                <w:rStyle w:val="Hyperlink"/>
                <w:rtl/>
              </w:rPr>
            </w:pPr>
            <w:hyperlink w:anchor="Seif2" w:tooltip="שמירת דינים" w:history="1">
              <w:r w:rsidRPr="00384E54">
                <w:rPr>
                  <w:rStyle w:val="Hyperlink"/>
                </w:rPr>
                <w:t>Go</w:t>
              </w:r>
            </w:hyperlink>
          </w:p>
        </w:tc>
        <w:tc>
          <w:tcPr>
            <w:tcW w:w="850" w:type="dxa"/>
          </w:tcPr>
          <w:p w14:paraId="3ED17C93"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87841" w:rsidRPr="00384E54" w14:paraId="72C36BC9" w14:textId="77777777" w:rsidTr="00AD728D">
        <w:tblPrEx>
          <w:tblCellMar>
            <w:top w:w="0" w:type="dxa"/>
            <w:bottom w:w="0" w:type="dxa"/>
          </w:tblCellMar>
        </w:tblPrEx>
        <w:tc>
          <w:tcPr>
            <w:tcW w:w="1247" w:type="dxa"/>
          </w:tcPr>
          <w:p w14:paraId="200399AB"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452AF363"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מילוי התפקיד בלא משוא פנים</w:t>
            </w:r>
          </w:p>
        </w:tc>
        <w:tc>
          <w:tcPr>
            <w:tcW w:w="567" w:type="dxa"/>
          </w:tcPr>
          <w:p w14:paraId="1BC7F4A2" w14:textId="77777777" w:rsidR="00287841" w:rsidRPr="00384E54" w:rsidRDefault="00287841" w:rsidP="00AD728D">
            <w:pPr>
              <w:spacing w:line="240" w:lineRule="auto"/>
              <w:jc w:val="left"/>
              <w:rPr>
                <w:rStyle w:val="Hyperlink"/>
                <w:rtl/>
              </w:rPr>
            </w:pPr>
            <w:hyperlink w:anchor="Seif3" w:tooltip="מילוי התפקיד בלא משוא פנים" w:history="1">
              <w:r w:rsidRPr="00384E54">
                <w:rPr>
                  <w:rStyle w:val="Hyperlink"/>
                </w:rPr>
                <w:t>Go</w:t>
              </w:r>
            </w:hyperlink>
          </w:p>
        </w:tc>
        <w:tc>
          <w:tcPr>
            <w:tcW w:w="850" w:type="dxa"/>
          </w:tcPr>
          <w:p w14:paraId="6100B242"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87841" w:rsidRPr="00384E54" w14:paraId="3E06B7BD" w14:textId="77777777" w:rsidTr="00AD728D">
        <w:tblPrEx>
          <w:tblCellMar>
            <w:top w:w="0" w:type="dxa"/>
            <w:bottom w:w="0" w:type="dxa"/>
          </w:tblCellMar>
        </w:tblPrEx>
        <w:tc>
          <w:tcPr>
            <w:tcW w:w="1247" w:type="dxa"/>
          </w:tcPr>
          <w:p w14:paraId="4E0AE7BE"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13694941"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חובה למנוע ניגוד ענינים</w:t>
            </w:r>
          </w:p>
        </w:tc>
        <w:tc>
          <w:tcPr>
            <w:tcW w:w="567" w:type="dxa"/>
          </w:tcPr>
          <w:p w14:paraId="492C054D" w14:textId="77777777" w:rsidR="00287841" w:rsidRPr="00384E54" w:rsidRDefault="00287841" w:rsidP="00AD728D">
            <w:pPr>
              <w:spacing w:line="240" w:lineRule="auto"/>
              <w:jc w:val="left"/>
              <w:rPr>
                <w:rStyle w:val="Hyperlink"/>
                <w:rtl/>
              </w:rPr>
            </w:pPr>
            <w:hyperlink w:anchor="Seif4" w:tooltip="חובה למנוע ניגוד ענינים" w:history="1">
              <w:r w:rsidRPr="00384E54">
                <w:rPr>
                  <w:rStyle w:val="Hyperlink"/>
                </w:rPr>
                <w:t>Go</w:t>
              </w:r>
            </w:hyperlink>
          </w:p>
        </w:tc>
        <w:tc>
          <w:tcPr>
            <w:tcW w:w="850" w:type="dxa"/>
          </w:tcPr>
          <w:p w14:paraId="38D427C6"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87841" w:rsidRPr="00384E54" w14:paraId="2B6A95AF" w14:textId="77777777" w:rsidTr="00AD728D">
        <w:tblPrEx>
          <w:tblCellMar>
            <w:top w:w="0" w:type="dxa"/>
            <w:bottom w:w="0" w:type="dxa"/>
          </w:tblCellMar>
        </w:tblPrEx>
        <w:tc>
          <w:tcPr>
            <w:tcW w:w="1247" w:type="dxa"/>
          </w:tcPr>
          <w:p w14:paraId="22C39B37"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45264062"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ייחוד הכהונה ואיסור התעסקות נוספת</w:t>
            </w:r>
          </w:p>
        </w:tc>
        <w:tc>
          <w:tcPr>
            <w:tcW w:w="567" w:type="dxa"/>
          </w:tcPr>
          <w:p w14:paraId="6780BA4E" w14:textId="77777777" w:rsidR="00287841" w:rsidRPr="00384E54" w:rsidRDefault="00287841" w:rsidP="00AD728D">
            <w:pPr>
              <w:spacing w:line="240" w:lineRule="auto"/>
              <w:jc w:val="left"/>
              <w:rPr>
                <w:rStyle w:val="Hyperlink"/>
                <w:rtl/>
              </w:rPr>
            </w:pPr>
            <w:hyperlink w:anchor="Seif5" w:tooltip="ייחוד הכהונה ואיסור התעסקות נוספת" w:history="1">
              <w:r w:rsidRPr="00384E54">
                <w:rPr>
                  <w:rStyle w:val="Hyperlink"/>
                </w:rPr>
                <w:t>Go</w:t>
              </w:r>
            </w:hyperlink>
          </w:p>
        </w:tc>
        <w:tc>
          <w:tcPr>
            <w:tcW w:w="850" w:type="dxa"/>
          </w:tcPr>
          <w:p w14:paraId="50781FD9"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87841" w:rsidRPr="00384E54" w14:paraId="2CCC2036" w14:textId="77777777" w:rsidTr="00AD728D">
        <w:tblPrEx>
          <w:tblCellMar>
            <w:top w:w="0" w:type="dxa"/>
            <w:bottom w:w="0" w:type="dxa"/>
          </w:tblCellMar>
        </w:tblPrEx>
        <w:tc>
          <w:tcPr>
            <w:tcW w:w="1247" w:type="dxa"/>
          </w:tcPr>
          <w:p w14:paraId="32FD29D9"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353B4A6A"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הוראות מיוחדות</w:t>
            </w:r>
          </w:p>
        </w:tc>
        <w:tc>
          <w:tcPr>
            <w:tcW w:w="567" w:type="dxa"/>
          </w:tcPr>
          <w:p w14:paraId="3EA2A384" w14:textId="77777777" w:rsidR="00287841" w:rsidRPr="00384E54" w:rsidRDefault="00287841" w:rsidP="00AD728D">
            <w:pPr>
              <w:spacing w:line="240" w:lineRule="auto"/>
              <w:jc w:val="left"/>
              <w:rPr>
                <w:rStyle w:val="Hyperlink"/>
                <w:rtl/>
              </w:rPr>
            </w:pPr>
            <w:hyperlink w:anchor="Seif6" w:tooltip="הוראות מיוחדות" w:history="1">
              <w:r w:rsidRPr="00384E54">
                <w:rPr>
                  <w:rStyle w:val="Hyperlink"/>
                </w:rPr>
                <w:t>Go</w:t>
              </w:r>
            </w:hyperlink>
          </w:p>
        </w:tc>
        <w:tc>
          <w:tcPr>
            <w:tcW w:w="850" w:type="dxa"/>
          </w:tcPr>
          <w:p w14:paraId="0067E516"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87841" w:rsidRPr="00384E54" w14:paraId="4E1A6455" w14:textId="77777777" w:rsidTr="00AD728D">
        <w:tblPrEx>
          <w:tblCellMar>
            <w:top w:w="0" w:type="dxa"/>
            <w:bottom w:w="0" w:type="dxa"/>
          </w:tblCellMar>
        </w:tblPrEx>
        <w:tc>
          <w:tcPr>
            <w:tcW w:w="1247" w:type="dxa"/>
          </w:tcPr>
          <w:p w14:paraId="2DFC7955"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49C77F34"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הסדרים למניעת ניגוד ענינים</w:t>
            </w:r>
          </w:p>
        </w:tc>
        <w:tc>
          <w:tcPr>
            <w:tcW w:w="567" w:type="dxa"/>
          </w:tcPr>
          <w:p w14:paraId="0567D91E" w14:textId="77777777" w:rsidR="00287841" w:rsidRPr="00384E54" w:rsidRDefault="00287841" w:rsidP="00AD728D">
            <w:pPr>
              <w:spacing w:line="240" w:lineRule="auto"/>
              <w:jc w:val="left"/>
              <w:rPr>
                <w:rStyle w:val="Hyperlink"/>
                <w:rtl/>
              </w:rPr>
            </w:pPr>
            <w:hyperlink w:anchor="Seif7" w:tooltip="הסדרים למניעת ניגוד ענינים" w:history="1">
              <w:r w:rsidRPr="00384E54">
                <w:rPr>
                  <w:rStyle w:val="Hyperlink"/>
                </w:rPr>
                <w:t>Go</w:t>
              </w:r>
            </w:hyperlink>
          </w:p>
        </w:tc>
        <w:tc>
          <w:tcPr>
            <w:tcW w:w="850" w:type="dxa"/>
          </w:tcPr>
          <w:p w14:paraId="7C010499"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87841" w:rsidRPr="00384E54" w14:paraId="2F6BD247" w14:textId="77777777" w:rsidTr="00AD728D">
        <w:tblPrEx>
          <w:tblCellMar>
            <w:top w:w="0" w:type="dxa"/>
            <w:bottom w:w="0" w:type="dxa"/>
          </w:tblCellMar>
        </w:tblPrEx>
        <w:tc>
          <w:tcPr>
            <w:tcW w:w="1247" w:type="dxa"/>
          </w:tcPr>
          <w:p w14:paraId="6587E95E"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2A10A8D8"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ענין אישי הפוגע במילוי תפקיד השר</w:t>
            </w:r>
          </w:p>
        </w:tc>
        <w:tc>
          <w:tcPr>
            <w:tcW w:w="567" w:type="dxa"/>
          </w:tcPr>
          <w:p w14:paraId="5C2A3D4F" w14:textId="77777777" w:rsidR="00287841" w:rsidRPr="00384E54" w:rsidRDefault="00287841" w:rsidP="00AD728D">
            <w:pPr>
              <w:spacing w:line="240" w:lineRule="auto"/>
              <w:jc w:val="left"/>
              <w:rPr>
                <w:rStyle w:val="Hyperlink"/>
                <w:rtl/>
              </w:rPr>
            </w:pPr>
            <w:hyperlink w:anchor="Seif8" w:tooltip="ענין אישי הפוגע במילוי תפקיד השר" w:history="1">
              <w:r w:rsidRPr="00384E54">
                <w:rPr>
                  <w:rStyle w:val="Hyperlink"/>
                </w:rPr>
                <w:t>Go</w:t>
              </w:r>
            </w:hyperlink>
          </w:p>
        </w:tc>
        <w:tc>
          <w:tcPr>
            <w:tcW w:w="850" w:type="dxa"/>
          </w:tcPr>
          <w:p w14:paraId="5B7EED8B"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87841" w:rsidRPr="00384E54" w14:paraId="07528FB5" w14:textId="77777777" w:rsidTr="00AD728D">
        <w:tblPrEx>
          <w:tblCellMar>
            <w:top w:w="0" w:type="dxa"/>
            <w:bottom w:w="0" w:type="dxa"/>
          </w:tblCellMar>
        </w:tblPrEx>
        <w:tc>
          <w:tcPr>
            <w:tcW w:w="1247" w:type="dxa"/>
          </w:tcPr>
          <w:p w14:paraId="566EAD08"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6EF0F16E"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דיווח למבקר המדינה</w:t>
            </w:r>
          </w:p>
        </w:tc>
        <w:tc>
          <w:tcPr>
            <w:tcW w:w="567" w:type="dxa"/>
          </w:tcPr>
          <w:p w14:paraId="2C6B0DE3" w14:textId="77777777" w:rsidR="00287841" w:rsidRPr="00384E54" w:rsidRDefault="00287841" w:rsidP="00AD728D">
            <w:pPr>
              <w:spacing w:line="240" w:lineRule="auto"/>
              <w:jc w:val="left"/>
              <w:rPr>
                <w:rStyle w:val="Hyperlink"/>
                <w:rtl/>
              </w:rPr>
            </w:pPr>
            <w:hyperlink w:anchor="Seif9" w:tooltip="דיווח למבקר המדינה" w:history="1">
              <w:r w:rsidRPr="00384E54">
                <w:rPr>
                  <w:rStyle w:val="Hyperlink"/>
                </w:rPr>
                <w:t>Go</w:t>
              </w:r>
            </w:hyperlink>
          </w:p>
        </w:tc>
        <w:tc>
          <w:tcPr>
            <w:tcW w:w="850" w:type="dxa"/>
          </w:tcPr>
          <w:p w14:paraId="220079EF"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87841" w:rsidRPr="00384E54" w14:paraId="4490F251" w14:textId="77777777" w:rsidTr="00AD728D">
        <w:tblPrEx>
          <w:tblCellMar>
            <w:top w:w="0" w:type="dxa"/>
            <w:bottom w:w="0" w:type="dxa"/>
          </w:tblCellMar>
        </w:tblPrEx>
        <w:tc>
          <w:tcPr>
            <w:tcW w:w="1247" w:type="dxa"/>
          </w:tcPr>
          <w:p w14:paraId="055FC9FB"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14:paraId="46D450A4"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הצהרה שנתית</w:t>
            </w:r>
          </w:p>
        </w:tc>
        <w:tc>
          <w:tcPr>
            <w:tcW w:w="567" w:type="dxa"/>
          </w:tcPr>
          <w:p w14:paraId="5A266EBB" w14:textId="77777777" w:rsidR="00287841" w:rsidRPr="00384E54" w:rsidRDefault="00287841" w:rsidP="00AD728D">
            <w:pPr>
              <w:spacing w:line="240" w:lineRule="auto"/>
              <w:jc w:val="left"/>
              <w:rPr>
                <w:rStyle w:val="Hyperlink"/>
                <w:rtl/>
              </w:rPr>
            </w:pPr>
            <w:hyperlink w:anchor="Seif10" w:tooltip="הצהרה שנתית" w:history="1">
              <w:r w:rsidRPr="00384E54">
                <w:rPr>
                  <w:rStyle w:val="Hyperlink"/>
                </w:rPr>
                <w:t>Go</w:t>
              </w:r>
            </w:hyperlink>
          </w:p>
        </w:tc>
        <w:tc>
          <w:tcPr>
            <w:tcW w:w="850" w:type="dxa"/>
          </w:tcPr>
          <w:p w14:paraId="0F72DCE5"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87841" w:rsidRPr="00384E54" w14:paraId="004C1742" w14:textId="77777777" w:rsidTr="00AD728D">
        <w:tblPrEx>
          <w:tblCellMar>
            <w:top w:w="0" w:type="dxa"/>
            <w:bottom w:w="0" w:type="dxa"/>
          </w:tblCellMar>
        </w:tblPrEx>
        <w:tc>
          <w:tcPr>
            <w:tcW w:w="1247" w:type="dxa"/>
          </w:tcPr>
          <w:p w14:paraId="07ACDEF4"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14:paraId="0DF1DBBC"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פעולות מבקר המדינה</w:t>
            </w:r>
          </w:p>
        </w:tc>
        <w:tc>
          <w:tcPr>
            <w:tcW w:w="567" w:type="dxa"/>
          </w:tcPr>
          <w:p w14:paraId="12876B67" w14:textId="77777777" w:rsidR="00287841" w:rsidRPr="00384E54" w:rsidRDefault="00287841" w:rsidP="00AD728D">
            <w:pPr>
              <w:spacing w:line="240" w:lineRule="auto"/>
              <w:jc w:val="left"/>
              <w:rPr>
                <w:rStyle w:val="Hyperlink"/>
                <w:rtl/>
              </w:rPr>
            </w:pPr>
            <w:hyperlink w:anchor="Seif11" w:tooltip="פעולות מבקר המדינה" w:history="1">
              <w:r w:rsidRPr="00384E54">
                <w:rPr>
                  <w:rStyle w:val="Hyperlink"/>
                </w:rPr>
                <w:t>Go</w:t>
              </w:r>
            </w:hyperlink>
          </w:p>
        </w:tc>
        <w:tc>
          <w:tcPr>
            <w:tcW w:w="850" w:type="dxa"/>
          </w:tcPr>
          <w:p w14:paraId="7030196B"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87841" w:rsidRPr="00384E54" w14:paraId="350D09A2" w14:textId="77777777" w:rsidTr="00AD728D">
        <w:tblPrEx>
          <w:tblCellMar>
            <w:top w:w="0" w:type="dxa"/>
            <w:bottom w:w="0" w:type="dxa"/>
          </w:tblCellMar>
        </w:tblPrEx>
        <w:tc>
          <w:tcPr>
            <w:tcW w:w="1247" w:type="dxa"/>
          </w:tcPr>
          <w:p w14:paraId="0224FC59"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14:paraId="5FF18CBE"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התפטרות והפסקת עיסוק</w:t>
            </w:r>
          </w:p>
        </w:tc>
        <w:tc>
          <w:tcPr>
            <w:tcW w:w="567" w:type="dxa"/>
          </w:tcPr>
          <w:p w14:paraId="50B135E5" w14:textId="77777777" w:rsidR="00287841" w:rsidRPr="00384E54" w:rsidRDefault="00287841" w:rsidP="00AD728D">
            <w:pPr>
              <w:spacing w:line="240" w:lineRule="auto"/>
              <w:jc w:val="left"/>
              <w:rPr>
                <w:rStyle w:val="Hyperlink"/>
                <w:rtl/>
              </w:rPr>
            </w:pPr>
            <w:hyperlink w:anchor="Seif12" w:tooltip="התפטרות והפסקת עיסוק" w:history="1">
              <w:r w:rsidRPr="00384E54">
                <w:rPr>
                  <w:rStyle w:val="Hyperlink"/>
                </w:rPr>
                <w:t>Go</w:t>
              </w:r>
            </w:hyperlink>
          </w:p>
        </w:tc>
        <w:tc>
          <w:tcPr>
            <w:tcW w:w="850" w:type="dxa"/>
          </w:tcPr>
          <w:p w14:paraId="396D66C9"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87841" w:rsidRPr="00384E54" w14:paraId="07C76A2A" w14:textId="77777777" w:rsidTr="00AD728D">
        <w:tblPrEx>
          <w:tblCellMar>
            <w:top w:w="0" w:type="dxa"/>
            <w:bottom w:w="0" w:type="dxa"/>
          </w:tblCellMar>
        </w:tblPrEx>
        <w:tc>
          <w:tcPr>
            <w:tcW w:w="1247" w:type="dxa"/>
          </w:tcPr>
          <w:p w14:paraId="503752CF"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14:paraId="7570A98F"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מכירת עסק ומניות עם תחילת הכהונה</w:t>
            </w:r>
          </w:p>
        </w:tc>
        <w:tc>
          <w:tcPr>
            <w:tcW w:w="567" w:type="dxa"/>
          </w:tcPr>
          <w:p w14:paraId="7E25D565" w14:textId="77777777" w:rsidR="00287841" w:rsidRPr="00384E54" w:rsidRDefault="00287841" w:rsidP="00AD728D">
            <w:pPr>
              <w:spacing w:line="240" w:lineRule="auto"/>
              <w:jc w:val="left"/>
              <w:rPr>
                <w:rStyle w:val="Hyperlink"/>
                <w:rtl/>
              </w:rPr>
            </w:pPr>
            <w:hyperlink w:anchor="Seif13" w:tooltip="מכירת עסק ומניות עם תחילת הכהונה" w:history="1">
              <w:r w:rsidRPr="00384E54">
                <w:rPr>
                  <w:rStyle w:val="Hyperlink"/>
                </w:rPr>
                <w:t>Go</w:t>
              </w:r>
            </w:hyperlink>
          </w:p>
        </w:tc>
        <w:tc>
          <w:tcPr>
            <w:tcW w:w="850" w:type="dxa"/>
          </w:tcPr>
          <w:p w14:paraId="0C788D0A"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87841" w:rsidRPr="00384E54" w14:paraId="4104CF5C" w14:textId="77777777" w:rsidTr="00AD728D">
        <w:tblPrEx>
          <w:tblCellMar>
            <w:top w:w="0" w:type="dxa"/>
            <w:bottom w:w="0" w:type="dxa"/>
          </w:tblCellMar>
        </w:tblPrEx>
        <w:tc>
          <w:tcPr>
            <w:tcW w:w="1247" w:type="dxa"/>
          </w:tcPr>
          <w:p w14:paraId="08408336"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14:paraId="2DF659B4"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העמדה לביקורת מבקר המדינה</w:t>
            </w:r>
          </w:p>
        </w:tc>
        <w:tc>
          <w:tcPr>
            <w:tcW w:w="567" w:type="dxa"/>
          </w:tcPr>
          <w:p w14:paraId="5EDC12E0" w14:textId="77777777" w:rsidR="00287841" w:rsidRPr="00384E54" w:rsidRDefault="00287841" w:rsidP="00AD728D">
            <w:pPr>
              <w:spacing w:line="240" w:lineRule="auto"/>
              <w:jc w:val="left"/>
              <w:rPr>
                <w:rStyle w:val="Hyperlink"/>
                <w:rtl/>
              </w:rPr>
            </w:pPr>
            <w:hyperlink w:anchor="Seif14" w:tooltip="העמדה לביקורת מבקר המדינה" w:history="1">
              <w:r w:rsidRPr="00384E54">
                <w:rPr>
                  <w:rStyle w:val="Hyperlink"/>
                </w:rPr>
                <w:t>Go</w:t>
              </w:r>
            </w:hyperlink>
          </w:p>
        </w:tc>
        <w:tc>
          <w:tcPr>
            <w:tcW w:w="850" w:type="dxa"/>
          </w:tcPr>
          <w:p w14:paraId="3BCCF5F7"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87841" w:rsidRPr="00384E54" w14:paraId="6F05DFD0" w14:textId="77777777" w:rsidTr="00AD728D">
        <w:tblPrEx>
          <w:tblCellMar>
            <w:top w:w="0" w:type="dxa"/>
            <w:bottom w:w="0" w:type="dxa"/>
          </w:tblCellMar>
        </w:tblPrEx>
        <w:tc>
          <w:tcPr>
            <w:tcW w:w="1247" w:type="dxa"/>
          </w:tcPr>
          <w:p w14:paraId="7093D2F6"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14:paraId="72111FB3"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מכירה תוך שמירת זכויות</w:t>
            </w:r>
          </w:p>
        </w:tc>
        <w:tc>
          <w:tcPr>
            <w:tcW w:w="567" w:type="dxa"/>
          </w:tcPr>
          <w:p w14:paraId="15FA0B71" w14:textId="77777777" w:rsidR="00287841" w:rsidRPr="00384E54" w:rsidRDefault="00287841" w:rsidP="00AD728D">
            <w:pPr>
              <w:spacing w:line="240" w:lineRule="auto"/>
              <w:jc w:val="left"/>
              <w:rPr>
                <w:rStyle w:val="Hyperlink"/>
                <w:rtl/>
              </w:rPr>
            </w:pPr>
            <w:hyperlink w:anchor="Seif15" w:tooltip="מכירה תוך שמירת זכויות" w:history="1">
              <w:r w:rsidRPr="00384E54">
                <w:rPr>
                  <w:rStyle w:val="Hyperlink"/>
                </w:rPr>
                <w:t>Go</w:t>
              </w:r>
            </w:hyperlink>
          </w:p>
        </w:tc>
        <w:tc>
          <w:tcPr>
            <w:tcW w:w="850" w:type="dxa"/>
          </w:tcPr>
          <w:p w14:paraId="3495B9CE"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87841" w:rsidRPr="00384E54" w14:paraId="2A6000AD" w14:textId="77777777" w:rsidTr="00AD728D">
        <w:tblPrEx>
          <w:tblCellMar>
            <w:top w:w="0" w:type="dxa"/>
            <w:bottom w:w="0" w:type="dxa"/>
          </w:tblCellMar>
        </w:tblPrEx>
        <w:tc>
          <w:tcPr>
            <w:tcW w:w="1247" w:type="dxa"/>
          </w:tcPr>
          <w:p w14:paraId="4F680F72"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14:paraId="66255D02"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העברת ניירות ערך לנאמנות</w:t>
            </w:r>
          </w:p>
        </w:tc>
        <w:tc>
          <w:tcPr>
            <w:tcW w:w="567" w:type="dxa"/>
          </w:tcPr>
          <w:p w14:paraId="426DF257" w14:textId="77777777" w:rsidR="00287841" w:rsidRPr="00384E54" w:rsidRDefault="00287841" w:rsidP="00AD728D">
            <w:pPr>
              <w:spacing w:line="240" w:lineRule="auto"/>
              <w:jc w:val="left"/>
              <w:rPr>
                <w:rStyle w:val="Hyperlink"/>
                <w:rtl/>
              </w:rPr>
            </w:pPr>
            <w:hyperlink w:anchor="Seif16" w:tooltip="העברת ניירות ערך לנאמנות" w:history="1">
              <w:r w:rsidRPr="00384E54">
                <w:rPr>
                  <w:rStyle w:val="Hyperlink"/>
                </w:rPr>
                <w:t>Go</w:t>
              </w:r>
            </w:hyperlink>
          </w:p>
        </w:tc>
        <w:tc>
          <w:tcPr>
            <w:tcW w:w="850" w:type="dxa"/>
          </w:tcPr>
          <w:p w14:paraId="0EF6BA91"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87841" w:rsidRPr="00384E54" w14:paraId="14A69175" w14:textId="77777777" w:rsidTr="00AD728D">
        <w:tblPrEx>
          <w:tblCellMar>
            <w:top w:w="0" w:type="dxa"/>
            <w:bottom w:w="0" w:type="dxa"/>
          </w:tblCellMar>
        </w:tblPrEx>
        <w:tc>
          <w:tcPr>
            <w:tcW w:w="1247" w:type="dxa"/>
          </w:tcPr>
          <w:p w14:paraId="4006C8EF"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14:paraId="5F575BBA"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הצהרה על הון, נכסים וזכויות בעת תחילת הכהונה</w:t>
            </w:r>
          </w:p>
        </w:tc>
        <w:tc>
          <w:tcPr>
            <w:tcW w:w="567" w:type="dxa"/>
          </w:tcPr>
          <w:p w14:paraId="3566E5C8" w14:textId="77777777" w:rsidR="00287841" w:rsidRPr="00384E54" w:rsidRDefault="00287841" w:rsidP="00AD728D">
            <w:pPr>
              <w:spacing w:line="240" w:lineRule="auto"/>
              <w:jc w:val="left"/>
              <w:rPr>
                <w:rStyle w:val="Hyperlink"/>
                <w:rtl/>
              </w:rPr>
            </w:pPr>
            <w:hyperlink w:anchor="Seif17" w:tooltip="הצהרה על הון, נכסים וזכויות בעת תחילת הכהונה" w:history="1">
              <w:r w:rsidRPr="00384E54">
                <w:rPr>
                  <w:rStyle w:val="Hyperlink"/>
                </w:rPr>
                <w:t>Go</w:t>
              </w:r>
            </w:hyperlink>
          </w:p>
        </w:tc>
        <w:tc>
          <w:tcPr>
            <w:tcW w:w="850" w:type="dxa"/>
          </w:tcPr>
          <w:p w14:paraId="478A031F"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287841" w:rsidRPr="00384E54" w14:paraId="68B7CEE0" w14:textId="77777777" w:rsidTr="00AD728D">
        <w:tblPrEx>
          <w:tblCellMar>
            <w:top w:w="0" w:type="dxa"/>
            <w:bottom w:w="0" w:type="dxa"/>
          </w:tblCellMar>
        </w:tblPrEx>
        <w:tc>
          <w:tcPr>
            <w:tcW w:w="1247" w:type="dxa"/>
          </w:tcPr>
          <w:p w14:paraId="5526FD22"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14:paraId="53C9F411"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מינוי הועדה</w:t>
            </w:r>
          </w:p>
        </w:tc>
        <w:tc>
          <w:tcPr>
            <w:tcW w:w="567" w:type="dxa"/>
          </w:tcPr>
          <w:p w14:paraId="05A50D8A" w14:textId="77777777" w:rsidR="00287841" w:rsidRPr="00384E54" w:rsidRDefault="00287841" w:rsidP="00AD728D">
            <w:pPr>
              <w:spacing w:line="240" w:lineRule="auto"/>
              <w:jc w:val="left"/>
              <w:rPr>
                <w:rStyle w:val="Hyperlink"/>
                <w:rtl/>
              </w:rPr>
            </w:pPr>
            <w:hyperlink w:anchor="Seif18" w:tooltip="מינוי הועדה" w:history="1">
              <w:r w:rsidRPr="00384E54">
                <w:rPr>
                  <w:rStyle w:val="Hyperlink"/>
                </w:rPr>
                <w:t>Go</w:t>
              </w:r>
            </w:hyperlink>
          </w:p>
        </w:tc>
        <w:tc>
          <w:tcPr>
            <w:tcW w:w="850" w:type="dxa"/>
          </w:tcPr>
          <w:p w14:paraId="2805270C"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287841" w:rsidRPr="00384E54" w14:paraId="0901AEC7" w14:textId="77777777" w:rsidTr="00AD728D">
        <w:tblPrEx>
          <w:tblCellMar>
            <w:top w:w="0" w:type="dxa"/>
            <w:bottom w:w="0" w:type="dxa"/>
          </w:tblCellMar>
        </w:tblPrEx>
        <w:tc>
          <w:tcPr>
            <w:tcW w:w="1247" w:type="dxa"/>
          </w:tcPr>
          <w:p w14:paraId="6E884735"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14:paraId="7D20A24E"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סמכות הועדה</w:t>
            </w:r>
          </w:p>
        </w:tc>
        <w:tc>
          <w:tcPr>
            <w:tcW w:w="567" w:type="dxa"/>
          </w:tcPr>
          <w:p w14:paraId="67FF7375" w14:textId="77777777" w:rsidR="00287841" w:rsidRPr="00384E54" w:rsidRDefault="00287841" w:rsidP="00AD728D">
            <w:pPr>
              <w:spacing w:line="240" w:lineRule="auto"/>
              <w:jc w:val="left"/>
              <w:rPr>
                <w:rStyle w:val="Hyperlink"/>
                <w:rtl/>
              </w:rPr>
            </w:pPr>
            <w:hyperlink w:anchor="Seif19" w:tooltip="סמכות הועדה" w:history="1">
              <w:r w:rsidRPr="00384E54">
                <w:rPr>
                  <w:rStyle w:val="Hyperlink"/>
                </w:rPr>
                <w:t>Go</w:t>
              </w:r>
            </w:hyperlink>
          </w:p>
        </w:tc>
        <w:tc>
          <w:tcPr>
            <w:tcW w:w="850" w:type="dxa"/>
          </w:tcPr>
          <w:p w14:paraId="4DFD49B6"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287841" w:rsidRPr="00384E54" w14:paraId="48DFD4B7" w14:textId="77777777" w:rsidTr="00AD728D">
        <w:tblPrEx>
          <w:tblCellMar>
            <w:top w:w="0" w:type="dxa"/>
            <w:bottom w:w="0" w:type="dxa"/>
          </w:tblCellMar>
        </w:tblPrEx>
        <w:tc>
          <w:tcPr>
            <w:tcW w:w="1247" w:type="dxa"/>
          </w:tcPr>
          <w:p w14:paraId="209AABBC"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14:paraId="68BB21E9"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בקשה להיתר</w:t>
            </w:r>
          </w:p>
        </w:tc>
        <w:tc>
          <w:tcPr>
            <w:tcW w:w="567" w:type="dxa"/>
          </w:tcPr>
          <w:p w14:paraId="6E10E6F2" w14:textId="77777777" w:rsidR="00287841" w:rsidRPr="00384E54" w:rsidRDefault="00287841" w:rsidP="00AD728D">
            <w:pPr>
              <w:spacing w:line="240" w:lineRule="auto"/>
              <w:jc w:val="left"/>
              <w:rPr>
                <w:rStyle w:val="Hyperlink"/>
                <w:rtl/>
              </w:rPr>
            </w:pPr>
            <w:hyperlink w:anchor="Seif20" w:tooltip="בקשה להיתר" w:history="1">
              <w:r w:rsidRPr="00384E54">
                <w:rPr>
                  <w:rStyle w:val="Hyperlink"/>
                </w:rPr>
                <w:t>Go</w:t>
              </w:r>
            </w:hyperlink>
          </w:p>
        </w:tc>
        <w:tc>
          <w:tcPr>
            <w:tcW w:w="850" w:type="dxa"/>
          </w:tcPr>
          <w:p w14:paraId="1978C30F"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287841" w:rsidRPr="00384E54" w14:paraId="526F9404" w14:textId="77777777" w:rsidTr="00AD728D">
        <w:tblPrEx>
          <w:tblCellMar>
            <w:top w:w="0" w:type="dxa"/>
            <w:bottom w:w="0" w:type="dxa"/>
          </w:tblCellMar>
        </w:tblPrEx>
        <w:tc>
          <w:tcPr>
            <w:tcW w:w="1247" w:type="dxa"/>
          </w:tcPr>
          <w:p w14:paraId="4DF04825"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14:paraId="160CA137"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החלטת הועדה</w:t>
            </w:r>
          </w:p>
        </w:tc>
        <w:tc>
          <w:tcPr>
            <w:tcW w:w="567" w:type="dxa"/>
          </w:tcPr>
          <w:p w14:paraId="7D91726D" w14:textId="77777777" w:rsidR="00287841" w:rsidRPr="00384E54" w:rsidRDefault="00287841" w:rsidP="00AD728D">
            <w:pPr>
              <w:spacing w:line="240" w:lineRule="auto"/>
              <w:jc w:val="left"/>
              <w:rPr>
                <w:rStyle w:val="Hyperlink"/>
                <w:rtl/>
              </w:rPr>
            </w:pPr>
            <w:hyperlink w:anchor="Seif21" w:tooltip="החלטת הועדה" w:history="1">
              <w:r w:rsidRPr="00384E54">
                <w:rPr>
                  <w:rStyle w:val="Hyperlink"/>
                </w:rPr>
                <w:t>Go</w:t>
              </w:r>
            </w:hyperlink>
          </w:p>
        </w:tc>
        <w:tc>
          <w:tcPr>
            <w:tcW w:w="850" w:type="dxa"/>
          </w:tcPr>
          <w:p w14:paraId="4FDFA952"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287841" w:rsidRPr="00384E54" w14:paraId="521967D5" w14:textId="77777777" w:rsidTr="00AD728D">
        <w:tblPrEx>
          <w:tblCellMar>
            <w:top w:w="0" w:type="dxa"/>
            <w:bottom w:w="0" w:type="dxa"/>
          </w:tblCellMar>
        </w:tblPrEx>
        <w:tc>
          <w:tcPr>
            <w:tcW w:w="1247" w:type="dxa"/>
          </w:tcPr>
          <w:p w14:paraId="1D8E4681"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14:paraId="76338FA9"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ביטול היתר</w:t>
            </w:r>
          </w:p>
        </w:tc>
        <w:tc>
          <w:tcPr>
            <w:tcW w:w="567" w:type="dxa"/>
          </w:tcPr>
          <w:p w14:paraId="331B4D91" w14:textId="77777777" w:rsidR="00287841" w:rsidRPr="00384E54" w:rsidRDefault="00287841" w:rsidP="00AD728D">
            <w:pPr>
              <w:spacing w:line="240" w:lineRule="auto"/>
              <w:jc w:val="left"/>
              <w:rPr>
                <w:rStyle w:val="Hyperlink"/>
                <w:rtl/>
              </w:rPr>
            </w:pPr>
            <w:hyperlink w:anchor="Seif22" w:tooltip="ביטול היתר" w:history="1">
              <w:r w:rsidRPr="00384E54">
                <w:rPr>
                  <w:rStyle w:val="Hyperlink"/>
                </w:rPr>
                <w:t>Go</w:t>
              </w:r>
            </w:hyperlink>
          </w:p>
        </w:tc>
        <w:tc>
          <w:tcPr>
            <w:tcW w:w="850" w:type="dxa"/>
          </w:tcPr>
          <w:p w14:paraId="397B813A"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287841" w:rsidRPr="00384E54" w14:paraId="082800CF" w14:textId="77777777" w:rsidTr="00AD728D">
        <w:tblPrEx>
          <w:tblCellMar>
            <w:top w:w="0" w:type="dxa"/>
            <w:bottom w:w="0" w:type="dxa"/>
          </w:tblCellMar>
        </w:tblPrEx>
        <w:tc>
          <w:tcPr>
            <w:tcW w:w="1247" w:type="dxa"/>
          </w:tcPr>
          <w:p w14:paraId="33B14772"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14:paraId="330EBDED"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שכר והוצאות</w:t>
            </w:r>
          </w:p>
        </w:tc>
        <w:tc>
          <w:tcPr>
            <w:tcW w:w="567" w:type="dxa"/>
          </w:tcPr>
          <w:p w14:paraId="5798FAF2" w14:textId="77777777" w:rsidR="00287841" w:rsidRPr="00384E54" w:rsidRDefault="00287841" w:rsidP="00AD728D">
            <w:pPr>
              <w:spacing w:line="240" w:lineRule="auto"/>
              <w:jc w:val="left"/>
              <w:rPr>
                <w:rStyle w:val="Hyperlink"/>
                <w:rtl/>
              </w:rPr>
            </w:pPr>
            <w:hyperlink w:anchor="Seif23" w:tooltip="שכר והוצאות" w:history="1">
              <w:r w:rsidRPr="00384E54">
                <w:rPr>
                  <w:rStyle w:val="Hyperlink"/>
                </w:rPr>
                <w:t>Go</w:t>
              </w:r>
            </w:hyperlink>
          </w:p>
        </w:tc>
        <w:tc>
          <w:tcPr>
            <w:tcW w:w="850" w:type="dxa"/>
          </w:tcPr>
          <w:p w14:paraId="22E00B8E"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287841" w:rsidRPr="00384E54" w14:paraId="444833B2" w14:textId="77777777" w:rsidTr="00AD728D">
        <w:tblPrEx>
          <w:tblCellMar>
            <w:top w:w="0" w:type="dxa"/>
            <w:bottom w:w="0" w:type="dxa"/>
          </w:tblCellMar>
        </w:tblPrEx>
        <w:tc>
          <w:tcPr>
            <w:tcW w:w="1247" w:type="dxa"/>
          </w:tcPr>
          <w:p w14:paraId="01B3BDD9"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14:paraId="6786ED98" w14:textId="77777777" w:rsidR="00287841" w:rsidRPr="00384E54" w:rsidRDefault="00287841" w:rsidP="00AD728D">
            <w:pPr>
              <w:spacing w:line="240" w:lineRule="auto"/>
              <w:jc w:val="left"/>
              <w:rPr>
                <w:rStyle w:val="default"/>
                <w:rFonts w:cs="Frankruhel"/>
                <w:sz w:val="24"/>
                <w:szCs w:val="24"/>
                <w:rtl/>
              </w:rPr>
            </w:pPr>
            <w:r>
              <w:rPr>
                <w:rStyle w:val="default"/>
                <w:sz w:val="24"/>
                <w:szCs w:val="24"/>
                <w:rtl/>
              </w:rPr>
              <w:t>הארכת מועדים</w:t>
            </w:r>
          </w:p>
        </w:tc>
        <w:tc>
          <w:tcPr>
            <w:tcW w:w="567" w:type="dxa"/>
          </w:tcPr>
          <w:p w14:paraId="3E55D02A" w14:textId="77777777" w:rsidR="00287841" w:rsidRPr="00384E54" w:rsidRDefault="00287841" w:rsidP="00AD728D">
            <w:pPr>
              <w:spacing w:line="240" w:lineRule="auto"/>
              <w:jc w:val="left"/>
              <w:rPr>
                <w:rStyle w:val="Hyperlink"/>
                <w:rtl/>
              </w:rPr>
            </w:pPr>
            <w:hyperlink w:anchor="Seif24" w:tooltip="הארכת מועדים" w:history="1">
              <w:r w:rsidRPr="00384E54">
                <w:rPr>
                  <w:rStyle w:val="Hyperlink"/>
                </w:rPr>
                <w:t>Go</w:t>
              </w:r>
            </w:hyperlink>
          </w:p>
        </w:tc>
        <w:tc>
          <w:tcPr>
            <w:tcW w:w="850" w:type="dxa"/>
          </w:tcPr>
          <w:p w14:paraId="7D1FB3F8" w14:textId="77777777" w:rsidR="00287841" w:rsidRPr="00384E54" w:rsidRDefault="00287841" w:rsidP="00AD728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bl>
    <w:p w14:paraId="20F3FE38" w14:textId="77777777" w:rsidR="00287841" w:rsidRDefault="00287841">
      <w:pPr>
        <w:pStyle w:val="big-header"/>
        <w:ind w:left="0" w:right="1134"/>
        <w:rPr>
          <w:rFonts w:cs="FrankRuehl" w:hint="cs"/>
          <w:sz w:val="32"/>
          <w:rtl/>
        </w:rPr>
      </w:pPr>
    </w:p>
    <w:p w14:paraId="4B6C79EB" w14:textId="77777777" w:rsidR="00287841" w:rsidRDefault="00287841" w:rsidP="00287841">
      <w:pPr>
        <w:pStyle w:val="big-header"/>
        <w:ind w:left="0" w:right="1134"/>
        <w:rPr>
          <w:rStyle w:val="default"/>
          <w:rFonts w:hint="cs"/>
          <w:sz w:val="22"/>
          <w:szCs w:val="22"/>
          <w:rtl/>
        </w:rPr>
      </w:pPr>
      <w:r>
        <w:rPr>
          <w:rFonts w:cs="FrankRuehl"/>
          <w:sz w:val="32"/>
          <w:rtl/>
        </w:rPr>
        <w:br w:type="page"/>
      </w:r>
      <w:r>
        <w:rPr>
          <w:rFonts w:cs="FrankRuehl"/>
          <w:sz w:val="32"/>
          <w:rtl/>
        </w:rPr>
        <w:lastRenderedPageBreak/>
        <w:t>הו</w:t>
      </w:r>
      <w:r>
        <w:rPr>
          <w:rFonts w:cs="FrankRuehl" w:hint="cs"/>
          <w:sz w:val="32"/>
          <w:rtl/>
        </w:rPr>
        <w:t>דעה</w:t>
      </w:r>
      <w:r>
        <w:rPr>
          <w:rFonts w:cs="FrankRuehl"/>
          <w:sz w:val="32"/>
          <w:rtl/>
        </w:rPr>
        <w:t xml:space="preserve"> </w:t>
      </w:r>
      <w:r>
        <w:rPr>
          <w:rFonts w:cs="FrankRuehl" w:hint="cs"/>
          <w:sz w:val="32"/>
          <w:rtl/>
        </w:rPr>
        <w:t>בדבר כללים למניעת ניגוד ענינים של שרים וסגני שרים, תשס"ג-2003</w:t>
      </w:r>
      <w:r>
        <w:rPr>
          <w:rStyle w:val="default"/>
          <w:sz w:val="22"/>
          <w:szCs w:val="22"/>
          <w:rtl/>
        </w:rPr>
        <w:footnoteReference w:customMarkFollows="1" w:id="1"/>
        <w:t>*</w:t>
      </w:r>
    </w:p>
    <w:p w14:paraId="1B8E0277" w14:textId="77777777" w:rsidR="00713F8B" w:rsidRDefault="00713F8B">
      <w:pPr>
        <w:pStyle w:val="P00"/>
        <w:spacing w:before="72"/>
        <w:ind w:left="0" w:right="1134"/>
        <w:rPr>
          <w:rStyle w:val="default"/>
          <w:rFonts w:cs="FrankRuehl" w:hint="cs"/>
          <w:rtl/>
        </w:rPr>
      </w:pPr>
      <w:r>
        <w:rPr>
          <w:rStyle w:val="default"/>
          <w:rFonts w:cs="FrankRuehl" w:hint="cs"/>
          <w:rtl/>
        </w:rPr>
        <w:tab/>
      </w:r>
      <w:r>
        <w:rPr>
          <w:rStyle w:val="default"/>
          <w:rFonts w:cs="FrankRuehl"/>
          <w:rtl/>
        </w:rPr>
        <w:t>מו</w:t>
      </w:r>
      <w:r>
        <w:rPr>
          <w:rStyle w:val="default"/>
          <w:rFonts w:cs="FrankRuehl" w:hint="cs"/>
          <w:rtl/>
        </w:rPr>
        <w:t xml:space="preserve">דיעים בזה כי הממשלה תיקנה את הכללים שקבעה למניעת ניגוד ענינים של שרים וסגני שרים, שהודעה עליהם פורסמה בילקוט הפרסומים 4936, התשס"א, עמ' 462 (להלן </w:t>
      </w:r>
      <w:r>
        <w:rPr>
          <w:rStyle w:val="default"/>
          <w:rFonts w:cs="FrankRuehl"/>
          <w:rtl/>
        </w:rPr>
        <w:t>–</w:t>
      </w:r>
      <w:r>
        <w:rPr>
          <w:rStyle w:val="default"/>
          <w:rFonts w:cs="FrankRuehl" w:hint="cs"/>
          <w:rtl/>
        </w:rPr>
        <w:t xml:space="preserve"> הכללים).</w:t>
      </w:r>
    </w:p>
    <w:p w14:paraId="32015DC2" w14:textId="77777777" w:rsidR="00713F8B" w:rsidRDefault="00713F8B">
      <w:pPr>
        <w:pStyle w:val="P00"/>
        <w:spacing w:before="72"/>
        <w:ind w:left="0" w:right="1134"/>
        <w:rPr>
          <w:rStyle w:val="default"/>
          <w:rFonts w:cs="FrankRuehl" w:hint="cs"/>
          <w:rtl/>
        </w:rPr>
      </w:pPr>
      <w:r>
        <w:rPr>
          <w:rStyle w:val="default"/>
          <w:rFonts w:cs="FrankRuehl" w:hint="cs"/>
          <w:rtl/>
        </w:rPr>
        <w:tab/>
        <w:t>נוסח הכללים המובא בזה יובא במקום הכללים האמורים.</w:t>
      </w:r>
    </w:p>
    <w:p w14:paraId="79769CBC" w14:textId="77777777" w:rsidR="00713F8B" w:rsidRDefault="00713F8B">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א': כללי</w:t>
      </w:r>
    </w:p>
    <w:p w14:paraId="5667E084" w14:textId="77777777" w:rsidR="00713F8B" w:rsidRDefault="00713F8B">
      <w:pPr>
        <w:pStyle w:val="P00"/>
        <w:spacing w:before="72"/>
        <w:ind w:left="0" w:right="1134"/>
        <w:rPr>
          <w:rStyle w:val="default"/>
          <w:rFonts w:cs="FrankRuehl" w:hint="cs"/>
          <w:rtl/>
        </w:rPr>
      </w:pPr>
      <w:bookmarkStart w:id="0" w:name="Seif1"/>
      <w:bookmarkEnd w:id="0"/>
      <w:r>
        <w:rPr>
          <w:rFonts w:cs="Miriam"/>
          <w:sz w:val="32"/>
          <w:szCs w:val="32"/>
          <w:rtl/>
          <w:lang w:val="he-IL"/>
        </w:rPr>
        <w:pict w14:anchorId="5EA75C5D">
          <v:shapetype id="_x0000_t202" coordsize="21600,21600" o:spt="202" path="m,l,21600r21600,l21600,xe">
            <v:stroke joinstyle="miter"/>
            <v:path gradientshapeok="t" o:connecttype="rect"/>
          </v:shapetype>
          <v:shape id="_x0000_s2050" type="#_x0000_t202" style="position:absolute;left:0;text-align:left;margin-left:470.25pt;margin-top:1.1pt;width:1in;height:16.8pt;z-index:251645440" filled="f" stroked="f">
            <v:textbox inset="1mm,,1mm">
              <w:txbxContent>
                <w:p w14:paraId="3CA0B8DE" w14:textId="77777777" w:rsidR="00713F8B" w:rsidRDefault="00713F8B">
                  <w:pPr>
                    <w:spacing w:line="160" w:lineRule="exact"/>
                    <w:jc w:val="lef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1</w:t>
      </w:r>
      <w:r>
        <w:rPr>
          <w:rStyle w:val="default"/>
          <w:rFonts w:cs="FrankRuehl" w:hint="cs"/>
          <w:rtl/>
        </w:rPr>
        <w:t>.</w:t>
      </w:r>
      <w:r>
        <w:rPr>
          <w:rStyle w:val="default"/>
          <w:rFonts w:cs="FrankRuehl" w:hint="cs"/>
          <w:rtl/>
        </w:rPr>
        <w:tab/>
        <w:t xml:space="preserve">בכללים אלה </w:t>
      </w:r>
      <w:r>
        <w:rPr>
          <w:rStyle w:val="default"/>
          <w:rFonts w:cs="FrankRuehl"/>
          <w:rtl/>
        </w:rPr>
        <w:t>–</w:t>
      </w:r>
    </w:p>
    <w:p w14:paraId="6A1D0A7B" w14:textId="77777777" w:rsidR="00713F8B" w:rsidRDefault="00713F8B">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בן זוג, ילד קטין, או כל קרוב שפרנסתו על השר;</w:t>
      </w:r>
    </w:p>
    <w:p w14:paraId="77280B6A" w14:textId="77777777" w:rsidR="00713F8B" w:rsidRDefault="00713F8B">
      <w:pPr>
        <w:pStyle w:val="P00"/>
        <w:spacing w:before="72"/>
        <w:ind w:left="0" w:right="1134"/>
        <w:rPr>
          <w:rStyle w:val="default"/>
          <w:rFonts w:cs="FrankRuehl" w:hint="cs"/>
          <w:rtl/>
        </w:rPr>
      </w:pPr>
      <w:r>
        <w:rPr>
          <w:rStyle w:val="default"/>
          <w:rFonts w:cs="FrankRuehl" w:hint="cs"/>
          <w:rtl/>
        </w:rPr>
        <w:tab/>
        <w:t xml:space="preserve">"חבר בני אדם" </w:t>
      </w:r>
      <w:r>
        <w:rPr>
          <w:rStyle w:val="default"/>
          <w:rFonts w:cs="FrankRuehl"/>
          <w:rtl/>
        </w:rPr>
        <w:t>–</w:t>
      </w:r>
      <w:r>
        <w:rPr>
          <w:rStyle w:val="default"/>
          <w:rFonts w:cs="FrankRuehl" w:hint="cs"/>
          <w:rtl/>
        </w:rPr>
        <w:t xml:space="preserve"> כל גוף של שני בני אדם או יותר, בין מואגד ובין לא מואגד, חברה, אגודה שיתופית, שותפות, אגודה עותמאנית, התאחדות וכל גוף שנוסד על פי דין;</w:t>
      </w:r>
    </w:p>
    <w:p w14:paraId="564ACF94" w14:textId="77777777" w:rsidR="00713F8B" w:rsidRDefault="00713F8B">
      <w:pPr>
        <w:pStyle w:val="P00"/>
        <w:spacing w:before="72"/>
        <w:ind w:left="0" w:right="1134"/>
        <w:rPr>
          <w:rStyle w:val="default"/>
          <w:rFonts w:cs="FrankRuehl" w:hint="cs"/>
          <w:rtl/>
        </w:rPr>
      </w:pPr>
      <w:r>
        <w:rPr>
          <w:rStyle w:val="default"/>
          <w:rFonts w:cs="FrankRuehl" w:hint="cs"/>
          <w:rtl/>
        </w:rPr>
        <w:tab/>
        <w:t xml:space="preserve">"כספים" </w:t>
      </w:r>
      <w:r>
        <w:rPr>
          <w:rStyle w:val="default"/>
          <w:rFonts w:cs="FrankRuehl"/>
          <w:rtl/>
        </w:rPr>
        <w:t>–</w:t>
      </w:r>
      <w:r>
        <w:rPr>
          <w:rStyle w:val="default"/>
          <w:rFonts w:cs="FrankRuehl" w:hint="cs"/>
          <w:rtl/>
        </w:rPr>
        <w:t xml:space="preserve"> פיקודונות לסוגיהם השונים, בסכום העולה על הסכום הקובע, במטבע ישראלי, במטבע חוץ או באיגרות חוב המונפקות לפי חוק מילווה קצר מועד, התשמ"ד-1984, בכל סוג השקעה, למעט בתכניות חיסכון, בקרנות השתלמות ובקופות גמל;</w:t>
      </w:r>
    </w:p>
    <w:p w14:paraId="0F0A342A" w14:textId="77777777" w:rsidR="00713F8B" w:rsidRDefault="00B03F88" w:rsidP="003F0CB5">
      <w:pPr>
        <w:pStyle w:val="P00"/>
        <w:spacing w:before="72"/>
        <w:ind w:left="0" w:right="1134"/>
        <w:rPr>
          <w:rStyle w:val="default"/>
          <w:rFonts w:cs="FrankRuehl" w:hint="cs"/>
          <w:rtl/>
        </w:rPr>
      </w:pPr>
      <w:r>
        <w:rPr>
          <w:rFonts w:cs="FrankRuehl" w:hint="cs"/>
          <w:sz w:val="26"/>
          <w:rtl/>
          <w:lang w:eastAsia="en-US"/>
        </w:rPr>
        <w:pict w14:anchorId="558F4B6D">
          <v:shape id="_x0000_s2076" type="#_x0000_t202" style="position:absolute;left:0;text-align:left;margin-left:462pt;margin-top:7.1pt;width:80.25pt;height:14.45pt;z-index:251670016" filled="f" stroked="f">
            <v:textbox inset="1mm,0,1mm,0">
              <w:txbxContent>
                <w:p w14:paraId="5BBEFDB4" w14:textId="77777777" w:rsidR="00B03F88" w:rsidRDefault="00B03F88" w:rsidP="003F0CB5">
                  <w:pPr>
                    <w:spacing w:line="160" w:lineRule="exact"/>
                    <w:jc w:val="left"/>
                    <w:rPr>
                      <w:rFonts w:cs="Miriam" w:hint="cs"/>
                      <w:sz w:val="18"/>
                      <w:szCs w:val="18"/>
                      <w:rtl/>
                    </w:rPr>
                  </w:pPr>
                  <w:r>
                    <w:rPr>
                      <w:rFonts w:cs="Miriam" w:hint="cs"/>
                      <w:sz w:val="18"/>
                      <w:szCs w:val="18"/>
                      <w:rtl/>
                    </w:rPr>
                    <w:t xml:space="preserve">הודעה </w:t>
                  </w:r>
                  <w:r w:rsidR="00116E0B">
                    <w:rPr>
                      <w:rFonts w:cs="Miriam" w:hint="cs"/>
                      <w:sz w:val="18"/>
                      <w:szCs w:val="18"/>
                      <w:rtl/>
                    </w:rPr>
                    <w:t>תש</w:t>
                  </w:r>
                  <w:r w:rsidR="00D90D6B">
                    <w:rPr>
                      <w:rFonts w:cs="Miriam" w:hint="cs"/>
                      <w:sz w:val="18"/>
                      <w:szCs w:val="18"/>
                      <w:rtl/>
                    </w:rPr>
                    <w:t>פ"</w:t>
                  </w:r>
                  <w:r w:rsidR="00444C64">
                    <w:rPr>
                      <w:rFonts w:cs="Miriam" w:hint="cs"/>
                      <w:sz w:val="18"/>
                      <w:szCs w:val="18"/>
                      <w:rtl/>
                    </w:rPr>
                    <w:t>ג</w:t>
                  </w:r>
                  <w:r w:rsidR="00D90D6B">
                    <w:rPr>
                      <w:rFonts w:cs="Miriam" w:hint="cs"/>
                      <w:sz w:val="18"/>
                      <w:szCs w:val="18"/>
                      <w:rtl/>
                    </w:rPr>
                    <w:t>-202</w:t>
                  </w:r>
                  <w:r w:rsidR="00444C64">
                    <w:rPr>
                      <w:rFonts w:cs="Miriam" w:hint="cs"/>
                      <w:sz w:val="18"/>
                      <w:szCs w:val="18"/>
                      <w:rtl/>
                    </w:rPr>
                    <w:t>3</w:t>
                  </w:r>
                </w:p>
              </w:txbxContent>
            </v:textbox>
          </v:shape>
        </w:pict>
      </w:r>
      <w:r w:rsidR="00713F8B">
        <w:rPr>
          <w:rStyle w:val="default"/>
          <w:rFonts w:cs="FrankRuehl" w:hint="cs"/>
          <w:rtl/>
        </w:rPr>
        <w:tab/>
        <w:t xml:space="preserve">"הסכום הקובע" </w:t>
      </w:r>
      <w:r w:rsidR="00713F8B">
        <w:rPr>
          <w:rStyle w:val="default"/>
          <w:rFonts w:cs="FrankRuehl"/>
          <w:rtl/>
        </w:rPr>
        <w:t>–</w:t>
      </w:r>
      <w:r w:rsidR="00713F8B">
        <w:rPr>
          <w:rStyle w:val="default"/>
          <w:rFonts w:cs="FrankRuehl" w:hint="cs"/>
          <w:rtl/>
        </w:rPr>
        <w:t xml:space="preserve"> </w:t>
      </w:r>
      <w:r w:rsidR="00444C64">
        <w:rPr>
          <w:rStyle w:val="default"/>
          <w:rFonts w:cs="FrankRuehl" w:hint="cs"/>
          <w:rtl/>
        </w:rPr>
        <w:t>265,306.38</w:t>
      </w:r>
      <w:r w:rsidR="00713F8B">
        <w:rPr>
          <w:rStyle w:val="default"/>
          <w:rFonts w:cs="FrankRuehl" w:hint="cs"/>
          <w:rtl/>
        </w:rPr>
        <w:t xml:space="preserve"> שקלים חדשים, הסכום האמור יהיה צמוד למדד המחירים לצרכן (להלן </w:t>
      </w:r>
      <w:r w:rsidR="00713F8B">
        <w:rPr>
          <w:rStyle w:val="default"/>
          <w:rFonts w:cs="FrankRuehl"/>
          <w:rtl/>
        </w:rPr>
        <w:t>–</w:t>
      </w:r>
      <w:r w:rsidR="00713F8B">
        <w:rPr>
          <w:rStyle w:val="default"/>
          <w:rFonts w:cs="FrankRuehl" w:hint="cs"/>
          <w:rtl/>
        </w:rPr>
        <w:t xml:space="preserve"> המדד) ויתשנה ב-1 בפברואר של כל שנה (להלן </w:t>
      </w:r>
      <w:r w:rsidR="00713F8B">
        <w:rPr>
          <w:rStyle w:val="default"/>
          <w:rFonts w:cs="FrankRuehl"/>
          <w:rtl/>
        </w:rPr>
        <w:t>–</w:t>
      </w:r>
      <w:r w:rsidR="00713F8B">
        <w:rPr>
          <w:rStyle w:val="default"/>
          <w:rFonts w:cs="FrankRuehl" w:hint="cs"/>
          <w:rtl/>
        </w:rPr>
        <w:t xml:space="preserve"> יום השינוי) לפי שיעור עליית המדד שפורסם לאחרונה לפני יום השינוי לעומת המדד שפורסם לאחרונה לפני יום השינוי הקודם; מזכיר הממשלה יפרסם את הסכום שעודכן כאמור בהודעה ברשומות;</w:t>
      </w:r>
    </w:p>
    <w:p w14:paraId="157FE91B" w14:textId="77777777" w:rsidR="00B03F88" w:rsidRPr="00444C64" w:rsidRDefault="00B03F88" w:rsidP="00B03F88">
      <w:pPr>
        <w:pStyle w:val="P00"/>
        <w:spacing w:before="0"/>
        <w:ind w:left="0" w:right="1134"/>
        <w:rPr>
          <w:rStyle w:val="default"/>
          <w:rFonts w:cs="FrankRuehl" w:hint="cs"/>
          <w:vanish/>
          <w:color w:val="FF0000"/>
          <w:sz w:val="20"/>
          <w:szCs w:val="20"/>
          <w:shd w:val="clear" w:color="auto" w:fill="FFFF99"/>
          <w:rtl/>
        </w:rPr>
      </w:pPr>
      <w:bookmarkStart w:id="1" w:name="Rov1"/>
      <w:r w:rsidRPr="00444C64">
        <w:rPr>
          <w:rStyle w:val="default"/>
          <w:rFonts w:cs="FrankRuehl" w:hint="cs"/>
          <w:vanish/>
          <w:color w:val="FF0000"/>
          <w:sz w:val="20"/>
          <w:szCs w:val="20"/>
          <w:shd w:val="clear" w:color="auto" w:fill="FFFF99"/>
          <w:rtl/>
        </w:rPr>
        <w:t>מיום 1.1.2013</w:t>
      </w:r>
    </w:p>
    <w:p w14:paraId="671E6CF9" w14:textId="77777777" w:rsidR="00B03F88" w:rsidRPr="00444C64" w:rsidRDefault="00B03F88" w:rsidP="00B03F88">
      <w:pPr>
        <w:pStyle w:val="P00"/>
        <w:spacing w:before="0"/>
        <w:ind w:left="0" w:right="1134"/>
        <w:rPr>
          <w:rStyle w:val="default"/>
          <w:rFonts w:cs="FrankRuehl" w:hint="cs"/>
          <w:vanish/>
          <w:sz w:val="20"/>
          <w:szCs w:val="20"/>
          <w:shd w:val="clear" w:color="auto" w:fill="FFFF99"/>
          <w:rtl/>
        </w:rPr>
      </w:pPr>
      <w:r w:rsidRPr="00444C64">
        <w:rPr>
          <w:rStyle w:val="default"/>
          <w:rFonts w:cs="FrankRuehl" w:hint="cs"/>
          <w:b/>
          <w:bCs/>
          <w:vanish/>
          <w:sz w:val="20"/>
          <w:szCs w:val="20"/>
          <w:shd w:val="clear" w:color="auto" w:fill="FFFF99"/>
          <w:rtl/>
        </w:rPr>
        <w:t>הודעה תשע"ג-2013</w:t>
      </w:r>
    </w:p>
    <w:p w14:paraId="15478731" w14:textId="77777777" w:rsidR="00B03F88" w:rsidRPr="00444C64" w:rsidRDefault="00B03F88" w:rsidP="00B03F88">
      <w:pPr>
        <w:pStyle w:val="P00"/>
        <w:spacing w:before="0"/>
        <w:ind w:left="0" w:right="1134"/>
        <w:rPr>
          <w:rStyle w:val="default"/>
          <w:rFonts w:cs="FrankRuehl" w:hint="cs"/>
          <w:vanish/>
          <w:sz w:val="20"/>
          <w:szCs w:val="20"/>
          <w:shd w:val="clear" w:color="auto" w:fill="FFFF99"/>
          <w:rtl/>
        </w:rPr>
      </w:pPr>
      <w:hyperlink r:id="rId6" w:history="1">
        <w:r w:rsidRPr="00444C64">
          <w:rPr>
            <w:rStyle w:val="Hyperlink"/>
            <w:rFonts w:cs="FrankRuehl" w:hint="cs"/>
            <w:vanish/>
            <w:szCs w:val="20"/>
            <w:shd w:val="clear" w:color="auto" w:fill="FFFF99"/>
            <w:rtl/>
          </w:rPr>
          <w:t>י"פ תשע"ג מס' 6631</w:t>
        </w:r>
      </w:hyperlink>
      <w:r w:rsidRPr="00444C64">
        <w:rPr>
          <w:rStyle w:val="default"/>
          <w:rFonts w:cs="FrankRuehl" w:hint="cs"/>
          <w:vanish/>
          <w:sz w:val="20"/>
          <w:szCs w:val="20"/>
          <w:shd w:val="clear" w:color="auto" w:fill="FFFF99"/>
          <w:rtl/>
        </w:rPr>
        <w:t xml:space="preserve"> מיום 21.7.2013 עמ' 6936</w:t>
      </w:r>
    </w:p>
    <w:p w14:paraId="741A2A81" w14:textId="77777777" w:rsidR="00287841" w:rsidRPr="00444C64" w:rsidRDefault="00287841" w:rsidP="00287841">
      <w:pPr>
        <w:pStyle w:val="P00"/>
        <w:ind w:left="0" w:right="1134"/>
        <w:rPr>
          <w:rStyle w:val="default"/>
          <w:rFonts w:cs="FrankRuehl" w:hint="cs"/>
          <w:vanish/>
          <w:sz w:val="22"/>
          <w:szCs w:val="22"/>
          <w:shd w:val="clear" w:color="auto" w:fill="FFFF99"/>
          <w:rtl/>
        </w:rPr>
      </w:pPr>
      <w:r w:rsidRPr="00444C64">
        <w:rPr>
          <w:rStyle w:val="default"/>
          <w:rFonts w:cs="FrankRuehl" w:hint="cs"/>
          <w:vanish/>
          <w:sz w:val="22"/>
          <w:szCs w:val="22"/>
          <w:shd w:val="clear" w:color="auto" w:fill="FFFF99"/>
          <w:rtl/>
        </w:rPr>
        <w:tab/>
        <w:t xml:space="preserve">"הסכום הקובע"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w:t>
      </w:r>
      <w:r w:rsidRPr="00444C64">
        <w:rPr>
          <w:rStyle w:val="default"/>
          <w:rFonts w:cs="FrankRuehl" w:hint="cs"/>
          <w:strike/>
          <w:vanish/>
          <w:sz w:val="22"/>
          <w:szCs w:val="22"/>
          <w:shd w:val="clear" w:color="auto" w:fill="FFFF99"/>
          <w:rtl/>
        </w:rPr>
        <w:t>200,000</w:t>
      </w:r>
      <w:r w:rsidRPr="00444C64">
        <w:rPr>
          <w:rStyle w:val="default"/>
          <w:rFonts w:cs="FrankRuehl" w:hint="cs"/>
          <w:vanish/>
          <w:sz w:val="22"/>
          <w:szCs w:val="22"/>
          <w:shd w:val="clear" w:color="auto" w:fill="FFFF99"/>
          <w:rtl/>
        </w:rPr>
        <w:t xml:space="preserve"> </w:t>
      </w:r>
      <w:r w:rsidRPr="00444C64">
        <w:rPr>
          <w:rStyle w:val="default"/>
          <w:rFonts w:cs="FrankRuehl" w:hint="cs"/>
          <w:vanish/>
          <w:sz w:val="22"/>
          <w:szCs w:val="22"/>
          <w:u w:val="single"/>
          <w:shd w:val="clear" w:color="auto" w:fill="FFFF99"/>
          <w:rtl/>
        </w:rPr>
        <w:t>241,526.3</w:t>
      </w:r>
      <w:r w:rsidRPr="00444C64">
        <w:rPr>
          <w:rStyle w:val="default"/>
          <w:rFonts w:cs="FrankRuehl" w:hint="cs"/>
          <w:vanish/>
          <w:sz w:val="22"/>
          <w:szCs w:val="22"/>
          <w:shd w:val="clear" w:color="auto" w:fill="FFFF99"/>
          <w:rtl/>
        </w:rPr>
        <w:t xml:space="preserve"> שקלים חדשים, הסכום האמור יהיה צמוד למדד המחירים לצרכן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המדד) ויתשנה ב-1 בפברואר של כל שנה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יום השינוי) לפי שיעור עליית המדד שפורסם לאחרונה לפני יום השינוי לעומת המדד שפורסם לאחרונה לפני יום השינוי הקודם; מזכיר הממשלה יפרסם את הסכום שעודכן כאמור בהודעה ברשומות;</w:t>
      </w:r>
    </w:p>
    <w:p w14:paraId="2ADD908C" w14:textId="77777777" w:rsidR="00287841" w:rsidRPr="00444C64" w:rsidRDefault="00287841" w:rsidP="00B03F88">
      <w:pPr>
        <w:pStyle w:val="P00"/>
        <w:spacing w:before="0"/>
        <w:ind w:left="0" w:right="1134"/>
        <w:rPr>
          <w:rStyle w:val="default"/>
          <w:rFonts w:cs="FrankRuehl" w:hint="cs"/>
          <w:vanish/>
          <w:sz w:val="20"/>
          <w:szCs w:val="20"/>
          <w:shd w:val="clear" w:color="auto" w:fill="FFFF99"/>
          <w:rtl/>
        </w:rPr>
      </w:pPr>
    </w:p>
    <w:p w14:paraId="10FF241A" w14:textId="77777777" w:rsidR="00287841" w:rsidRPr="00444C64" w:rsidRDefault="00287841" w:rsidP="00B03F88">
      <w:pPr>
        <w:pStyle w:val="P00"/>
        <w:spacing w:before="0"/>
        <w:ind w:left="0" w:right="1134"/>
        <w:rPr>
          <w:rStyle w:val="default"/>
          <w:rFonts w:cs="FrankRuehl" w:hint="cs"/>
          <w:vanish/>
          <w:color w:val="FF0000"/>
          <w:sz w:val="20"/>
          <w:szCs w:val="20"/>
          <w:shd w:val="clear" w:color="auto" w:fill="FFFF99"/>
          <w:rtl/>
        </w:rPr>
      </w:pPr>
      <w:r w:rsidRPr="00444C64">
        <w:rPr>
          <w:rStyle w:val="default"/>
          <w:rFonts w:cs="FrankRuehl" w:hint="cs"/>
          <w:vanish/>
          <w:color w:val="FF0000"/>
          <w:sz w:val="20"/>
          <w:szCs w:val="20"/>
          <w:shd w:val="clear" w:color="auto" w:fill="FFFF99"/>
          <w:rtl/>
        </w:rPr>
        <w:t>מיום 1.1.2015</w:t>
      </w:r>
    </w:p>
    <w:p w14:paraId="2718B9BC" w14:textId="77777777" w:rsidR="00287841" w:rsidRPr="00444C64" w:rsidRDefault="00287841" w:rsidP="00B03F88">
      <w:pPr>
        <w:pStyle w:val="P00"/>
        <w:spacing w:before="0"/>
        <w:ind w:left="0" w:right="1134"/>
        <w:rPr>
          <w:rStyle w:val="default"/>
          <w:rFonts w:cs="FrankRuehl" w:hint="cs"/>
          <w:vanish/>
          <w:sz w:val="20"/>
          <w:szCs w:val="20"/>
          <w:shd w:val="clear" w:color="auto" w:fill="FFFF99"/>
          <w:rtl/>
        </w:rPr>
      </w:pPr>
      <w:r w:rsidRPr="00444C64">
        <w:rPr>
          <w:rStyle w:val="default"/>
          <w:rFonts w:cs="FrankRuehl" w:hint="cs"/>
          <w:b/>
          <w:bCs/>
          <w:vanish/>
          <w:sz w:val="20"/>
          <w:szCs w:val="20"/>
          <w:shd w:val="clear" w:color="auto" w:fill="FFFF99"/>
          <w:rtl/>
        </w:rPr>
        <w:t>הודעה תשע"ה-2015</w:t>
      </w:r>
    </w:p>
    <w:p w14:paraId="7A9A354A" w14:textId="77777777" w:rsidR="00287841" w:rsidRPr="00444C64" w:rsidRDefault="00287841" w:rsidP="00B03F88">
      <w:pPr>
        <w:pStyle w:val="P00"/>
        <w:spacing w:before="0"/>
        <w:ind w:left="0" w:right="1134"/>
        <w:rPr>
          <w:rStyle w:val="default"/>
          <w:rFonts w:cs="FrankRuehl" w:hint="cs"/>
          <w:vanish/>
          <w:sz w:val="20"/>
          <w:szCs w:val="20"/>
          <w:shd w:val="clear" w:color="auto" w:fill="FFFF99"/>
          <w:rtl/>
        </w:rPr>
      </w:pPr>
      <w:hyperlink r:id="rId7" w:history="1">
        <w:r w:rsidRPr="00444C64">
          <w:rPr>
            <w:rStyle w:val="Hyperlink"/>
            <w:rFonts w:cs="FrankRuehl" w:hint="cs"/>
            <w:vanish/>
            <w:szCs w:val="20"/>
            <w:shd w:val="clear" w:color="auto" w:fill="FFFF99"/>
            <w:rtl/>
          </w:rPr>
          <w:t>י"פ תשע"ה מס' 7016</w:t>
        </w:r>
      </w:hyperlink>
      <w:r w:rsidRPr="00444C64">
        <w:rPr>
          <w:rStyle w:val="default"/>
          <w:rFonts w:cs="FrankRuehl" w:hint="cs"/>
          <w:vanish/>
          <w:sz w:val="20"/>
          <w:szCs w:val="20"/>
          <w:shd w:val="clear" w:color="auto" w:fill="FFFF99"/>
          <w:rtl/>
        </w:rPr>
        <w:t xml:space="preserve"> מיום 1.4.2015 עמ' 4621</w:t>
      </w:r>
    </w:p>
    <w:p w14:paraId="08FB497A" w14:textId="77777777" w:rsidR="008E7691" w:rsidRPr="00444C64" w:rsidRDefault="008E7691" w:rsidP="008E7691">
      <w:pPr>
        <w:pStyle w:val="P00"/>
        <w:ind w:left="0" w:right="1134"/>
        <w:rPr>
          <w:rStyle w:val="default"/>
          <w:rFonts w:cs="FrankRuehl" w:hint="cs"/>
          <w:vanish/>
          <w:sz w:val="22"/>
          <w:szCs w:val="22"/>
          <w:shd w:val="clear" w:color="auto" w:fill="FFFF99"/>
          <w:rtl/>
        </w:rPr>
      </w:pPr>
      <w:r w:rsidRPr="00444C64">
        <w:rPr>
          <w:rStyle w:val="default"/>
          <w:rFonts w:cs="FrankRuehl" w:hint="cs"/>
          <w:vanish/>
          <w:sz w:val="22"/>
          <w:szCs w:val="22"/>
          <w:shd w:val="clear" w:color="auto" w:fill="FFFF99"/>
          <w:rtl/>
        </w:rPr>
        <w:tab/>
        <w:t xml:space="preserve">"הסכום הקובע"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w:t>
      </w:r>
      <w:r w:rsidRPr="00444C64">
        <w:rPr>
          <w:rStyle w:val="default"/>
          <w:rFonts w:cs="FrankRuehl" w:hint="cs"/>
          <w:strike/>
          <w:vanish/>
          <w:sz w:val="22"/>
          <w:szCs w:val="22"/>
          <w:shd w:val="clear" w:color="auto" w:fill="FFFF99"/>
          <w:rtl/>
        </w:rPr>
        <w:t>241,526.3</w:t>
      </w:r>
      <w:r w:rsidRPr="00444C64">
        <w:rPr>
          <w:rStyle w:val="default"/>
          <w:rFonts w:cs="FrankRuehl" w:hint="cs"/>
          <w:vanish/>
          <w:sz w:val="22"/>
          <w:szCs w:val="22"/>
          <w:shd w:val="clear" w:color="auto" w:fill="FFFF99"/>
          <w:rtl/>
        </w:rPr>
        <w:t xml:space="preserve"> </w:t>
      </w:r>
      <w:r w:rsidRPr="00444C64">
        <w:rPr>
          <w:rStyle w:val="default"/>
          <w:rFonts w:cs="FrankRuehl" w:hint="cs"/>
          <w:vanish/>
          <w:sz w:val="22"/>
          <w:szCs w:val="22"/>
          <w:u w:val="single"/>
          <w:shd w:val="clear" w:color="auto" w:fill="FFFF99"/>
          <w:rtl/>
        </w:rPr>
        <w:t>245,431.85</w:t>
      </w:r>
      <w:r w:rsidRPr="00444C64">
        <w:rPr>
          <w:rStyle w:val="default"/>
          <w:rFonts w:cs="FrankRuehl" w:hint="cs"/>
          <w:vanish/>
          <w:sz w:val="22"/>
          <w:szCs w:val="22"/>
          <w:shd w:val="clear" w:color="auto" w:fill="FFFF99"/>
          <w:rtl/>
        </w:rPr>
        <w:t xml:space="preserve"> שקלים חדשים, הסכום האמור יהיה צמוד למדד המחירים לצרכן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המדד) ויתשנה ב-1 בפברואר של כל שנה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יום השינוי) לפי שיעור עליית המדד שפורסם לאחרונה לפני יום השינוי לעומת המדד שפורסם לאחרונה לפני יום השינוי הקודם; מזכיר הממשלה יפרסם את הסכום שעודכן כאמור בהודעה ברשומות;</w:t>
      </w:r>
    </w:p>
    <w:p w14:paraId="2B3E8EE2" w14:textId="77777777" w:rsidR="008E7691" w:rsidRPr="00444C64" w:rsidRDefault="008E7691" w:rsidP="00B03F88">
      <w:pPr>
        <w:pStyle w:val="P00"/>
        <w:spacing w:before="0"/>
        <w:ind w:left="0" w:right="1134"/>
        <w:rPr>
          <w:rStyle w:val="default"/>
          <w:rFonts w:cs="FrankRuehl" w:hint="cs"/>
          <w:vanish/>
          <w:sz w:val="20"/>
          <w:szCs w:val="20"/>
          <w:shd w:val="clear" w:color="auto" w:fill="FFFF99"/>
          <w:rtl/>
        </w:rPr>
      </w:pPr>
    </w:p>
    <w:p w14:paraId="19FC4B78" w14:textId="77777777" w:rsidR="008E7691" w:rsidRPr="00444C64" w:rsidRDefault="008E7691" w:rsidP="00B03F88">
      <w:pPr>
        <w:pStyle w:val="P00"/>
        <w:spacing w:before="0"/>
        <w:ind w:left="0" w:right="1134"/>
        <w:rPr>
          <w:rStyle w:val="default"/>
          <w:rFonts w:cs="FrankRuehl" w:hint="cs"/>
          <w:vanish/>
          <w:color w:val="FF0000"/>
          <w:sz w:val="20"/>
          <w:szCs w:val="20"/>
          <w:shd w:val="clear" w:color="auto" w:fill="FFFF99"/>
          <w:rtl/>
        </w:rPr>
      </w:pPr>
      <w:r w:rsidRPr="00444C64">
        <w:rPr>
          <w:rStyle w:val="default"/>
          <w:rFonts w:cs="FrankRuehl" w:hint="cs"/>
          <w:vanish/>
          <w:color w:val="FF0000"/>
          <w:sz w:val="20"/>
          <w:szCs w:val="20"/>
          <w:shd w:val="clear" w:color="auto" w:fill="FFFF99"/>
          <w:rtl/>
        </w:rPr>
        <w:t>מיום 1.1.2016</w:t>
      </w:r>
    </w:p>
    <w:p w14:paraId="7EE80C7D" w14:textId="77777777" w:rsidR="008E7691" w:rsidRPr="00444C64" w:rsidRDefault="008E7691" w:rsidP="00B03F88">
      <w:pPr>
        <w:pStyle w:val="P00"/>
        <w:spacing w:before="0"/>
        <w:ind w:left="0" w:right="1134"/>
        <w:rPr>
          <w:rStyle w:val="default"/>
          <w:rFonts w:cs="FrankRuehl" w:hint="cs"/>
          <w:vanish/>
          <w:sz w:val="20"/>
          <w:szCs w:val="20"/>
          <w:shd w:val="clear" w:color="auto" w:fill="FFFF99"/>
          <w:rtl/>
        </w:rPr>
      </w:pPr>
      <w:r w:rsidRPr="00444C64">
        <w:rPr>
          <w:rStyle w:val="default"/>
          <w:rFonts w:cs="FrankRuehl" w:hint="cs"/>
          <w:b/>
          <w:bCs/>
          <w:vanish/>
          <w:sz w:val="20"/>
          <w:szCs w:val="20"/>
          <w:shd w:val="clear" w:color="auto" w:fill="FFFF99"/>
          <w:rtl/>
        </w:rPr>
        <w:t>הודעה תשע"ו-2016</w:t>
      </w:r>
    </w:p>
    <w:p w14:paraId="273405B5" w14:textId="77777777" w:rsidR="008E7691" w:rsidRPr="00444C64" w:rsidRDefault="008E7691" w:rsidP="00B03F88">
      <w:pPr>
        <w:pStyle w:val="P00"/>
        <w:spacing w:before="0"/>
        <w:ind w:left="0" w:right="1134"/>
        <w:rPr>
          <w:rStyle w:val="default"/>
          <w:rFonts w:cs="FrankRuehl" w:hint="cs"/>
          <w:vanish/>
          <w:sz w:val="20"/>
          <w:szCs w:val="20"/>
          <w:shd w:val="clear" w:color="auto" w:fill="FFFF99"/>
          <w:rtl/>
        </w:rPr>
      </w:pPr>
      <w:hyperlink r:id="rId8" w:history="1">
        <w:r w:rsidRPr="00444C64">
          <w:rPr>
            <w:rStyle w:val="Hyperlink"/>
            <w:rFonts w:cs="FrankRuehl" w:hint="cs"/>
            <w:vanish/>
            <w:szCs w:val="20"/>
            <w:shd w:val="clear" w:color="auto" w:fill="FFFF99"/>
            <w:rtl/>
          </w:rPr>
          <w:t>י"פ תשע"ו מס' 7246</w:t>
        </w:r>
      </w:hyperlink>
      <w:r w:rsidRPr="00444C64">
        <w:rPr>
          <w:rStyle w:val="default"/>
          <w:rFonts w:cs="FrankRuehl" w:hint="cs"/>
          <w:vanish/>
          <w:sz w:val="20"/>
          <w:szCs w:val="20"/>
          <w:shd w:val="clear" w:color="auto" w:fill="FFFF99"/>
          <w:rtl/>
        </w:rPr>
        <w:t xml:space="preserve"> מיום 10.4.2016 עמ' 5128</w:t>
      </w:r>
    </w:p>
    <w:p w14:paraId="11CBB29E" w14:textId="77777777" w:rsidR="003F0CB5" w:rsidRPr="00444C64" w:rsidRDefault="003F0CB5" w:rsidP="003F0CB5">
      <w:pPr>
        <w:pStyle w:val="P00"/>
        <w:ind w:left="0" w:right="1134"/>
        <w:rPr>
          <w:rStyle w:val="default"/>
          <w:rFonts w:cs="FrankRuehl" w:hint="cs"/>
          <w:vanish/>
          <w:sz w:val="22"/>
          <w:szCs w:val="22"/>
          <w:shd w:val="clear" w:color="auto" w:fill="FFFF99"/>
          <w:rtl/>
        </w:rPr>
      </w:pPr>
      <w:r w:rsidRPr="00444C64">
        <w:rPr>
          <w:rStyle w:val="default"/>
          <w:rFonts w:cs="FrankRuehl" w:hint="cs"/>
          <w:vanish/>
          <w:sz w:val="22"/>
          <w:szCs w:val="22"/>
          <w:shd w:val="clear" w:color="auto" w:fill="FFFF99"/>
          <w:rtl/>
        </w:rPr>
        <w:tab/>
        <w:t xml:space="preserve">"הסכום הקובע"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w:t>
      </w:r>
      <w:r w:rsidRPr="00444C64">
        <w:rPr>
          <w:rStyle w:val="default"/>
          <w:rFonts w:cs="FrankRuehl" w:hint="cs"/>
          <w:strike/>
          <w:vanish/>
          <w:sz w:val="22"/>
          <w:szCs w:val="22"/>
          <w:shd w:val="clear" w:color="auto" w:fill="FFFF99"/>
          <w:rtl/>
        </w:rPr>
        <w:t>245,431.85</w:t>
      </w:r>
      <w:r w:rsidRPr="00444C64">
        <w:rPr>
          <w:rStyle w:val="default"/>
          <w:rFonts w:cs="FrankRuehl" w:hint="cs"/>
          <w:vanish/>
          <w:sz w:val="22"/>
          <w:szCs w:val="22"/>
          <w:shd w:val="clear" w:color="auto" w:fill="FFFF99"/>
          <w:rtl/>
        </w:rPr>
        <w:t xml:space="preserve"> </w:t>
      </w:r>
      <w:r w:rsidRPr="00444C64">
        <w:rPr>
          <w:rStyle w:val="default"/>
          <w:rFonts w:cs="FrankRuehl" w:hint="cs"/>
          <w:vanish/>
          <w:sz w:val="22"/>
          <w:szCs w:val="22"/>
          <w:u w:val="single"/>
          <w:shd w:val="clear" w:color="auto" w:fill="FFFF99"/>
          <w:rtl/>
        </w:rPr>
        <w:t>242,984.74</w:t>
      </w:r>
      <w:r w:rsidRPr="00444C64">
        <w:rPr>
          <w:rStyle w:val="default"/>
          <w:rFonts w:cs="FrankRuehl" w:hint="cs"/>
          <w:vanish/>
          <w:sz w:val="22"/>
          <w:szCs w:val="22"/>
          <w:shd w:val="clear" w:color="auto" w:fill="FFFF99"/>
          <w:rtl/>
        </w:rPr>
        <w:t xml:space="preserve"> שקלים חדשים, הסכום האמור יהיה צמוד למדד המחירים לצרכן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המדד) ויתשנה ב-1 בפברואר של כל שנה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יום השינוי) לפי שיעור עליית המדד שפורסם לאחרונה לפני יום השינוי לעומת המדד שפורסם לאחרונה לפני יום השינוי הקודם; מזכיר הממשלה יפרסם את הסכום שעודכן כאמור בהודעה ברשומות;</w:t>
      </w:r>
    </w:p>
    <w:p w14:paraId="4E902446" w14:textId="77777777" w:rsidR="003F0CB5" w:rsidRPr="00444C64" w:rsidRDefault="003F0CB5" w:rsidP="00B03F88">
      <w:pPr>
        <w:pStyle w:val="P00"/>
        <w:spacing w:before="0"/>
        <w:ind w:left="0" w:right="1134"/>
        <w:rPr>
          <w:rStyle w:val="default"/>
          <w:rFonts w:cs="FrankRuehl" w:hint="cs"/>
          <w:vanish/>
          <w:sz w:val="20"/>
          <w:szCs w:val="20"/>
          <w:shd w:val="clear" w:color="auto" w:fill="FFFF99"/>
          <w:rtl/>
        </w:rPr>
      </w:pPr>
    </w:p>
    <w:p w14:paraId="0ACC7935" w14:textId="77777777" w:rsidR="003F0CB5" w:rsidRPr="00444C64" w:rsidRDefault="003F0CB5" w:rsidP="00B03F88">
      <w:pPr>
        <w:pStyle w:val="P00"/>
        <w:spacing w:before="0"/>
        <w:ind w:left="0" w:right="1134"/>
        <w:rPr>
          <w:rStyle w:val="default"/>
          <w:rFonts w:cs="FrankRuehl" w:hint="cs"/>
          <w:vanish/>
          <w:color w:val="FF0000"/>
          <w:sz w:val="20"/>
          <w:szCs w:val="20"/>
          <w:shd w:val="clear" w:color="auto" w:fill="FFFF99"/>
          <w:rtl/>
        </w:rPr>
      </w:pPr>
      <w:r w:rsidRPr="00444C64">
        <w:rPr>
          <w:rStyle w:val="default"/>
          <w:rFonts w:cs="FrankRuehl" w:hint="cs"/>
          <w:vanish/>
          <w:color w:val="FF0000"/>
          <w:sz w:val="20"/>
          <w:szCs w:val="20"/>
          <w:shd w:val="clear" w:color="auto" w:fill="FFFF99"/>
          <w:rtl/>
        </w:rPr>
        <w:t>מיום 1.1.2017</w:t>
      </w:r>
    </w:p>
    <w:p w14:paraId="6152AFAF" w14:textId="77777777" w:rsidR="003F0CB5" w:rsidRPr="00444C64" w:rsidRDefault="003F0CB5" w:rsidP="00B03F88">
      <w:pPr>
        <w:pStyle w:val="P00"/>
        <w:spacing w:before="0"/>
        <w:ind w:left="0" w:right="1134"/>
        <w:rPr>
          <w:rStyle w:val="default"/>
          <w:rFonts w:cs="FrankRuehl" w:hint="cs"/>
          <w:vanish/>
          <w:sz w:val="20"/>
          <w:szCs w:val="20"/>
          <w:shd w:val="clear" w:color="auto" w:fill="FFFF99"/>
          <w:rtl/>
        </w:rPr>
      </w:pPr>
      <w:r w:rsidRPr="00444C64">
        <w:rPr>
          <w:rStyle w:val="default"/>
          <w:rFonts w:cs="FrankRuehl" w:hint="cs"/>
          <w:b/>
          <w:bCs/>
          <w:vanish/>
          <w:sz w:val="20"/>
          <w:szCs w:val="20"/>
          <w:shd w:val="clear" w:color="auto" w:fill="FFFF99"/>
          <w:rtl/>
        </w:rPr>
        <w:t>הודעה תשע"ז-2017</w:t>
      </w:r>
    </w:p>
    <w:p w14:paraId="3C2AA6B7" w14:textId="77777777" w:rsidR="003F0CB5" w:rsidRPr="00444C64" w:rsidRDefault="003F0CB5" w:rsidP="00B03F88">
      <w:pPr>
        <w:pStyle w:val="P00"/>
        <w:spacing w:before="0"/>
        <w:ind w:left="0" w:right="1134"/>
        <w:rPr>
          <w:rStyle w:val="default"/>
          <w:rFonts w:cs="FrankRuehl"/>
          <w:vanish/>
          <w:sz w:val="20"/>
          <w:szCs w:val="20"/>
          <w:shd w:val="clear" w:color="auto" w:fill="FFFF99"/>
          <w:rtl/>
        </w:rPr>
      </w:pPr>
      <w:hyperlink r:id="rId9" w:history="1">
        <w:r w:rsidRPr="00444C64">
          <w:rPr>
            <w:rStyle w:val="Hyperlink"/>
            <w:rFonts w:cs="FrankRuehl" w:hint="cs"/>
            <w:vanish/>
            <w:szCs w:val="20"/>
            <w:shd w:val="clear" w:color="auto" w:fill="FFFF99"/>
            <w:rtl/>
          </w:rPr>
          <w:t>י"פ תשע"ז מס' 7519</w:t>
        </w:r>
      </w:hyperlink>
      <w:r w:rsidRPr="00444C64">
        <w:rPr>
          <w:rStyle w:val="default"/>
          <w:rFonts w:cs="FrankRuehl" w:hint="cs"/>
          <w:vanish/>
          <w:sz w:val="20"/>
          <w:szCs w:val="20"/>
          <w:shd w:val="clear" w:color="auto" w:fill="FFFF99"/>
          <w:rtl/>
        </w:rPr>
        <w:t xml:space="preserve"> מיום 7.6.2017 עמ' 6536</w:t>
      </w:r>
    </w:p>
    <w:p w14:paraId="4B4A81A9" w14:textId="77777777" w:rsidR="00EC1DCC" w:rsidRPr="00444C64" w:rsidRDefault="00EC1DCC" w:rsidP="00EC1DCC">
      <w:pPr>
        <w:pStyle w:val="P00"/>
        <w:ind w:left="0" w:right="1134"/>
        <w:rPr>
          <w:rStyle w:val="default"/>
          <w:rFonts w:cs="FrankRuehl"/>
          <w:vanish/>
          <w:sz w:val="22"/>
          <w:szCs w:val="22"/>
          <w:shd w:val="clear" w:color="auto" w:fill="FFFF99"/>
          <w:rtl/>
        </w:rPr>
      </w:pPr>
      <w:r w:rsidRPr="00444C64">
        <w:rPr>
          <w:rStyle w:val="default"/>
          <w:rFonts w:cs="FrankRuehl" w:hint="cs"/>
          <w:vanish/>
          <w:sz w:val="22"/>
          <w:szCs w:val="22"/>
          <w:shd w:val="clear" w:color="auto" w:fill="FFFF99"/>
          <w:rtl/>
        </w:rPr>
        <w:tab/>
        <w:t xml:space="preserve">"הסכום הקובע"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w:t>
      </w:r>
      <w:r w:rsidRPr="00444C64">
        <w:rPr>
          <w:rStyle w:val="default"/>
          <w:rFonts w:cs="FrankRuehl" w:hint="cs"/>
          <w:strike/>
          <w:vanish/>
          <w:sz w:val="22"/>
          <w:szCs w:val="22"/>
          <w:shd w:val="clear" w:color="auto" w:fill="FFFF99"/>
          <w:rtl/>
        </w:rPr>
        <w:t>242,984.74</w:t>
      </w:r>
      <w:r w:rsidRPr="00444C64">
        <w:rPr>
          <w:rStyle w:val="default"/>
          <w:rFonts w:cs="FrankRuehl" w:hint="cs"/>
          <w:vanish/>
          <w:sz w:val="22"/>
          <w:szCs w:val="22"/>
          <w:shd w:val="clear" w:color="auto" w:fill="FFFF99"/>
          <w:rtl/>
        </w:rPr>
        <w:t xml:space="preserve"> </w:t>
      </w:r>
      <w:r w:rsidRPr="00444C64">
        <w:rPr>
          <w:rStyle w:val="default"/>
          <w:rFonts w:cs="FrankRuehl" w:hint="cs"/>
          <w:vanish/>
          <w:sz w:val="22"/>
          <w:szCs w:val="22"/>
          <w:u w:val="single"/>
          <w:shd w:val="clear" w:color="auto" w:fill="FFFF99"/>
          <w:rtl/>
        </w:rPr>
        <w:t>242,494.36</w:t>
      </w:r>
      <w:r w:rsidRPr="00444C64">
        <w:rPr>
          <w:rStyle w:val="default"/>
          <w:rFonts w:cs="FrankRuehl" w:hint="cs"/>
          <w:vanish/>
          <w:sz w:val="22"/>
          <w:szCs w:val="22"/>
          <w:shd w:val="clear" w:color="auto" w:fill="FFFF99"/>
          <w:rtl/>
        </w:rPr>
        <w:t xml:space="preserve"> שקלים חדשים, הסכום האמור יהיה צמוד למדד המחירים לצרכן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המדד) ויתשנה ב-1 בפברואר של כל שנה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יום השינוי) לפי שיעור עליית המדד שפורסם לאחרונה לפני יום השינוי לעומת המדד שפורסם לאחרונה לפני יום השינוי הקודם; מזכיר הממשלה יפרסם את הסכום שעודכן כאמור בהודעה ברשומות;</w:t>
      </w:r>
    </w:p>
    <w:p w14:paraId="045D1FAB" w14:textId="77777777" w:rsidR="00EC1DCC" w:rsidRPr="00444C64" w:rsidRDefault="00EC1DCC" w:rsidP="00B03F88">
      <w:pPr>
        <w:pStyle w:val="P00"/>
        <w:spacing w:before="0"/>
        <w:ind w:left="0" w:right="1134"/>
        <w:rPr>
          <w:rStyle w:val="default"/>
          <w:rFonts w:cs="FrankRuehl"/>
          <w:vanish/>
          <w:sz w:val="20"/>
          <w:szCs w:val="20"/>
          <w:shd w:val="clear" w:color="auto" w:fill="FFFF99"/>
          <w:rtl/>
        </w:rPr>
      </w:pPr>
    </w:p>
    <w:p w14:paraId="03948C7C" w14:textId="77777777" w:rsidR="00EC1DCC" w:rsidRPr="00444C64" w:rsidRDefault="00EC1DCC" w:rsidP="00B03F88">
      <w:pPr>
        <w:pStyle w:val="P00"/>
        <w:spacing w:before="0"/>
        <w:ind w:left="0" w:right="1134"/>
        <w:rPr>
          <w:rStyle w:val="default"/>
          <w:rFonts w:cs="FrankRuehl"/>
          <w:vanish/>
          <w:color w:val="FF0000"/>
          <w:sz w:val="20"/>
          <w:szCs w:val="20"/>
          <w:shd w:val="clear" w:color="auto" w:fill="FFFF99"/>
          <w:rtl/>
        </w:rPr>
      </w:pPr>
      <w:r w:rsidRPr="00444C64">
        <w:rPr>
          <w:rStyle w:val="default"/>
          <w:rFonts w:cs="FrankRuehl" w:hint="cs"/>
          <w:vanish/>
          <w:color w:val="FF0000"/>
          <w:sz w:val="20"/>
          <w:szCs w:val="20"/>
          <w:shd w:val="clear" w:color="auto" w:fill="FFFF99"/>
          <w:rtl/>
        </w:rPr>
        <w:t>מיום 1.1.2019</w:t>
      </w:r>
    </w:p>
    <w:p w14:paraId="74DE2EB6" w14:textId="77777777" w:rsidR="00EC1DCC" w:rsidRPr="00444C64" w:rsidRDefault="00EC1DCC" w:rsidP="00B03F88">
      <w:pPr>
        <w:pStyle w:val="P00"/>
        <w:spacing w:before="0"/>
        <w:ind w:left="0" w:right="1134"/>
        <w:rPr>
          <w:rStyle w:val="default"/>
          <w:rFonts w:cs="FrankRuehl"/>
          <w:vanish/>
          <w:sz w:val="20"/>
          <w:szCs w:val="20"/>
          <w:shd w:val="clear" w:color="auto" w:fill="FFFF99"/>
          <w:rtl/>
        </w:rPr>
      </w:pPr>
      <w:r w:rsidRPr="00444C64">
        <w:rPr>
          <w:rStyle w:val="default"/>
          <w:rFonts w:cs="FrankRuehl" w:hint="cs"/>
          <w:b/>
          <w:bCs/>
          <w:vanish/>
          <w:sz w:val="20"/>
          <w:szCs w:val="20"/>
          <w:shd w:val="clear" w:color="auto" w:fill="FFFF99"/>
          <w:rtl/>
        </w:rPr>
        <w:t>הודעה תשע"ט-2019</w:t>
      </w:r>
    </w:p>
    <w:p w14:paraId="0AB2E8C4" w14:textId="77777777" w:rsidR="00EC1DCC" w:rsidRPr="00444C64" w:rsidRDefault="00EC1DCC" w:rsidP="00B03F88">
      <w:pPr>
        <w:pStyle w:val="P00"/>
        <w:spacing w:before="0"/>
        <w:ind w:left="0" w:right="1134"/>
        <w:rPr>
          <w:rStyle w:val="default"/>
          <w:rFonts w:cs="FrankRuehl"/>
          <w:vanish/>
          <w:sz w:val="20"/>
          <w:szCs w:val="20"/>
          <w:shd w:val="clear" w:color="auto" w:fill="FFFF99"/>
          <w:rtl/>
        </w:rPr>
      </w:pPr>
      <w:hyperlink r:id="rId10" w:history="1">
        <w:r w:rsidRPr="00444C64">
          <w:rPr>
            <w:rStyle w:val="Hyperlink"/>
            <w:rFonts w:cs="FrankRuehl" w:hint="cs"/>
            <w:vanish/>
            <w:szCs w:val="20"/>
            <w:shd w:val="clear" w:color="auto" w:fill="FFFF99"/>
            <w:rtl/>
          </w:rPr>
          <w:t>י"פ תשע"ט מס' 8217</w:t>
        </w:r>
      </w:hyperlink>
      <w:r w:rsidRPr="00444C64">
        <w:rPr>
          <w:rStyle w:val="default"/>
          <w:rFonts w:cs="FrankRuehl" w:hint="cs"/>
          <w:vanish/>
          <w:sz w:val="20"/>
          <w:szCs w:val="20"/>
          <w:shd w:val="clear" w:color="auto" w:fill="FFFF99"/>
          <w:rtl/>
        </w:rPr>
        <w:t xml:space="preserve"> מיום 1.5.2019 עמ' 10310</w:t>
      </w:r>
    </w:p>
    <w:p w14:paraId="0C98695E" w14:textId="77777777" w:rsidR="00116E0B" w:rsidRPr="00444C64" w:rsidRDefault="00116E0B" w:rsidP="00116E0B">
      <w:pPr>
        <w:pStyle w:val="P00"/>
        <w:ind w:left="0" w:right="1134"/>
        <w:rPr>
          <w:rStyle w:val="default"/>
          <w:rFonts w:cs="FrankRuehl"/>
          <w:vanish/>
          <w:sz w:val="22"/>
          <w:szCs w:val="22"/>
          <w:shd w:val="clear" w:color="auto" w:fill="FFFF99"/>
          <w:rtl/>
        </w:rPr>
      </w:pPr>
      <w:r w:rsidRPr="00444C64">
        <w:rPr>
          <w:rStyle w:val="default"/>
          <w:rFonts w:cs="FrankRuehl" w:hint="cs"/>
          <w:vanish/>
          <w:sz w:val="22"/>
          <w:szCs w:val="22"/>
          <w:shd w:val="clear" w:color="auto" w:fill="FFFF99"/>
          <w:rtl/>
        </w:rPr>
        <w:tab/>
        <w:t xml:space="preserve">"הסכום הקובע"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w:t>
      </w:r>
      <w:r w:rsidRPr="00444C64">
        <w:rPr>
          <w:rStyle w:val="default"/>
          <w:rFonts w:cs="FrankRuehl" w:hint="cs"/>
          <w:strike/>
          <w:vanish/>
          <w:sz w:val="22"/>
          <w:szCs w:val="22"/>
          <w:shd w:val="clear" w:color="auto" w:fill="FFFF99"/>
          <w:rtl/>
        </w:rPr>
        <w:t>242,494.36</w:t>
      </w:r>
      <w:r w:rsidRPr="00444C64">
        <w:rPr>
          <w:rStyle w:val="default"/>
          <w:rFonts w:cs="FrankRuehl" w:hint="cs"/>
          <w:vanish/>
          <w:sz w:val="22"/>
          <w:szCs w:val="22"/>
          <w:shd w:val="clear" w:color="auto" w:fill="FFFF99"/>
          <w:rtl/>
        </w:rPr>
        <w:t xml:space="preserve"> </w:t>
      </w:r>
      <w:r w:rsidRPr="00444C64">
        <w:rPr>
          <w:rStyle w:val="default"/>
          <w:rFonts w:cs="FrankRuehl" w:hint="cs"/>
          <w:vanish/>
          <w:sz w:val="22"/>
          <w:szCs w:val="22"/>
          <w:u w:val="single"/>
          <w:shd w:val="clear" w:color="auto" w:fill="FFFF99"/>
          <w:rtl/>
        </w:rPr>
        <w:t>245,404.29</w:t>
      </w:r>
      <w:r w:rsidRPr="00444C64">
        <w:rPr>
          <w:rStyle w:val="default"/>
          <w:rFonts w:cs="FrankRuehl" w:hint="cs"/>
          <w:vanish/>
          <w:sz w:val="22"/>
          <w:szCs w:val="22"/>
          <w:shd w:val="clear" w:color="auto" w:fill="FFFF99"/>
          <w:rtl/>
        </w:rPr>
        <w:t xml:space="preserve"> שקלים חדשים, הסכום האמור יהיה צמוד למדד המחירים לצרכן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המדד) ויתשנה ב-1 בפברואר של כל שנה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יום השינוי) לפי שיעור עליית המדד שפורסם לאחרונה לפני יום השינוי לעומת המדד שפורסם לאחרונה לפני יום השינוי הקודם; מזכיר הממשלה יפרסם את הסכום שעודכן כאמור בהודעה ברשומות;</w:t>
      </w:r>
    </w:p>
    <w:p w14:paraId="4E0EFD89" w14:textId="77777777" w:rsidR="00116E0B" w:rsidRPr="00444C64" w:rsidRDefault="00116E0B" w:rsidP="00B03F88">
      <w:pPr>
        <w:pStyle w:val="P00"/>
        <w:spacing w:before="0"/>
        <w:ind w:left="0" w:right="1134"/>
        <w:rPr>
          <w:rStyle w:val="default"/>
          <w:rFonts w:cs="FrankRuehl"/>
          <w:vanish/>
          <w:sz w:val="20"/>
          <w:szCs w:val="20"/>
          <w:shd w:val="clear" w:color="auto" w:fill="FFFF99"/>
          <w:rtl/>
        </w:rPr>
      </w:pPr>
    </w:p>
    <w:p w14:paraId="30214810" w14:textId="77777777" w:rsidR="00116E0B" w:rsidRPr="00444C64" w:rsidRDefault="00116E0B" w:rsidP="00B03F88">
      <w:pPr>
        <w:pStyle w:val="P00"/>
        <w:spacing w:before="0"/>
        <w:ind w:left="0" w:right="1134"/>
        <w:rPr>
          <w:rStyle w:val="default"/>
          <w:rFonts w:cs="FrankRuehl"/>
          <w:vanish/>
          <w:color w:val="FF0000"/>
          <w:sz w:val="20"/>
          <w:szCs w:val="20"/>
          <w:shd w:val="clear" w:color="auto" w:fill="FFFF99"/>
          <w:rtl/>
        </w:rPr>
      </w:pPr>
      <w:r w:rsidRPr="00444C64">
        <w:rPr>
          <w:rStyle w:val="default"/>
          <w:rFonts w:cs="FrankRuehl" w:hint="cs"/>
          <w:vanish/>
          <w:color w:val="FF0000"/>
          <w:sz w:val="20"/>
          <w:szCs w:val="20"/>
          <w:shd w:val="clear" w:color="auto" w:fill="FFFF99"/>
          <w:rtl/>
        </w:rPr>
        <w:t>מיום 1.1.2020</w:t>
      </w:r>
    </w:p>
    <w:p w14:paraId="07D658BF" w14:textId="77777777" w:rsidR="00116E0B" w:rsidRPr="00444C64" w:rsidRDefault="00116E0B" w:rsidP="00B03F88">
      <w:pPr>
        <w:pStyle w:val="P00"/>
        <w:spacing w:before="0"/>
        <w:ind w:left="0" w:right="1134"/>
        <w:rPr>
          <w:rStyle w:val="default"/>
          <w:rFonts w:cs="FrankRuehl"/>
          <w:vanish/>
          <w:sz w:val="20"/>
          <w:szCs w:val="20"/>
          <w:shd w:val="clear" w:color="auto" w:fill="FFFF99"/>
          <w:rtl/>
        </w:rPr>
      </w:pPr>
      <w:r w:rsidRPr="00444C64">
        <w:rPr>
          <w:rStyle w:val="default"/>
          <w:rFonts w:cs="FrankRuehl" w:hint="cs"/>
          <w:b/>
          <w:bCs/>
          <w:vanish/>
          <w:sz w:val="20"/>
          <w:szCs w:val="20"/>
          <w:shd w:val="clear" w:color="auto" w:fill="FFFF99"/>
          <w:rtl/>
        </w:rPr>
        <w:t>הודעה תש"ף-2020</w:t>
      </w:r>
    </w:p>
    <w:p w14:paraId="45173D13" w14:textId="77777777" w:rsidR="00116E0B" w:rsidRPr="00444C64" w:rsidRDefault="00116E0B" w:rsidP="00B03F88">
      <w:pPr>
        <w:pStyle w:val="P00"/>
        <w:spacing w:before="0"/>
        <w:ind w:left="0" w:right="1134"/>
        <w:rPr>
          <w:rStyle w:val="default"/>
          <w:rFonts w:cs="FrankRuehl"/>
          <w:vanish/>
          <w:sz w:val="20"/>
          <w:szCs w:val="20"/>
          <w:shd w:val="clear" w:color="auto" w:fill="FFFF99"/>
          <w:rtl/>
        </w:rPr>
      </w:pPr>
      <w:hyperlink r:id="rId11" w:history="1">
        <w:r w:rsidRPr="00444C64">
          <w:rPr>
            <w:rStyle w:val="Hyperlink"/>
            <w:rFonts w:cs="FrankRuehl" w:hint="cs"/>
            <w:vanish/>
            <w:szCs w:val="20"/>
            <w:shd w:val="clear" w:color="auto" w:fill="FFFF99"/>
            <w:rtl/>
          </w:rPr>
          <w:t>י"פ תש"ף מס' 8827</w:t>
        </w:r>
      </w:hyperlink>
      <w:r w:rsidRPr="00444C64">
        <w:rPr>
          <w:rStyle w:val="default"/>
          <w:rFonts w:cs="FrankRuehl" w:hint="cs"/>
          <w:vanish/>
          <w:sz w:val="20"/>
          <w:szCs w:val="20"/>
          <w:shd w:val="clear" w:color="auto" w:fill="FFFF99"/>
          <w:rtl/>
        </w:rPr>
        <w:t xml:space="preserve"> מיום 27.4.2020 עמ' 5604</w:t>
      </w:r>
    </w:p>
    <w:p w14:paraId="278EE9C1" w14:textId="77777777" w:rsidR="00D90D6B" w:rsidRPr="00444C64" w:rsidRDefault="00D90D6B" w:rsidP="00D90D6B">
      <w:pPr>
        <w:pStyle w:val="P00"/>
        <w:ind w:left="0" w:right="1134"/>
        <w:rPr>
          <w:rStyle w:val="default"/>
          <w:rFonts w:cs="FrankRuehl"/>
          <w:vanish/>
          <w:sz w:val="22"/>
          <w:szCs w:val="22"/>
          <w:shd w:val="clear" w:color="auto" w:fill="FFFF99"/>
          <w:rtl/>
        </w:rPr>
      </w:pPr>
      <w:r w:rsidRPr="00444C64">
        <w:rPr>
          <w:rStyle w:val="default"/>
          <w:rFonts w:cs="FrankRuehl" w:hint="cs"/>
          <w:vanish/>
          <w:sz w:val="22"/>
          <w:szCs w:val="22"/>
          <w:shd w:val="clear" w:color="auto" w:fill="FFFF99"/>
          <w:rtl/>
        </w:rPr>
        <w:tab/>
        <w:t xml:space="preserve">"הסכום הקובע"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w:t>
      </w:r>
      <w:r w:rsidRPr="00444C64">
        <w:rPr>
          <w:rStyle w:val="default"/>
          <w:rFonts w:cs="FrankRuehl" w:hint="cs"/>
          <w:strike/>
          <w:vanish/>
          <w:sz w:val="22"/>
          <w:szCs w:val="22"/>
          <w:shd w:val="clear" w:color="auto" w:fill="FFFF99"/>
          <w:rtl/>
        </w:rPr>
        <w:t>245,404.29</w:t>
      </w:r>
      <w:r w:rsidRPr="00444C64">
        <w:rPr>
          <w:rStyle w:val="default"/>
          <w:rFonts w:cs="FrankRuehl" w:hint="cs"/>
          <w:vanish/>
          <w:sz w:val="22"/>
          <w:szCs w:val="22"/>
          <w:shd w:val="clear" w:color="auto" w:fill="FFFF99"/>
          <w:rtl/>
        </w:rPr>
        <w:t xml:space="preserve"> </w:t>
      </w:r>
      <w:r w:rsidRPr="00444C64">
        <w:rPr>
          <w:rStyle w:val="default"/>
          <w:rFonts w:cs="FrankRuehl" w:hint="cs"/>
          <w:vanish/>
          <w:sz w:val="22"/>
          <w:szCs w:val="22"/>
          <w:u w:val="single"/>
          <w:shd w:val="clear" w:color="auto" w:fill="FFFF99"/>
          <w:rtl/>
        </w:rPr>
        <w:t>246,878.66</w:t>
      </w:r>
      <w:r w:rsidRPr="00444C64">
        <w:rPr>
          <w:rStyle w:val="default"/>
          <w:rFonts w:cs="FrankRuehl" w:hint="cs"/>
          <w:vanish/>
          <w:sz w:val="22"/>
          <w:szCs w:val="22"/>
          <w:shd w:val="clear" w:color="auto" w:fill="FFFF99"/>
          <w:rtl/>
        </w:rPr>
        <w:t xml:space="preserve"> שקלים חדשים, הסכום האמור יהיה צמוד למדד המחירים לצרכן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המדד) ויתשנה ב-1 בפברואר של כל שנה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יום השינוי) לפי שיעור עליית המדד שפורסם לאחרונה לפני יום השינוי לעומת המדד שפורסם לאחרונה לפני יום השינוי הקודם; מזכיר הממשלה יפרסם את הסכום שעודכן כאמור בהודעה ברשומות;</w:t>
      </w:r>
    </w:p>
    <w:p w14:paraId="30AA6183" w14:textId="77777777" w:rsidR="00D90D6B" w:rsidRPr="00444C64" w:rsidRDefault="00D90D6B" w:rsidP="00B03F88">
      <w:pPr>
        <w:pStyle w:val="P00"/>
        <w:spacing w:before="0"/>
        <w:ind w:left="0" w:right="1134"/>
        <w:rPr>
          <w:rStyle w:val="default"/>
          <w:rFonts w:cs="FrankRuehl"/>
          <w:vanish/>
          <w:sz w:val="20"/>
          <w:szCs w:val="20"/>
          <w:shd w:val="clear" w:color="auto" w:fill="FFFF99"/>
          <w:rtl/>
        </w:rPr>
      </w:pPr>
    </w:p>
    <w:p w14:paraId="136BB49C" w14:textId="77777777" w:rsidR="00D90D6B" w:rsidRPr="00444C64" w:rsidRDefault="00D90D6B" w:rsidP="00B03F88">
      <w:pPr>
        <w:pStyle w:val="P00"/>
        <w:spacing w:before="0"/>
        <w:ind w:left="0" w:right="1134"/>
        <w:rPr>
          <w:rStyle w:val="default"/>
          <w:rFonts w:cs="FrankRuehl"/>
          <w:vanish/>
          <w:color w:val="FF0000"/>
          <w:sz w:val="20"/>
          <w:szCs w:val="20"/>
          <w:shd w:val="clear" w:color="auto" w:fill="FFFF99"/>
          <w:rtl/>
        </w:rPr>
      </w:pPr>
      <w:r w:rsidRPr="00444C64">
        <w:rPr>
          <w:rStyle w:val="default"/>
          <w:rFonts w:cs="FrankRuehl" w:hint="cs"/>
          <w:vanish/>
          <w:color w:val="FF0000"/>
          <w:sz w:val="20"/>
          <w:szCs w:val="20"/>
          <w:shd w:val="clear" w:color="auto" w:fill="FFFF99"/>
          <w:rtl/>
        </w:rPr>
        <w:t>מיום 1.1.2021</w:t>
      </w:r>
    </w:p>
    <w:p w14:paraId="25FC8C3B" w14:textId="77777777" w:rsidR="00D90D6B" w:rsidRPr="00444C64" w:rsidRDefault="00D90D6B" w:rsidP="00B03F88">
      <w:pPr>
        <w:pStyle w:val="P00"/>
        <w:spacing w:before="0"/>
        <w:ind w:left="0" w:right="1134"/>
        <w:rPr>
          <w:rStyle w:val="default"/>
          <w:rFonts w:cs="FrankRuehl"/>
          <w:vanish/>
          <w:sz w:val="20"/>
          <w:szCs w:val="20"/>
          <w:shd w:val="clear" w:color="auto" w:fill="FFFF99"/>
          <w:rtl/>
        </w:rPr>
      </w:pPr>
      <w:r w:rsidRPr="00444C64">
        <w:rPr>
          <w:rStyle w:val="default"/>
          <w:rFonts w:cs="FrankRuehl" w:hint="cs"/>
          <w:b/>
          <w:bCs/>
          <w:vanish/>
          <w:sz w:val="20"/>
          <w:szCs w:val="20"/>
          <w:shd w:val="clear" w:color="auto" w:fill="FFFF99"/>
          <w:rtl/>
        </w:rPr>
        <w:t>הודעה תשפ"א-2021</w:t>
      </w:r>
    </w:p>
    <w:p w14:paraId="649C78D1" w14:textId="77777777" w:rsidR="00D90D6B" w:rsidRPr="00444C64" w:rsidRDefault="00D90D6B" w:rsidP="00B03F88">
      <w:pPr>
        <w:pStyle w:val="P00"/>
        <w:spacing w:before="0"/>
        <w:ind w:left="0" w:right="1134"/>
        <w:rPr>
          <w:rStyle w:val="default"/>
          <w:rFonts w:cs="FrankRuehl"/>
          <w:vanish/>
          <w:sz w:val="20"/>
          <w:szCs w:val="20"/>
          <w:shd w:val="clear" w:color="auto" w:fill="FFFF99"/>
          <w:rtl/>
        </w:rPr>
      </w:pPr>
      <w:hyperlink r:id="rId12" w:history="1">
        <w:r w:rsidRPr="00444C64">
          <w:rPr>
            <w:rStyle w:val="Hyperlink"/>
            <w:rFonts w:cs="FrankRuehl" w:hint="cs"/>
            <w:vanish/>
            <w:szCs w:val="20"/>
            <w:shd w:val="clear" w:color="auto" w:fill="FFFF99"/>
            <w:rtl/>
          </w:rPr>
          <w:t>י"פ תשפ"א מס' 9498</w:t>
        </w:r>
      </w:hyperlink>
      <w:r w:rsidRPr="00444C64">
        <w:rPr>
          <w:rStyle w:val="default"/>
          <w:rFonts w:cs="FrankRuehl" w:hint="cs"/>
          <w:vanish/>
          <w:sz w:val="20"/>
          <w:szCs w:val="20"/>
          <w:shd w:val="clear" w:color="auto" w:fill="FFFF99"/>
          <w:rtl/>
        </w:rPr>
        <w:t xml:space="preserve"> מיום 22.3.2021 עמ' 4522</w:t>
      </w:r>
    </w:p>
    <w:p w14:paraId="61D3CB68" w14:textId="77777777" w:rsidR="00AA424E" w:rsidRPr="00444C64" w:rsidRDefault="00AA424E" w:rsidP="00AA424E">
      <w:pPr>
        <w:pStyle w:val="P00"/>
        <w:ind w:left="0" w:right="1134"/>
        <w:rPr>
          <w:rStyle w:val="default"/>
          <w:rFonts w:cs="FrankRuehl"/>
          <w:vanish/>
          <w:sz w:val="22"/>
          <w:szCs w:val="22"/>
          <w:shd w:val="clear" w:color="auto" w:fill="FFFF99"/>
          <w:rtl/>
        </w:rPr>
      </w:pPr>
      <w:r w:rsidRPr="00444C64">
        <w:rPr>
          <w:rStyle w:val="default"/>
          <w:rFonts w:cs="FrankRuehl" w:hint="cs"/>
          <w:vanish/>
          <w:sz w:val="22"/>
          <w:szCs w:val="22"/>
          <w:shd w:val="clear" w:color="auto" w:fill="FFFF99"/>
          <w:rtl/>
        </w:rPr>
        <w:tab/>
        <w:t xml:space="preserve">"הסכום הקובע"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w:t>
      </w:r>
      <w:r w:rsidRPr="00444C64">
        <w:rPr>
          <w:rStyle w:val="default"/>
          <w:rFonts w:cs="FrankRuehl" w:hint="cs"/>
          <w:strike/>
          <w:vanish/>
          <w:sz w:val="22"/>
          <w:szCs w:val="22"/>
          <w:shd w:val="clear" w:color="auto" w:fill="FFFF99"/>
          <w:rtl/>
        </w:rPr>
        <w:t>246,878.66</w:t>
      </w:r>
      <w:r w:rsidRPr="00444C64">
        <w:rPr>
          <w:rStyle w:val="default"/>
          <w:rFonts w:cs="FrankRuehl" w:hint="cs"/>
          <w:vanish/>
          <w:sz w:val="22"/>
          <w:szCs w:val="22"/>
          <w:shd w:val="clear" w:color="auto" w:fill="FFFF99"/>
          <w:rtl/>
        </w:rPr>
        <w:t xml:space="preserve"> </w:t>
      </w:r>
      <w:r w:rsidRPr="00444C64">
        <w:rPr>
          <w:rStyle w:val="default"/>
          <w:rFonts w:cs="FrankRuehl" w:hint="cs"/>
          <w:vanish/>
          <w:sz w:val="22"/>
          <w:szCs w:val="22"/>
          <w:u w:val="single"/>
          <w:shd w:val="clear" w:color="auto" w:fill="FFFF99"/>
          <w:rtl/>
        </w:rPr>
        <w:t>245,164.23</w:t>
      </w:r>
      <w:r w:rsidRPr="00444C64">
        <w:rPr>
          <w:rStyle w:val="default"/>
          <w:rFonts w:cs="FrankRuehl" w:hint="cs"/>
          <w:vanish/>
          <w:sz w:val="22"/>
          <w:szCs w:val="22"/>
          <w:shd w:val="clear" w:color="auto" w:fill="FFFF99"/>
          <w:rtl/>
        </w:rPr>
        <w:t xml:space="preserve"> שקלים חדשים, הסכום האמור יהיה צמוד למדד המחירים לצרכן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המדד) ויתשנה ב-1 בפברואר של כל שנה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יום השינוי) לפי שיעור עליית המדד שפורסם לאחרונה לפני יום השינוי לעומת המדד שפורסם לאחרונה לפני יום השינוי הקודם; מזכיר הממשלה יפרסם את הסכום שעודכן כאמור בהודעה ברשומות;</w:t>
      </w:r>
    </w:p>
    <w:p w14:paraId="152F3AB0" w14:textId="77777777" w:rsidR="00AA424E" w:rsidRPr="00444C64" w:rsidRDefault="00AA424E" w:rsidP="00B03F88">
      <w:pPr>
        <w:pStyle w:val="P00"/>
        <w:spacing w:before="0"/>
        <w:ind w:left="0" w:right="1134"/>
        <w:rPr>
          <w:rStyle w:val="default"/>
          <w:rFonts w:cs="FrankRuehl"/>
          <w:vanish/>
          <w:sz w:val="20"/>
          <w:szCs w:val="20"/>
          <w:shd w:val="clear" w:color="auto" w:fill="FFFF99"/>
          <w:rtl/>
        </w:rPr>
      </w:pPr>
    </w:p>
    <w:p w14:paraId="4FEB269D" w14:textId="77777777" w:rsidR="00AA424E" w:rsidRPr="00444C64" w:rsidRDefault="00AA424E" w:rsidP="00B03F88">
      <w:pPr>
        <w:pStyle w:val="P00"/>
        <w:spacing w:before="0"/>
        <w:ind w:left="0" w:right="1134"/>
        <w:rPr>
          <w:rStyle w:val="default"/>
          <w:rFonts w:cs="FrankRuehl"/>
          <w:vanish/>
          <w:color w:val="FF0000"/>
          <w:sz w:val="20"/>
          <w:szCs w:val="20"/>
          <w:shd w:val="clear" w:color="auto" w:fill="FFFF99"/>
          <w:rtl/>
        </w:rPr>
      </w:pPr>
      <w:r w:rsidRPr="00444C64">
        <w:rPr>
          <w:rStyle w:val="default"/>
          <w:rFonts w:cs="FrankRuehl" w:hint="cs"/>
          <w:vanish/>
          <w:color w:val="FF0000"/>
          <w:sz w:val="20"/>
          <w:szCs w:val="20"/>
          <w:shd w:val="clear" w:color="auto" w:fill="FFFF99"/>
          <w:rtl/>
        </w:rPr>
        <w:t>מיום 1.1.2022</w:t>
      </w:r>
    </w:p>
    <w:p w14:paraId="0B35231D" w14:textId="77777777" w:rsidR="00AA424E" w:rsidRPr="00444C64" w:rsidRDefault="00AA424E" w:rsidP="00B03F88">
      <w:pPr>
        <w:pStyle w:val="P00"/>
        <w:spacing w:before="0"/>
        <w:ind w:left="0" w:right="1134"/>
        <w:rPr>
          <w:rStyle w:val="default"/>
          <w:rFonts w:cs="FrankRuehl"/>
          <w:vanish/>
          <w:sz w:val="20"/>
          <w:szCs w:val="20"/>
          <w:shd w:val="clear" w:color="auto" w:fill="FFFF99"/>
          <w:rtl/>
        </w:rPr>
      </w:pPr>
      <w:r w:rsidRPr="00444C64">
        <w:rPr>
          <w:rStyle w:val="default"/>
          <w:rFonts w:cs="FrankRuehl" w:hint="cs"/>
          <w:b/>
          <w:bCs/>
          <w:vanish/>
          <w:sz w:val="20"/>
          <w:szCs w:val="20"/>
          <w:shd w:val="clear" w:color="auto" w:fill="FFFF99"/>
          <w:rtl/>
        </w:rPr>
        <w:t>הודעה תשפ"ב-2022</w:t>
      </w:r>
    </w:p>
    <w:p w14:paraId="1090CD5B" w14:textId="77777777" w:rsidR="00AA424E" w:rsidRPr="00444C64" w:rsidRDefault="00AA424E" w:rsidP="00B03F88">
      <w:pPr>
        <w:pStyle w:val="P00"/>
        <w:spacing w:before="0"/>
        <w:ind w:left="0" w:right="1134"/>
        <w:rPr>
          <w:rStyle w:val="default"/>
          <w:rFonts w:cs="FrankRuehl"/>
          <w:vanish/>
          <w:sz w:val="20"/>
          <w:szCs w:val="20"/>
          <w:shd w:val="clear" w:color="auto" w:fill="FFFF99"/>
          <w:rtl/>
        </w:rPr>
      </w:pPr>
      <w:hyperlink r:id="rId13" w:history="1">
        <w:r w:rsidRPr="00444C64">
          <w:rPr>
            <w:rStyle w:val="Hyperlink"/>
            <w:rFonts w:cs="FrankRuehl" w:hint="cs"/>
            <w:vanish/>
            <w:szCs w:val="20"/>
            <w:shd w:val="clear" w:color="auto" w:fill="FFFF99"/>
            <w:rtl/>
          </w:rPr>
          <w:t>י"פ תשפ"ב מס' 10493</w:t>
        </w:r>
      </w:hyperlink>
      <w:r w:rsidRPr="00444C64">
        <w:rPr>
          <w:rStyle w:val="default"/>
          <w:rFonts w:cs="FrankRuehl" w:hint="cs"/>
          <w:vanish/>
          <w:sz w:val="20"/>
          <w:szCs w:val="20"/>
          <w:shd w:val="clear" w:color="auto" w:fill="FFFF99"/>
          <w:rtl/>
        </w:rPr>
        <w:t xml:space="preserve"> מיום 3.5.2022 עמ' 7978</w:t>
      </w:r>
    </w:p>
    <w:p w14:paraId="1E22C9EB" w14:textId="77777777" w:rsidR="00444C64" w:rsidRPr="00444C64" w:rsidRDefault="00444C64" w:rsidP="00444C64">
      <w:pPr>
        <w:pStyle w:val="P00"/>
        <w:ind w:left="0" w:right="1134"/>
        <w:rPr>
          <w:rStyle w:val="default"/>
          <w:rFonts w:cs="FrankRuehl"/>
          <w:vanish/>
          <w:sz w:val="22"/>
          <w:szCs w:val="22"/>
          <w:shd w:val="clear" w:color="auto" w:fill="FFFF99"/>
          <w:rtl/>
        </w:rPr>
      </w:pPr>
      <w:r w:rsidRPr="00444C64">
        <w:rPr>
          <w:rStyle w:val="default"/>
          <w:rFonts w:cs="FrankRuehl" w:hint="cs"/>
          <w:vanish/>
          <w:sz w:val="22"/>
          <w:szCs w:val="22"/>
          <w:shd w:val="clear" w:color="auto" w:fill="FFFF99"/>
          <w:rtl/>
        </w:rPr>
        <w:tab/>
        <w:t xml:space="preserve">"הסכום הקובע"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w:t>
      </w:r>
      <w:r w:rsidRPr="00444C64">
        <w:rPr>
          <w:rStyle w:val="default"/>
          <w:rFonts w:cs="FrankRuehl" w:hint="cs"/>
          <w:strike/>
          <w:vanish/>
          <w:sz w:val="22"/>
          <w:szCs w:val="22"/>
          <w:shd w:val="clear" w:color="auto" w:fill="FFFF99"/>
          <w:rtl/>
        </w:rPr>
        <w:t>245,164.23</w:t>
      </w:r>
      <w:r w:rsidRPr="00444C64">
        <w:rPr>
          <w:rStyle w:val="default"/>
          <w:rFonts w:cs="FrankRuehl" w:hint="cs"/>
          <w:vanish/>
          <w:sz w:val="22"/>
          <w:szCs w:val="22"/>
          <w:shd w:val="clear" w:color="auto" w:fill="FFFF99"/>
          <w:rtl/>
        </w:rPr>
        <w:t xml:space="preserve"> </w:t>
      </w:r>
      <w:r w:rsidRPr="00444C64">
        <w:rPr>
          <w:rStyle w:val="default"/>
          <w:rFonts w:cs="FrankRuehl" w:hint="cs"/>
          <w:vanish/>
          <w:sz w:val="22"/>
          <w:szCs w:val="22"/>
          <w:u w:val="single"/>
          <w:shd w:val="clear" w:color="auto" w:fill="FFFF99"/>
          <w:rtl/>
        </w:rPr>
        <w:t>252,041.06</w:t>
      </w:r>
      <w:r w:rsidRPr="00444C64">
        <w:rPr>
          <w:rStyle w:val="default"/>
          <w:rFonts w:cs="FrankRuehl" w:hint="cs"/>
          <w:vanish/>
          <w:sz w:val="22"/>
          <w:szCs w:val="22"/>
          <w:shd w:val="clear" w:color="auto" w:fill="FFFF99"/>
          <w:rtl/>
        </w:rPr>
        <w:t xml:space="preserve"> שקלים חדשים, הסכום האמור יהיה צמוד למדד המחירים לצרכן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המדד) ויתשנה ב-1 בפברואר של כל שנה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יום השינוי) לפי שיעור עליית המדד שפורסם לאחרונה לפני יום השינוי לעומת המדד שפורסם לאחרונה לפני יום השינוי הקודם; מזכיר הממשלה יפרסם את הסכום שעודכן כאמור בהודעה ברשומות;</w:t>
      </w:r>
    </w:p>
    <w:p w14:paraId="37A8F624" w14:textId="77777777" w:rsidR="00444C64" w:rsidRPr="00444C64" w:rsidRDefault="00444C64" w:rsidP="00B03F88">
      <w:pPr>
        <w:pStyle w:val="P00"/>
        <w:spacing w:before="0"/>
        <w:ind w:left="0" w:right="1134"/>
        <w:rPr>
          <w:rStyle w:val="default"/>
          <w:rFonts w:cs="FrankRuehl"/>
          <w:vanish/>
          <w:sz w:val="20"/>
          <w:szCs w:val="20"/>
          <w:shd w:val="clear" w:color="auto" w:fill="FFFF99"/>
          <w:rtl/>
        </w:rPr>
      </w:pPr>
    </w:p>
    <w:p w14:paraId="67F79EA3" w14:textId="77777777" w:rsidR="00444C64" w:rsidRPr="00444C64" w:rsidRDefault="00444C64" w:rsidP="00B03F88">
      <w:pPr>
        <w:pStyle w:val="P00"/>
        <w:spacing w:before="0"/>
        <w:ind w:left="0" w:right="1134"/>
        <w:rPr>
          <w:rStyle w:val="default"/>
          <w:rFonts w:cs="FrankRuehl"/>
          <w:vanish/>
          <w:color w:val="FF0000"/>
          <w:sz w:val="20"/>
          <w:szCs w:val="20"/>
          <w:shd w:val="clear" w:color="auto" w:fill="FFFF99"/>
          <w:rtl/>
        </w:rPr>
      </w:pPr>
      <w:r w:rsidRPr="00444C64">
        <w:rPr>
          <w:rStyle w:val="default"/>
          <w:rFonts w:cs="FrankRuehl" w:hint="cs"/>
          <w:vanish/>
          <w:color w:val="FF0000"/>
          <w:sz w:val="20"/>
          <w:szCs w:val="20"/>
          <w:shd w:val="clear" w:color="auto" w:fill="FFFF99"/>
          <w:rtl/>
        </w:rPr>
        <w:t>מיום 1.1.2023</w:t>
      </w:r>
    </w:p>
    <w:p w14:paraId="218DD212" w14:textId="77777777" w:rsidR="00444C64" w:rsidRPr="00444C64" w:rsidRDefault="00444C64" w:rsidP="00B03F88">
      <w:pPr>
        <w:pStyle w:val="P00"/>
        <w:spacing w:before="0"/>
        <w:ind w:left="0" w:right="1134"/>
        <w:rPr>
          <w:rStyle w:val="default"/>
          <w:rFonts w:cs="FrankRuehl"/>
          <w:vanish/>
          <w:sz w:val="20"/>
          <w:szCs w:val="20"/>
          <w:shd w:val="clear" w:color="auto" w:fill="FFFF99"/>
          <w:rtl/>
        </w:rPr>
      </w:pPr>
      <w:r w:rsidRPr="00444C64">
        <w:rPr>
          <w:rStyle w:val="default"/>
          <w:rFonts w:cs="FrankRuehl" w:hint="cs"/>
          <w:b/>
          <w:bCs/>
          <w:vanish/>
          <w:sz w:val="20"/>
          <w:szCs w:val="20"/>
          <w:shd w:val="clear" w:color="auto" w:fill="FFFF99"/>
          <w:rtl/>
        </w:rPr>
        <w:t>הודעה תשפ"ג-2023</w:t>
      </w:r>
    </w:p>
    <w:p w14:paraId="58C0C3DF" w14:textId="77777777" w:rsidR="00444C64" w:rsidRPr="00444C64" w:rsidRDefault="00444C64" w:rsidP="00B03F88">
      <w:pPr>
        <w:pStyle w:val="P00"/>
        <w:spacing w:before="0"/>
        <w:ind w:left="0" w:right="1134"/>
        <w:rPr>
          <w:rStyle w:val="default"/>
          <w:rFonts w:cs="FrankRuehl" w:hint="cs"/>
          <w:vanish/>
          <w:sz w:val="20"/>
          <w:szCs w:val="20"/>
          <w:shd w:val="clear" w:color="auto" w:fill="FFFF99"/>
          <w:rtl/>
        </w:rPr>
      </w:pPr>
      <w:hyperlink r:id="rId14" w:history="1">
        <w:r w:rsidRPr="00444C64">
          <w:rPr>
            <w:rStyle w:val="Hyperlink"/>
            <w:rFonts w:cs="FrankRuehl" w:hint="cs"/>
            <w:vanish/>
            <w:szCs w:val="20"/>
            <w:shd w:val="clear" w:color="auto" w:fill="FFFF99"/>
            <w:rtl/>
          </w:rPr>
          <w:t>י"פ תשפ"ג מס' 11343</w:t>
        </w:r>
      </w:hyperlink>
      <w:r w:rsidRPr="00444C64">
        <w:rPr>
          <w:rStyle w:val="default"/>
          <w:rFonts w:cs="FrankRuehl" w:hint="cs"/>
          <w:vanish/>
          <w:sz w:val="20"/>
          <w:szCs w:val="20"/>
          <w:shd w:val="clear" w:color="auto" w:fill="FFFF99"/>
          <w:rtl/>
        </w:rPr>
        <w:t xml:space="preserve"> מיום 15.5.2023 עמ' 6186</w:t>
      </w:r>
    </w:p>
    <w:p w14:paraId="762718DA" w14:textId="77777777" w:rsidR="00B03F88" w:rsidRPr="00B03F88" w:rsidRDefault="00B03F88" w:rsidP="003F0CB5">
      <w:pPr>
        <w:pStyle w:val="P00"/>
        <w:ind w:left="0" w:right="1134"/>
        <w:rPr>
          <w:rStyle w:val="default"/>
          <w:rFonts w:cs="FrankRuehl" w:hint="cs"/>
          <w:sz w:val="2"/>
          <w:szCs w:val="2"/>
          <w:rtl/>
        </w:rPr>
      </w:pPr>
      <w:r w:rsidRPr="00444C64">
        <w:rPr>
          <w:rStyle w:val="default"/>
          <w:rFonts w:cs="FrankRuehl" w:hint="cs"/>
          <w:vanish/>
          <w:sz w:val="22"/>
          <w:szCs w:val="22"/>
          <w:shd w:val="clear" w:color="auto" w:fill="FFFF99"/>
          <w:rtl/>
        </w:rPr>
        <w:tab/>
        <w:t xml:space="preserve">"הסכום הקובע" </w:t>
      </w:r>
      <w:r w:rsidRPr="00444C64">
        <w:rPr>
          <w:rStyle w:val="default"/>
          <w:rFonts w:cs="FrankRuehl"/>
          <w:vanish/>
          <w:sz w:val="22"/>
          <w:szCs w:val="22"/>
          <w:shd w:val="clear" w:color="auto" w:fill="FFFF99"/>
          <w:rtl/>
        </w:rPr>
        <w:t>–</w:t>
      </w:r>
      <w:r w:rsidR="00116E0B" w:rsidRPr="00444C64">
        <w:rPr>
          <w:rStyle w:val="default"/>
          <w:rFonts w:cs="FrankRuehl" w:hint="cs"/>
          <w:vanish/>
          <w:sz w:val="22"/>
          <w:szCs w:val="22"/>
          <w:shd w:val="clear" w:color="auto" w:fill="FFFF99"/>
          <w:rtl/>
        </w:rPr>
        <w:t xml:space="preserve"> </w:t>
      </w:r>
      <w:r w:rsidR="00444C64" w:rsidRPr="00444C64">
        <w:rPr>
          <w:rStyle w:val="default"/>
          <w:rFonts w:cs="FrankRuehl" w:hint="cs"/>
          <w:strike/>
          <w:vanish/>
          <w:sz w:val="22"/>
          <w:szCs w:val="22"/>
          <w:shd w:val="clear" w:color="auto" w:fill="FFFF99"/>
          <w:rtl/>
        </w:rPr>
        <w:t>252,041.06</w:t>
      </w:r>
      <w:r w:rsidR="00116E0B" w:rsidRPr="00444C64">
        <w:rPr>
          <w:rStyle w:val="default"/>
          <w:rFonts w:cs="FrankRuehl" w:hint="cs"/>
          <w:vanish/>
          <w:sz w:val="22"/>
          <w:szCs w:val="22"/>
          <w:shd w:val="clear" w:color="auto" w:fill="FFFF99"/>
          <w:rtl/>
        </w:rPr>
        <w:t xml:space="preserve"> </w:t>
      </w:r>
      <w:r w:rsidR="00444C64" w:rsidRPr="00444C64">
        <w:rPr>
          <w:rStyle w:val="default"/>
          <w:rFonts w:cs="FrankRuehl" w:hint="cs"/>
          <w:vanish/>
          <w:sz w:val="22"/>
          <w:szCs w:val="22"/>
          <w:u w:val="single"/>
          <w:shd w:val="clear" w:color="auto" w:fill="FFFF99"/>
          <w:rtl/>
        </w:rPr>
        <w:t>265,306.38</w:t>
      </w:r>
      <w:r w:rsidRPr="00444C64">
        <w:rPr>
          <w:rStyle w:val="default"/>
          <w:rFonts w:cs="FrankRuehl" w:hint="cs"/>
          <w:vanish/>
          <w:sz w:val="22"/>
          <w:szCs w:val="22"/>
          <w:shd w:val="clear" w:color="auto" w:fill="FFFF99"/>
          <w:rtl/>
        </w:rPr>
        <w:t xml:space="preserve"> שקלים חדשים, הסכום האמור יהיה צמוד למדד המחירים לצרכן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המדד) ויתשנה ב-1 בפברואר של כל שנה (להלן </w:t>
      </w:r>
      <w:r w:rsidRPr="00444C64">
        <w:rPr>
          <w:rStyle w:val="default"/>
          <w:rFonts w:cs="FrankRuehl"/>
          <w:vanish/>
          <w:sz w:val="22"/>
          <w:szCs w:val="22"/>
          <w:shd w:val="clear" w:color="auto" w:fill="FFFF99"/>
          <w:rtl/>
        </w:rPr>
        <w:t>–</w:t>
      </w:r>
      <w:r w:rsidRPr="00444C64">
        <w:rPr>
          <w:rStyle w:val="default"/>
          <w:rFonts w:cs="FrankRuehl" w:hint="cs"/>
          <w:vanish/>
          <w:sz w:val="22"/>
          <w:szCs w:val="22"/>
          <w:shd w:val="clear" w:color="auto" w:fill="FFFF99"/>
          <w:rtl/>
        </w:rPr>
        <w:t xml:space="preserve"> יום השינוי) לפי שיעור עליית המדד שפורסם לאחרונה לפני יום השינוי לעומת המדד שפורסם לאחרונה לפני יום השינוי הקודם; מזכיר הממשלה יפרסם את הסכום שעודכן כאמור בהודעה ברשומות;</w:t>
      </w:r>
      <w:bookmarkEnd w:id="1"/>
    </w:p>
    <w:p w14:paraId="54F1510A" w14:textId="77777777" w:rsidR="00713F8B" w:rsidRDefault="00713F8B">
      <w:pPr>
        <w:pStyle w:val="P00"/>
        <w:spacing w:before="72"/>
        <w:ind w:left="0" w:right="1134"/>
        <w:rPr>
          <w:rStyle w:val="default"/>
          <w:rFonts w:cs="FrankRuehl" w:hint="cs"/>
          <w:rtl/>
        </w:rPr>
      </w:pPr>
      <w:r>
        <w:rPr>
          <w:rStyle w:val="default"/>
          <w:rFonts w:cs="FrankRuehl" w:hint="cs"/>
          <w:rtl/>
        </w:rPr>
        <w:tab/>
        <w:t xml:space="preserve">"ניירות ערך" </w:t>
      </w:r>
      <w:r>
        <w:rPr>
          <w:rStyle w:val="default"/>
          <w:rFonts w:cs="FrankRuehl"/>
          <w:rtl/>
        </w:rPr>
        <w:t>–</w:t>
      </w:r>
      <w:r>
        <w:rPr>
          <w:rStyle w:val="default"/>
          <w:rFonts w:cs="FrankRuehl" w:hint="cs"/>
          <w:rtl/>
        </w:rPr>
        <w:t xml:space="preserve"> תעודות המונפקות בסדרות על ידי תאגיד ומקנות זכות חברות, השתתפות או תביעה בו, בין אם הן על שם ובין למוכ"ז, לרבות ניירות ערך שמנפיקה המדינה, אופציות וחוזים עתידיים כמשמעותם בחוק השקעות משותפות בנאמנות, התשנ"ד-1994;</w:t>
      </w:r>
    </w:p>
    <w:p w14:paraId="48BED190" w14:textId="77777777" w:rsidR="00713F8B" w:rsidRDefault="00713F8B">
      <w:pPr>
        <w:pStyle w:val="P00"/>
        <w:spacing w:before="72"/>
        <w:ind w:left="0" w:right="1134"/>
        <w:rPr>
          <w:rStyle w:val="default"/>
          <w:rFonts w:cs="FrankRuehl" w:hint="cs"/>
          <w:rtl/>
        </w:rPr>
      </w:pPr>
      <w:r>
        <w:rPr>
          <w:rStyle w:val="default"/>
          <w:rFonts w:cs="FrankRuehl" w:hint="cs"/>
          <w:rtl/>
        </w:rPr>
        <w:tab/>
        <w:t xml:space="preserve">"ענין אישי" </w:t>
      </w:r>
      <w:r>
        <w:rPr>
          <w:rStyle w:val="default"/>
          <w:rFonts w:cs="FrankRuehl"/>
          <w:rtl/>
        </w:rPr>
        <w:t>–</w:t>
      </w:r>
      <w:r>
        <w:rPr>
          <w:rStyle w:val="default"/>
          <w:rFonts w:cs="FrankRuehl" w:hint="cs"/>
          <w:rtl/>
        </w:rPr>
        <w:t xml:space="preserve"> לרבות ענין אישי של קרוב של השר;</w:t>
      </w:r>
    </w:p>
    <w:p w14:paraId="5B7A4E7D" w14:textId="77777777" w:rsidR="00713F8B" w:rsidRDefault="00713F8B">
      <w:pPr>
        <w:pStyle w:val="P00"/>
        <w:spacing w:before="72"/>
        <w:ind w:left="0" w:right="1134"/>
        <w:rPr>
          <w:rStyle w:val="default"/>
          <w:rFonts w:cs="FrankRuehl" w:hint="cs"/>
          <w:rtl/>
        </w:rPr>
      </w:pPr>
      <w:r>
        <w:rPr>
          <w:rStyle w:val="default"/>
          <w:rFonts w:cs="FrankRuehl" w:hint="cs"/>
          <w:rtl/>
        </w:rPr>
        <w:tab/>
        <w:t xml:space="preserve">"עסק" </w:t>
      </w:r>
      <w:r>
        <w:rPr>
          <w:rStyle w:val="default"/>
          <w:rFonts w:cs="FrankRuehl"/>
          <w:rtl/>
        </w:rPr>
        <w:t>–</w:t>
      </w:r>
      <w:r>
        <w:rPr>
          <w:rStyle w:val="default"/>
          <w:rFonts w:cs="FrankRuehl" w:hint="cs"/>
          <w:rtl/>
        </w:rPr>
        <w:t xml:space="preserve"> לרבות משלח יד, מקצוע, מסחר, מלאכה, חקלאות או תעשיה;</w:t>
      </w:r>
    </w:p>
    <w:p w14:paraId="7E21EEB1" w14:textId="77777777" w:rsidR="00713F8B" w:rsidRDefault="00713F8B">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p>
    <w:p w14:paraId="76CF01F8" w14:textId="77777777" w:rsidR="00713F8B" w:rsidRDefault="00713F8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בן זוג, צאצא, הורה, הורי הורה, אח, אחות, צאצא וצאצאי בן הזוג, בן זוגו של כל אחד מאלה, צאצא של אח או אחות ואח או אחות של הורה;</w:t>
      </w:r>
    </w:p>
    <w:p w14:paraId="7E8B8917" w14:textId="77777777" w:rsidR="00713F8B" w:rsidRDefault="00713F8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כל אדם אחר שיש לשר ענין אישי במצבו הכלכלי;</w:t>
      </w:r>
    </w:p>
    <w:p w14:paraId="4A173D41" w14:textId="77777777" w:rsidR="00713F8B" w:rsidRDefault="00713F8B">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כל זכות הקיימת לאדם לבדו או יחד עם קרובו ל-10% לפחות מהון המניות המוצא, או ל-10% לפחות מכוח ההצבעה, או בזכות לקבל 10% לפחות מהרווחים או בזכות למנות מנהל, של כל חבר בני אדם;</w:t>
      </w:r>
    </w:p>
    <w:p w14:paraId="7895B0DD" w14:textId="77777777" w:rsidR="00713F8B" w:rsidRDefault="00713F8B">
      <w:pPr>
        <w:pStyle w:val="P00"/>
        <w:spacing w:before="72"/>
        <w:ind w:left="0" w:right="1134"/>
        <w:rPr>
          <w:rStyle w:val="default"/>
          <w:rFonts w:cs="FrankRuehl" w:hint="cs"/>
          <w:rtl/>
        </w:rPr>
      </w:pPr>
      <w:r>
        <w:rPr>
          <w:rStyle w:val="default"/>
          <w:rFonts w:cs="FrankRuehl" w:hint="cs"/>
          <w:rtl/>
        </w:rPr>
        <w:tab/>
        <w:t xml:space="preserve">"שר" </w:t>
      </w:r>
      <w:r>
        <w:rPr>
          <w:rStyle w:val="default"/>
          <w:rFonts w:cs="FrankRuehl"/>
          <w:rtl/>
        </w:rPr>
        <w:t>–</w:t>
      </w:r>
      <w:r>
        <w:rPr>
          <w:rStyle w:val="default"/>
          <w:rFonts w:cs="FrankRuehl" w:hint="cs"/>
          <w:rtl/>
        </w:rPr>
        <w:t xml:space="preserve"> לרבות ראש הממשלה וסגן שר.</w:t>
      </w:r>
    </w:p>
    <w:p w14:paraId="21AF0EB7" w14:textId="77777777" w:rsidR="00713F8B" w:rsidRDefault="00713F8B">
      <w:pPr>
        <w:pStyle w:val="P00"/>
        <w:spacing w:before="72"/>
        <w:ind w:left="0" w:right="1134"/>
        <w:rPr>
          <w:rStyle w:val="default"/>
          <w:rFonts w:cs="FrankRuehl" w:hint="cs"/>
          <w:rtl/>
        </w:rPr>
      </w:pPr>
      <w:bookmarkStart w:id="2" w:name="Seif2"/>
      <w:bookmarkEnd w:id="2"/>
      <w:r>
        <w:rPr>
          <w:rFonts w:cs="Miriam"/>
          <w:sz w:val="32"/>
          <w:szCs w:val="32"/>
          <w:rtl/>
          <w:lang w:val="he-IL"/>
        </w:rPr>
        <w:pict w14:anchorId="754D8729">
          <v:shape id="_x0000_s2051" type="#_x0000_t202" style="position:absolute;left:0;text-align:left;margin-left:470.25pt;margin-top:.7pt;width:1in;height:16.8pt;z-index:251646464" filled="f" stroked="f">
            <v:textbox inset="1mm,,1mm">
              <w:txbxContent>
                <w:p w14:paraId="31435696" w14:textId="77777777" w:rsidR="00713F8B" w:rsidRDefault="00713F8B">
                  <w:pPr>
                    <w:spacing w:line="160" w:lineRule="exact"/>
                    <w:jc w:val="left"/>
                    <w:rPr>
                      <w:rFonts w:cs="Miriam" w:hint="cs"/>
                      <w:sz w:val="18"/>
                      <w:szCs w:val="18"/>
                      <w:rtl/>
                    </w:rPr>
                  </w:pPr>
                  <w:r>
                    <w:rPr>
                      <w:rFonts w:cs="Miriam" w:hint="cs"/>
                      <w:sz w:val="18"/>
                      <w:szCs w:val="18"/>
                      <w:rtl/>
                    </w:rPr>
                    <w:t>שמירת דינים</w:t>
                  </w:r>
                </w:p>
              </w:txbxContent>
            </v:textbox>
            <w10:anchorlock/>
          </v:shape>
        </w:pict>
      </w:r>
      <w:r>
        <w:rPr>
          <w:rFonts w:cs="Miriam" w:hint="cs"/>
          <w:sz w:val="32"/>
          <w:szCs w:val="32"/>
          <w:rtl/>
          <w:lang w:val="he-IL"/>
        </w:rPr>
        <w:t>2</w:t>
      </w:r>
      <w:r>
        <w:rPr>
          <w:rStyle w:val="default"/>
          <w:rFonts w:cs="FrankRuehl" w:hint="cs"/>
          <w:rtl/>
        </w:rPr>
        <w:t>.</w:t>
      </w:r>
      <w:r>
        <w:rPr>
          <w:rStyle w:val="default"/>
          <w:rFonts w:cs="FrankRuehl" w:hint="cs"/>
          <w:rtl/>
        </w:rPr>
        <w:tab/>
        <w:t>כללים אלה יחולו נוסף על האמור בכל דין.</w:t>
      </w:r>
    </w:p>
    <w:p w14:paraId="53D442D8" w14:textId="77777777" w:rsidR="00713F8B" w:rsidRDefault="00713F8B">
      <w:pPr>
        <w:pStyle w:val="P00"/>
        <w:spacing w:before="72"/>
        <w:ind w:left="0" w:right="1134"/>
        <w:rPr>
          <w:rStyle w:val="default"/>
          <w:rFonts w:cs="FrankRuehl" w:hint="cs"/>
          <w:rtl/>
        </w:rPr>
      </w:pPr>
      <w:bookmarkStart w:id="3" w:name="Seif3"/>
      <w:bookmarkEnd w:id="3"/>
      <w:r>
        <w:rPr>
          <w:rFonts w:cs="Miriam"/>
          <w:sz w:val="32"/>
          <w:szCs w:val="32"/>
          <w:rtl/>
          <w:lang w:val="he-IL"/>
        </w:rPr>
        <w:pict w14:anchorId="3A4725AF">
          <v:shape id="_x0000_s2052" type="#_x0000_t202" style="position:absolute;left:0;text-align:left;margin-left:470.25pt;margin-top:.9pt;width:1in;height:22.4pt;z-index:251647488" filled="f" stroked="f">
            <v:textbox inset="1mm,,1mm">
              <w:txbxContent>
                <w:p w14:paraId="41ACF09B" w14:textId="77777777" w:rsidR="00713F8B" w:rsidRDefault="00713F8B">
                  <w:pPr>
                    <w:spacing w:line="160" w:lineRule="exact"/>
                    <w:jc w:val="left"/>
                    <w:rPr>
                      <w:rFonts w:cs="Miriam" w:hint="cs"/>
                      <w:sz w:val="18"/>
                      <w:szCs w:val="18"/>
                      <w:rtl/>
                    </w:rPr>
                  </w:pPr>
                  <w:r>
                    <w:rPr>
                      <w:rFonts w:cs="Miriam" w:hint="cs"/>
                      <w:sz w:val="18"/>
                      <w:szCs w:val="18"/>
                      <w:rtl/>
                    </w:rPr>
                    <w:t>מילוי התפקיד בלא משוא פנים</w:t>
                  </w:r>
                </w:p>
              </w:txbxContent>
            </v:textbox>
            <w10:anchorlock/>
          </v:shape>
        </w:pict>
      </w:r>
      <w:r>
        <w:rPr>
          <w:rFonts w:cs="Miriam" w:hint="cs"/>
          <w:sz w:val="32"/>
          <w:szCs w:val="32"/>
          <w:rtl/>
          <w:lang w:val="he-IL"/>
        </w:rPr>
        <w:t>3</w:t>
      </w:r>
      <w:r>
        <w:rPr>
          <w:rStyle w:val="default"/>
          <w:rFonts w:cs="FrankRuehl" w:hint="cs"/>
          <w:rtl/>
        </w:rPr>
        <w:t>.</w:t>
      </w:r>
      <w:r>
        <w:rPr>
          <w:rStyle w:val="default"/>
          <w:rFonts w:cs="FrankRuehl" w:hint="cs"/>
          <w:rtl/>
        </w:rPr>
        <w:tab/>
        <w:t>שר ינהג במילוי תפקידיו בלא משוא פנים, תוך גישה הוגנת כלפי הכל ובלא שיהיה לו ענין אישי בהחלטותיו או בפעולותיו אף למראית עין.</w:t>
      </w:r>
    </w:p>
    <w:p w14:paraId="1115336F" w14:textId="77777777" w:rsidR="00713F8B" w:rsidRDefault="00713F8B">
      <w:pPr>
        <w:pStyle w:val="P00"/>
        <w:spacing w:before="72"/>
        <w:ind w:left="0" w:right="1134"/>
        <w:rPr>
          <w:rStyle w:val="default"/>
          <w:rFonts w:cs="FrankRuehl" w:hint="cs"/>
          <w:rtl/>
        </w:rPr>
      </w:pPr>
      <w:bookmarkStart w:id="4" w:name="Seif4"/>
      <w:bookmarkEnd w:id="4"/>
      <w:r>
        <w:rPr>
          <w:rFonts w:cs="Miriam"/>
          <w:sz w:val="32"/>
          <w:szCs w:val="32"/>
          <w:rtl/>
          <w:lang w:val="he-IL"/>
        </w:rPr>
        <w:lastRenderedPageBreak/>
        <w:pict w14:anchorId="567D72BB">
          <v:shape id="_x0000_s2053" type="#_x0000_t202" style="position:absolute;left:0;text-align:left;margin-left:470.25pt;margin-top:4.9pt;width:1in;height:22.4pt;z-index:251648512" filled="f" stroked="f">
            <v:textbox inset="1mm,,1mm">
              <w:txbxContent>
                <w:p w14:paraId="1FF0398C" w14:textId="77777777" w:rsidR="00713F8B" w:rsidRDefault="00713F8B">
                  <w:pPr>
                    <w:spacing w:line="160" w:lineRule="exact"/>
                    <w:jc w:val="left"/>
                    <w:rPr>
                      <w:rFonts w:cs="Miriam" w:hint="cs"/>
                      <w:sz w:val="18"/>
                      <w:szCs w:val="18"/>
                      <w:rtl/>
                    </w:rPr>
                  </w:pPr>
                  <w:r>
                    <w:rPr>
                      <w:rFonts w:cs="Miriam" w:hint="cs"/>
                      <w:sz w:val="18"/>
                      <w:szCs w:val="18"/>
                      <w:rtl/>
                    </w:rPr>
                    <w:t>חובה למנוע ניגוד ענינים</w:t>
                  </w:r>
                </w:p>
              </w:txbxContent>
            </v:textbox>
            <w10:anchorlock/>
          </v:shape>
        </w:pict>
      </w:r>
      <w:r>
        <w:rPr>
          <w:rFonts w:cs="Miriam" w:hint="cs"/>
          <w:sz w:val="32"/>
          <w:szCs w:val="32"/>
          <w:rtl/>
          <w:lang w:val="he-IL"/>
        </w:rPr>
        <w:t>4</w:t>
      </w:r>
      <w:r>
        <w:rPr>
          <w:rStyle w:val="default"/>
          <w:rFonts w:cs="FrankRuehl" w:hint="cs"/>
          <w:rtl/>
        </w:rPr>
        <w:t>.</w:t>
      </w:r>
      <w:r>
        <w:rPr>
          <w:rStyle w:val="default"/>
          <w:rFonts w:cs="FrankRuehl" w:hint="cs"/>
          <w:rtl/>
        </w:rPr>
        <w:tab/>
        <w:t>מחובתו של השר לנהל את עניניו כך שלא ייווצר ולא יהיה ניגוד ענינים בין מילוי תפקידו כשר לבין עניניו האישיים.</w:t>
      </w:r>
    </w:p>
    <w:p w14:paraId="7562F06E" w14:textId="77777777" w:rsidR="00713F8B" w:rsidRDefault="00713F8B">
      <w:pPr>
        <w:pStyle w:val="P00"/>
        <w:spacing w:before="72"/>
        <w:ind w:left="0" w:right="1134"/>
        <w:rPr>
          <w:rStyle w:val="default"/>
          <w:rFonts w:cs="FrankRuehl" w:hint="cs"/>
          <w:rtl/>
        </w:rPr>
      </w:pPr>
      <w:bookmarkStart w:id="5" w:name="Seif5"/>
      <w:bookmarkEnd w:id="5"/>
      <w:r>
        <w:rPr>
          <w:rFonts w:cs="Miriam"/>
          <w:sz w:val="32"/>
          <w:szCs w:val="32"/>
          <w:rtl/>
          <w:lang w:val="he-IL"/>
        </w:rPr>
        <w:pict w14:anchorId="25A746B4">
          <v:shape id="_x0000_s2054" type="#_x0000_t202" style="position:absolute;left:0;text-align:left;margin-left:470.25pt;margin-top:3.3pt;width:1in;height:33.6pt;z-index:251649536" filled="f" stroked="f">
            <v:textbox inset="1mm,,1mm">
              <w:txbxContent>
                <w:p w14:paraId="6EEC3D18" w14:textId="77777777" w:rsidR="00713F8B" w:rsidRDefault="00713F8B">
                  <w:pPr>
                    <w:spacing w:line="160" w:lineRule="exact"/>
                    <w:jc w:val="left"/>
                    <w:rPr>
                      <w:rFonts w:cs="Miriam" w:hint="cs"/>
                      <w:sz w:val="18"/>
                      <w:szCs w:val="18"/>
                      <w:rtl/>
                    </w:rPr>
                  </w:pPr>
                  <w:r>
                    <w:rPr>
                      <w:rFonts w:cs="Miriam" w:hint="cs"/>
                      <w:sz w:val="18"/>
                      <w:szCs w:val="18"/>
                      <w:rtl/>
                    </w:rPr>
                    <w:t>ייחוד הכהונה ואיסור התעסקות נוספת</w:t>
                  </w:r>
                </w:p>
              </w:txbxContent>
            </v:textbox>
            <w10:anchorlock/>
          </v:shape>
        </w:pict>
      </w:r>
      <w:r>
        <w:rPr>
          <w:rFonts w:cs="Miriam" w:hint="cs"/>
          <w:sz w:val="32"/>
          <w:szCs w:val="32"/>
          <w:rtl/>
          <w:lang w:val="he-IL"/>
        </w:rPr>
        <w:t>5</w:t>
      </w:r>
      <w:r>
        <w:rPr>
          <w:rStyle w:val="default"/>
          <w:rFonts w:cs="FrankRuehl" w:hint="cs"/>
          <w:rtl/>
        </w:rPr>
        <w:t>.</w:t>
      </w:r>
      <w:r>
        <w:rPr>
          <w:rStyle w:val="default"/>
          <w:rFonts w:cs="FrankRuehl" w:hint="cs"/>
          <w:rtl/>
        </w:rPr>
        <w:tab/>
        <w:t>(א)</w:t>
      </w:r>
      <w:r>
        <w:rPr>
          <w:rStyle w:val="default"/>
          <w:rFonts w:cs="FrankRuehl" w:hint="cs"/>
          <w:rtl/>
        </w:rPr>
        <w:tab/>
        <w:t>שר יקדיש את כל זמנו ומרצו למילוי תפקידו כשר;</w:t>
      </w:r>
    </w:p>
    <w:p w14:paraId="6FAE9442"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לא יעסוק בכל עסק, ולא יחזיק בכל משרה זולת משרת השר; הוראה זו לא תחול על פעילות פוליטית ומפלגתית הנעשית בלא תמורה;</w:t>
      </w:r>
    </w:p>
    <w:p w14:paraId="177AA230" w14:textId="77777777" w:rsidR="00713F8B" w:rsidRDefault="00713F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לא יעסוק, תמורת תשלום, בהשמעת נאומים או הרצאות, בכתיבת מאמרים או בפעילות ספרותית, אלא באישור ועדת ההיתרים האמורה בפרק ד'.</w:t>
      </w:r>
    </w:p>
    <w:p w14:paraId="56ACC8CD" w14:textId="77777777" w:rsidR="00713F8B" w:rsidRDefault="00713F8B">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ב': הוראות מיוחדות</w:t>
      </w:r>
    </w:p>
    <w:p w14:paraId="3DA0579C" w14:textId="77777777" w:rsidR="00713F8B" w:rsidRDefault="00713F8B">
      <w:pPr>
        <w:pStyle w:val="P00"/>
        <w:spacing w:before="72"/>
        <w:ind w:left="0" w:right="1134"/>
        <w:rPr>
          <w:rStyle w:val="default"/>
          <w:rFonts w:cs="FrankRuehl" w:hint="cs"/>
          <w:rtl/>
        </w:rPr>
      </w:pPr>
      <w:bookmarkStart w:id="6" w:name="Seif6"/>
      <w:bookmarkEnd w:id="6"/>
      <w:r>
        <w:rPr>
          <w:rFonts w:cs="Miriam"/>
          <w:sz w:val="32"/>
          <w:szCs w:val="32"/>
          <w:rtl/>
          <w:lang w:val="he-IL"/>
        </w:rPr>
        <w:pict w14:anchorId="1D5027E8">
          <v:shape id="_x0000_s2055" type="#_x0000_t202" style="position:absolute;left:0;text-align:left;margin-left:470.25pt;margin-top:1.45pt;width:1in;height:16.8pt;z-index:251650560" filled="f" stroked="f">
            <v:textbox inset="1mm,,1mm">
              <w:txbxContent>
                <w:p w14:paraId="6AE1C5C1" w14:textId="77777777" w:rsidR="00713F8B" w:rsidRDefault="00713F8B">
                  <w:pPr>
                    <w:spacing w:line="160" w:lineRule="exact"/>
                    <w:jc w:val="left"/>
                    <w:rPr>
                      <w:rFonts w:cs="Miriam" w:hint="cs"/>
                      <w:sz w:val="18"/>
                      <w:szCs w:val="18"/>
                      <w:rtl/>
                    </w:rPr>
                  </w:pPr>
                  <w:r>
                    <w:rPr>
                      <w:rFonts w:cs="Miriam" w:hint="cs"/>
                      <w:sz w:val="18"/>
                      <w:szCs w:val="18"/>
                      <w:rtl/>
                    </w:rPr>
                    <w:t>הוראות מיוחדות</w:t>
                  </w:r>
                </w:p>
              </w:txbxContent>
            </v:textbox>
            <w10:anchorlock/>
          </v:shape>
        </w:pict>
      </w:r>
      <w:r>
        <w:rPr>
          <w:rFonts w:cs="Miriam" w:hint="cs"/>
          <w:sz w:val="32"/>
          <w:szCs w:val="32"/>
          <w:rtl/>
          <w:lang w:val="he-IL"/>
        </w:rPr>
        <w:t>6</w:t>
      </w:r>
      <w:r>
        <w:rPr>
          <w:rStyle w:val="default"/>
          <w:rFonts w:cs="FrankRuehl" w:hint="cs"/>
          <w:rtl/>
        </w:rPr>
        <w:t>.</w:t>
      </w:r>
      <w:r>
        <w:rPr>
          <w:rStyle w:val="default"/>
          <w:rFonts w:cs="FrankRuehl" w:hint="cs"/>
          <w:rtl/>
        </w:rPr>
        <w:tab/>
        <w:t>בלי לגרוע מההוראות הכלליות האמורות בפרק א', יחולו על השר בתקופת כהונתו הוראות אלה:</w:t>
      </w:r>
    </w:p>
    <w:p w14:paraId="4B4DCE2B" w14:textId="77777777" w:rsidR="00713F8B" w:rsidRDefault="00713F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איסור כהונה בגוף שמטרתו השגת רווחים:</w:t>
      </w:r>
    </w:p>
    <w:p w14:paraId="02EB20F1" w14:textId="77777777" w:rsidR="00713F8B" w:rsidRDefault="00713F8B">
      <w:pPr>
        <w:pStyle w:val="P00"/>
        <w:spacing w:before="72"/>
        <w:ind w:left="1021" w:right="1134"/>
        <w:rPr>
          <w:rStyle w:val="default"/>
          <w:rFonts w:cs="FrankRuehl" w:hint="cs"/>
          <w:rtl/>
        </w:rPr>
      </w:pPr>
      <w:r>
        <w:rPr>
          <w:rStyle w:val="default"/>
          <w:rFonts w:cs="FrankRuehl" w:hint="cs"/>
          <w:rtl/>
        </w:rPr>
        <w:t>שר לא יעסוק בכל עסק ולא יהיה נושא משרה, חבר בהנהלה או בכל מוסד אחר של חבר בני אדם העוסק בפעילות כלשהי שמטרתה השגת רווחים;</w:t>
      </w:r>
    </w:p>
    <w:p w14:paraId="115B5E73" w14:textId="77777777" w:rsidR="00713F8B" w:rsidRDefault="00713F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איסור כהונה בגוף אחר:</w:t>
      </w:r>
    </w:p>
    <w:p w14:paraId="79430B49" w14:textId="77777777" w:rsidR="00713F8B" w:rsidRDefault="00713F8B">
      <w:pPr>
        <w:pStyle w:val="P00"/>
        <w:spacing w:before="72"/>
        <w:ind w:left="1021" w:right="1134"/>
        <w:rPr>
          <w:rStyle w:val="default"/>
          <w:rFonts w:cs="FrankRuehl" w:hint="cs"/>
          <w:rtl/>
        </w:rPr>
      </w:pPr>
      <w:r>
        <w:rPr>
          <w:rStyle w:val="default"/>
          <w:rFonts w:cs="FrankRuehl" w:hint="cs"/>
          <w:rtl/>
        </w:rPr>
        <w:t>שר לא יהיה נושא משרה, חבר בהנהלה או בכל מוסד אחר של חבר בני אדם המקבל מימון מאוצר המדינה, בין באופן ישיר ובין באופן עקיף, או המקבל תרומות, למעט כהונה כחבר בהנהלה של מפלגה;</w:t>
      </w:r>
    </w:p>
    <w:p w14:paraId="1C14F87E" w14:textId="77777777" w:rsidR="00713F8B" w:rsidRDefault="00713F8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איסור קבלת שכר והכנסות אחרות:</w:t>
      </w:r>
    </w:p>
    <w:p w14:paraId="6B8DAEBF" w14:textId="77777777" w:rsidR="00713F8B" w:rsidRDefault="00713F8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שר לא יקבל שכר או טובת הנאה, זולת שכרו שמשלמת לו המדינה;</w:t>
      </w:r>
    </w:p>
    <w:p w14:paraId="3575BF56" w14:textId="77777777" w:rsidR="00713F8B" w:rsidRDefault="00713F8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שר לא יקבל הכנסות מעסק או מכל חבר בני אדם;</w:t>
      </w:r>
    </w:p>
    <w:p w14:paraId="013A1A17" w14:textId="77777777" w:rsidR="00713F8B" w:rsidRDefault="00713F8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האמור בפסקה זו לא יחול על </w:t>
      </w:r>
      <w:r>
        <w:rPr>
          <w:rStyle w:val="default"/>
          <w:rFonts w:cs="FrankRuehl"/>
          <w:rtl/>
        </w:rPr>
        <w:t>–</w:t>
      </w:r>
    </w:p>
    <w:p w14:paraId="2D07A1A6" w14:textId="77777777" w:rsidR="00713F8B" w:rsidRDefault="00713F8B">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הכנסות מרכוש ומהשקעות;</w:t>
      </w:r>
    </w:p>
    <w:p w14:paraId="18D1271D" w14:textId="77777777" w:rsidR="00713F8B" w:rsidRDefault="00713F8B">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הכנסות מתגמולים או תקבולים אחרים מקרן פנסיה, מקרן תגמולים ועל פי פוליסת ביטוח ותשלומים אחרים כיוצא באלה;</w:t>
      </w:r>
    </w:p>
    <w:p w14:paraId="2AD63F4B" w14:textId="77777777" w:rsidR="00713F8B" w:rsidRDefault="00713F8B">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תקבולים הנובעים ממכירת זכויות בעסק או ממכירת מניות בחבר בני אדם שהשר השתתף בהם טרם היותו לשר, בתנאי כי תקבולים אלה אינם נמדדים ואינם תלויים בהכנסות העסק או חבר בני אדם לאחר מכירת הזכויות או המניות;</w:t>
      </w:r>
    </w:p>
    <w:p w14:paraId="7846E178" w14:textId="77777777" w:rsidR="00713F8B" w:rsidRDefault="00713F8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איסור שימוש במידע:</w:t>
      </w:r>
    </w:p>
    <w:p w14:paraId="5244AA26" w14:textId="77777777" w:rsidR="00713F8B" w:rsidRDefault="00713F8B">
      <w:pPr>
        <w:pStyle w:val="P00"/>
        <w:spacing w:before="72"/>
        <w:ind w:left="1021" w:right="1134"/>
        <w:rPr>
          <w:rStyle w:val="default"/>
          <w:rFonts w:cs="FrankRuehl" w:hint="cs"/>
          <w:rtl/>
        </w:rPr>
      </w:pPr>
      <w:r>
        <w:rPr>
          <w:rStyle w:val="default"/>
          <w:rFonts w:cs="FrankRuehl" w:hint="cs"/>
          <w:rtl/>
        </w:rPr>
        <w:t>שר לא יעשה עסקה, בין במישרין ובין בעקיפין, תוך שימוש בידיעה מוקדמת, בידיעה סודית או בכל ידיעה אחרת שהיא בידיעתו או שיש להניח שהיא בידיעתו, שאינה נחלת הכלל;</w:t>
      </w:r>
    </w:p>
    <w:p w14:paraId="2F40451A" w14:textId="77777777" w:rsidR="00713F8B" w:rsidRDefault="00713F8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שר לא יחזיק כספים או ניירות ערך, אלא באמצעות "נאמנות עיוורת" כאמור בסעיף 16;</w:t>
      </w:r>
    </w:p>
    <w:p w14:paraId="4FA7D35B" w14:textId="77777777" w:rsidR="00713F8B" w:rsidRDefault="00713F8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איסור רכישת נכסי המדינה:</w:t>
      </w:r>
    </w:p>
    <w:p w14:paraId="74642CE3" w14:textId="77777777" w:rsidR="00713F8B" w:rsidRDefault="00713F8B">
      <w:pPr>
        <w:pStyle w:val="P00"/>
        <w:spacing w:before="72"/>
        <w:ind w:left="1021" w:right="1134"/>
        <w:rPr>
          <w:rStyle w:val="default"/>
          <w:rFonts w:cs="FrankRuehl" w:hint="cs"/>
          <w:rtl/>
        </w:rPr>
      </w:pPr>
      <w:r>
        <w:rPr>
          <w:rStyle w:val="default"/>
          <w:rFonts w:cs="FrankRuehl" w:hint="cs"/>
          <w:rtl/>
        </w:rPr>
        <w:t>שר לא ירכוש ולא יקבל נכסי המדינה, בין במישרין ובין בעקיפין, מלבד רכישה או קבלה של נכסים הנמכרים או המוענקים לציבור על פי עקרונות כלליים ומוגדרים מראש ואשר לציבור אפשרות שווה לרכוש או לקבל.</w:t>
      </w:r>
    </w:p>
    <w:p w14:paraId="421AF0B5" w14:textId="77777777" w:rsidR="00713F8B" w:rsidRDefault="00713F8B">
      <w:pPr>
        <w:pStyle w:val="P00"/>
        <w:spacing w:before="72"/>
        <w:ind w:left="0" w:right="1134"/>
        <w:rPr>
          <w:rStyle w:val="default"/>
          <w:rFonts w:cs="FrankRuehl" w:hint="cs"/>
          <w:rtl/>
        </w:rPr>
      </w:pPr>
      <w:bookmarkStart w:id="7" w:name="Seif7"/>
      <w:bookmarkEnd w:id="7"/>
      <w:r>
        <w:rPr>
          <w:rFonts w:cs="Miriam"/>
          <w:sz w:val="32"/>
          <w:szCs w:val="32"/>
          <w:rtl/>
          <w:lang w:val="he-IL"/>
        </w:rPr>
        <w:pict w14:anchorId="2717B1D2">
          <v:shape id="_x0000_s2056" type="#_x0000_t202" style="position:absolute;left:0;text-align:left;margin-left:470.25pt;margin-top:2.65pt;width:1in;height:22.4pt;z-index:251651584" filled="f" stroked="f">
            <v:textbox inset="1mm,,1mm">
              <w:txbxContent>
                <w:p w14:paraId="44AEF997" w14:textId="77777777" w:rsidR="00713F8B" w:rsidRDefault="00713F8B">
                  <w:pPr>
                    <w:spacing w:line="160" w:lineRule="exact"/>
                    <w:jc w:val="left"/>
                    <w:rPr>
                      <w:rFonts w:cs="Miriam" w:hint="cs"/>
                      <w:sz w:val="18"/>
                      <w:szCs w:val="18"/>
                      <w:rtl/>
                    </w:rPr>
                  </w:pPr>
                  <w:r>
                    <w:rPr>
                      <w:rFonts w:cs="Miriam" w:hint="cs"/>
                      <w:sz w:val="18"/>
                      <w:szCs w:val="18"/>
                      <w:rtl/>
                    </w:rPr>
                    <w:t>הסדרים למניעת ניגוד ענינים</w:t>
                  </w:r>
                </w:p>
              </w:txbxContent>
            </v:textbox>
            <w10:anchorlock/>
          </v:shape>
        </w:pict>
      </w:r>
      <w:r>
        <w:rPr>
          <w:rFonts w:cs="Miriam" w:hint="cs"/>
          <w:sz w:val="32"/>
          <w:szCs w:val="32"/>
          <w:rtl/>
          <w:lang w:val="he-IL"/>
        </w:rPr>
        <w:t>7</w:t>
      </w:r>
      <w:r>
        <w:rPr>
          <w:rStyle w:val="default"/>
          <w:rFonts w:cs="FrankRuehl" w:hint="cs"/>
          <w:rtl/>
        </w:rPr>
        <w:t>.</w:t>
      </w:r>
      <w:r>
        <w:rPr>
          <w:rStyle w:val="default"/>
          <w:rFonts w:cs="FrankRuehl" w:hint="cs"/>
          <w:rtl/>
        </w:rPr>
        <w:tab/>
        <w:t>(א)</w:t>
      </w:r>
      <w:r>
        <w:rPr>
          <w:rStyle w:val="default"/>
          <w:rFonts w:cs="FrankRuehl" w:hint="cs"/>
          <w:rtl/>
        </w:rPr>
        <w:tab/>
        <w:t>בכל מקרה שיש לשר ענין אישי בפעולה או בהחלטה, שיש בה כדי להשפיע על הענקת טובת הנאה או זכות, אסור לו להשתתף בכל דרך שהיא בפעולה או בקבלת ההחלטה; הובא ענין כאמור לפני השר כחבר ממשלה, כחבר ועדת שרים או בכל דרך אחרת, חייב השר להצהיר מיד על הענין האישי שיש לו; הודעה על הצהרת השר בדבר ענין אישי תישלח למבקר המדינה.</w:t>
      </w:r>
    </w:p>
    <w:p w14:paraId="1E912D7E"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שר במצב של ניגוד ענינים </w:t>
      </w:r>
      <w:r>
        <w:rPr>
          <w:rStyle w:val="default"/>
          <w:rFonts w:cs="FrankRuehl"/>
          <w:rtl/>
        </w:rPr>
        <w:t>–</w:t>
      </w:r>
    </w:p>
    <w:p w14:paraId="428AF72A" w14:textId="77777777" w:rsidR="00713F8B" w:rsidRDefault="00713F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לגגבי סמכות הנתונה לו על פי חיקוק, ניתן </w:t>
      </w:r>
      <w:r>
        <w:rPr>
          <w:rStyle w:val="default"/>
          <w:rFonts w:cs="FrankRuehl"/>
          <w:rtl/>
        </w:rPr>
        <w:t>–</w:t>
      </w:r>
      <w:r>
        <w:rPr>
          <w:rStyle w:val="default"/>
          <w:rFonts w:cs="FrankRuehl" w:hint="cs"/>
          <w:rtl/>
        </w:rPr>
        <w:t xml:space="preserve"> לאחר קבלת חוות דעתו של היועץ המשפטי לממשלה </w:t>
      </w:r>
      <w:r>
        <w:rPr>
          <w:rStyle w:val="default"/>
          <w:rFonts w:cs="FrankRuehl"/>
          <w:rtl/>
        </w:rPr>
        <w:t>–</w:t>
      </w:r>
      <w:r>
        <w:rPr>
          <w:rStyle w:val="default"/>
          <w:rFonts w:cs="FrankRuehl" w:hint="cs"/>
          <w:rtl/>
        </w:rPr>
        <w:t xml:space="preserve"> לפעול באחת מדרכים אלה:</w:t>
      </w:r>
    </w:p>
    <w:p w14:paraId="6838EF88" w14:textId="77777777" w:rsidR="00713F8B" w:rsidRDefault="00713F8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להעביר את סמכויות הפעולה או ההחלטה של השר באותו ענין לשר אחר משרי הממשלה לפי סעיף 31(ב) לחוק-יסוד: הממשלה;</w:t>
      </w:r>
    </w:p>
    <w:p w14:paraId="6B4A161C" w14:textId="77777777" w:rsidR="00713F8B" w:rsidRDefault="00713F8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היה ניגוד הענינים זמני ולא מתמשך, לקבוע כי ימלא את התפקיד ראש הממשלה, או שר אחר לפי סעיף 24(ב) לחוק-יסוד: הממשלה.</w:t>
      </w:r>
    </w:p>
    <w:p w14:paraId="143F2AFB" w14:textId="77777777" w:rsidR="00713F8B" w:rsidRDefault="00713F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סמכות אחרת, ויש צורך בקבלת החלטה בדרג מיניסטריאלי </w:t>
      </w:r>
      <w:r>
        <w:rPr>
          <w:rStyle w:val="default"/>
          <w:rFonts w:cs="FrankRuehl"/>
          <w:rtl/>
        </w:rPr>
        <w:t>–</w:t>
      </w:r>
      <w:r>
        <w:rPr>
          <w:rStyle w:val="default"/>
          <w:rFonts w:cs="FrankRuehl" w:hint="cs"/>
          <w:rtl/>
        </w:rPr>
        <w:t xml:space="preserve"> ניתן, לאחר קבלת חוות דעתו של היועץ המשפטי לממשלה, לפעול באחת מדרכים אלה:</w:t>
      </w:r>
    </w:p>
    <w:p w14:paraId="5660ADEF" w14:textId="77777777" w:rsidR="00713F8B" w:rsidRDefault="00713F8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להסמיך ועדת שרים להפעיל את הסמכות, ואותו שר לא ישתתף בדיון ובהחלטה בועדת השרים באותו ענין;</w:t>
      </w:r>
    </w:p>
    <w:p w14:paraId="55FD7FFE" w14:textId="77777777" w:rsidR="00713F8B" w:rsidRDefault="00713F8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שר אחר, לפי קביעת הממשלה, יפעיל את הסמכות;</w:t>
      </w:r>
    </w:p>
    <w:p w14:paraId="792408C3" w14:textId="77777777" w:rsidR="00713F8B" w:rsidRDefault="00713F8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משתרע ניגוד הענינים על כל שטח הפעולה </w:t>
      </w:r>
      <w:r>
        <w:rPr>
          <w:rStyle w:val="default"/>
          <w:rFonts w:cs="FrankRuehl"/>
          <w:rtl/>
        </w:rPr>
        <w:t>–</w:t>
      </w:r>
      <w:r>
        <w:rPr>
          <w:rStyle w:val="default"/>
          <w:rFonts w:cs="FrankRuehl" w:hint="cs"/>
          <w:rtl/>
        </w:rPr>
        <w:t xml:space="preserve"> להעביר את שטח הפעולה למשרד אחר לפי סעיף 31(ד) לחוק-יסוד: הממשלה.</w:t>
      </w:r>
    </w:p>
    <w:p w14:paraId="76712AB4" w14:textId="77777777" w:rsidR="00713F8B" w:rsidRDefault="00713F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(ב)(1) ו-(2), אם בשל מהות הענין האישי ויתר נסיבות הענין, נראה כי אין מדובר בחשש לניגוד ענינים של ממש, ניתן, לאחר קבלת חוות דעתו של היועץ המשפטי לממשלה, להסתפק בכך שהשר ישתף בהחלטה או בפעולה שר נוסף שתקבע הממשלה. במקרה של חילוקי דעות בין שני השרים, יובא הנושא להכרעת הממשלה או ועדת שרים, והשר יפעל לפי הכרעה כאמור.</w:t>
      </w:r>
    </w:p>
    <w:p w14:paraId="6E8043FB" w14:textId="77777777" w:rsidR="00713F8B" w:rsidRDefault="00713F8B">
      <w:pPr>
        <w:pStyle w:val="P00"/>
        <w:spacing w:before="72"/>
        <w:ind w:left="0" w:right="1134"/>
        <w:rPr>
          <w:rStyle w:val="default"/>
          <w:rFonts w:cs="FrankRuehl" w:hint="cs"/>
          <w:rtl/>
        </w:rPr>
      </w:pPr>
      <w:bookmarkStart w:id="8" w:name="Seif8"/>
      <w:bookmarkEnd w:id="8"/>
      <w:r>
        <w:rPr>
          <w:rFonts w:cs="Miriam"/>
          <w:sz w:val="32"/>
          <w:szCs w:val="32"/>
          <w:rtl/>
          <w:lang w:val="he-IL"/>
        </w:rPr>
        <w:pict w14:anchorId="530D8427">
          <v:shape id="_x0000_s2057" type="#_x0000_t202" style="position:absolute;left:0;text-align:left;margin-left:470.25pt;margin-top:3.05pt;width:1in;height:22.4pt;z-index:251652608" filled="f" stroked="f">
            <v:textbox inset="1mm,,1mm">
              <w:txbxContent>
                <w:p w14:paraId="1D0CD4F6" w14:textId="77777777" w:rsidR="00713F8B" w:rsidRDefault="00713F8B">
                  <w:pPr>
                    <w:spacing w:line="160" w:lineRule="exact"/>
                    <w:jc w:val="left"/>
                    <w:rPr>
                      <w:rFonts w:cs="Miriam" w:hint="cs"/>
                      <w:sz w:val="18"/>
                      <w:szCs w:val="18"/>
                      <w:rtl/>
                    </w:rPr>
                  </w:pPr>
                  <w:r>
                    <w:rPr>
                      <w:rFonts w:cs="Miriam" w:hint="cs"/>
                      <w:sz w:val="18"/>
                      <w:szCs w:val="18"/>
                      <w:rtl/>
                    </w:rPr>
                    <w:t>ענין אישי הפוגע במילוי תפקיד השר</w:t>
                  </w:r>
                </w:p>
              </w:txbxContent>
            </v:textbox>
            <w10:anchorlock/>
          </v:shape>
        </w:pict>
      </w:r>
      <w:r>
        <w:rPr>
          <w:rFonts w:cs="Miriam" w:hint="cs"/>
          <w:sz w:val="32"/>
          <w:szCs w:val="32"/>
          <w:rtl/>
          <w:lang w:val="he-IL"/>
        </w:rPr>
        <w:t>8</w:t>
      </w:r>
      <w:r>
        <w:rPr>
          <w:rStyle w:val="default"/>
          <w:rFonts w:cs="FrankRuehl" w:hint="cs"/>
          <w:rtl/>
        </w:rPr>
        <w:t>.</w:t>
      </w:r>
      <w:r>
        <w:rPr>
          <w:rStyle w:val="default"/>
          <w:rFonts w:cs="FrankRuehl" w:hint="cs"/>
          <w:rtl/>
        </w:rPr>
        <w:tab/>
        <w:t>ראה מבקר המדינה כי שר הצהיר על ענין אישי ונמנע מלקחת חלק בקבלת החלטות, כאמור בסעיף 7, במידה המפריעה לו למלא את תפקידו כראוי, יפעל המבקר בדרך הקבועה למקרה של חריגה מכללים אלה, כמפורט בסעיף 11.</w:t>
      </w:r>
    </w:p>
    <w:p w14:paraId="49BCF97B" w14:textId="77777777" w:rsidR="00713F8B" w:rsidRDefault="00713F8B">
      <w:pPr>
        <w:pStyle w:val="P00"/>
        <w:spacing w:before="72"/>
        <w:ind w:left="0" w:right="1134"/>
        <w:rPr>
          <w:rStyle w:val="default"/>
          <w:rFonts w:cs="FrankRuehl" w:hint="cs"/>
          <w:rtl/>
        </w:rPr>
      </w:pPr>
      <w:bookmarkStart w:id="9" w:name="Seif9"/>
      <w:bookmarkEnd w:id="9"/>
      <w:r>
        <w:rPr>
          <w:rFonts w:cs="Miriam"/>
          <w:sz w:val="32"/>
          <w:szCs w:val="32"/>
          <w:rtl/>
          <w:lang w:val="he-IL"/>
        </w:rPr>
        <w:pict w14:anchorId="4893B538">
          <v:shape id="_x0000_s2058" type="#_x0000_t202" style="position:absolute;left:0;text-align:left;margin-left:470.25pt;margin-top:5.25pt;width:1in;height:22.4pt;z-index:251653632" filled="f" stroked="f">
            <v:textbox style="mso-next-textbox:#_x0000_s2058" inset="1mm,,1mm">
              <w:txbxContent>
                <w:p w14:paraId="4B1F3466" w14:textId="77777777" w:rsidR="00713F8B" w:rsidRDefault="00713F8B">
                  <w:pPr>
                    <w:spacing w:line="160" w:lineRule="exact"/>
                    <w:jc w:val="left"/>
                    <w:rPr>
                      <w:rFonts w:cs="Miriam" w:hint="cs"/>
                      <w:sz w:val="18"/>
                      <w:szCs w:val="18"/>
                      <w:rtl/>
                    </w:rPr>
                  </w:pPr>
                  <w:r>
                    <w:rPr>
                      <w:rFonts w:cs="Miriam" w:hint="cs"/>
                      <w:sz w:val="18"/>
                      <w:szCs w:val="18"/>
                      <w:rtl/>
                    </w:rPr>
                    <w:t>דיווח למבקר המדינה</w:t>
                  </w:r>
                </w:p>
              </w:txbxContent>
            </v:textbox>
            <w10:anchorlock/>
          </v:shape>
        </w:pict>
      </w:r>
      <w:r>
        <w:rPr>
          <w:rFonts w:cs="Miriam" w:hint="cs"/>
          <w:sz w:val="32"/>
          <w:szCs w:val="32"/>
          <w:rtl/>
          <w:lang w:val="he-IL"/>
        </w:rPr>
        <w:t>9</w:t>
      </w:r>
      <w:r>
        <w:rPr>
          <w:rStyle w:val="default"/>
          <w:rFonts w:cs="FrankRuehl" w:hint="cs"/>
          <w:rtl/>
        </w:rPr>
        <w:t>.</w:t>
      </w:r>
      <w:r>
        <w:rPr>
          <w:rStyle w:val="default"/>
          <w:rFonts w:cs="FrankRuehl" w:hint="cs"/>
          <w:rtl/>
        </w:rPr>
        <w:tab/>
        <w:t>(א)</w:t>
      </w:r>
      <w:r>
        <w:rPr>
          <w:rStyle w:val="default"/>
          <w:rFonts w:cs="FrankRuehl" w:hint="cs"/>
          <w:rtl/>
        </w:rPr>
        <w:tab/>
        <w:t>שר שקיבל תשלום בעד פעילות כאמור בסעיף 5(ג) ידווח למבקר המדינה על פרטי התשלום בתוך חודש מיום קבלתו.</w:t>
      </w:r>
    </w:p>
    <w:p w14:paraId="71BBC2EA"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שמפיקדון תכנית חיסכון או מקופת גמל שלו נמשכו כספים יודיע על כך בתוך חודש מיום המשיכה למבקר המדינה.</w:t>
      </w:r>
    </w:p>
    <w:p w14:paraId="4B31860A" w14:textId="77777777" w:rsidR="00713F8B" w:rsidRDefault="00713F8B">
      <w:pPr>
        <w:pStyle w:val="P00"/>
        <w:spacing w:before="72"/>
        <w:ind w:left="0" w:right="1134"/>
        <w:rPr>
          <w:rStyle w:val="default"/>
          <w:rFonts w:cs="FrankRuehl" w:hint="cs"/>
          <w:rtl/>
        </w:rPr>
      </w:pPr>
      <w:bookmarkStart w:id="10" w:name="Seif10"/>
      <w:bookmarkEnd w:id="10"/>
      <w:r>
        <w:rPr>
          <w:rFonts w:cs="Miriam"/>
          <w:sz w:val="32"/>
          <w:szCs w:val="32"/>
          <w:rtl/>
          <w:lang w:val="he-IL"/>
        </w:rPr>
        <w:pict w14:anchorId="659BF225">
          <v:shape id="_x0000_s2059" type="#_x0000_t202" style="position:absolute;left:0;text-align:left;margin-left:470.25pt;margin-top:2.05pt;width:1in;height:16.8pt;z-index:251654656" filled="f" stroked="f">
            <v:textbox inset="1mm,,1mm">
              <w:txbxContent>
                <w:p w14:paraId="73824369" w14:textId="77777777" w:rsidR="00713F8B" w:rsidRDefault="00713F8B">
                  <w:pPr>
                    <w:spacing w:line="160" w:lineRule="exact"/>
                    <w:jc w:val="left"/>
                    <w:rPr>
                      <w:rFonts w:cs="Miriam" w:hint="cs"/>
                      <w:sz w:val="18"/>
                      <w:szCs w:val="18"/>
                      <w:rtl/>
                    </w:rPr>
                  </w:pPr>
                  <w:r>
                    <w:rPr>
                      <w:rFonts w:cs="Miriam" w:hint="cs"/>
                      <w:sz w:val="18"/>
                      <w:szCs w:val="18"/>
                      <w:rtl/>
                    </w:rPr>
                    <w:t>הצהרה שנתית</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בתוך 60 ימים מתום כל שנה לכהונת שר, ובתוך 60 ימים לאחר סיום כהונת שר, יגיש השר למבקר המדינה הצהרה ובה פרטים אלה:</w:t>
      </w:r>
    </w:p>
    <w:p w14:paraId="45F0115D" w14:textId="77777777" w:rsidR="00713F8B" w:rsidRDefault="00713F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ההון, הנכסים, הזכויות וההתחייבויות שיש לשר ולבני משפחתו בתום אותה שנה או בתום תקופת הכהונה;</w:t>
      </w:r>
    </w:p>
    <w:p w14:paraId="25D6ED8F" w14:textId="77777777" w:rsidR="00713F8B" w:rsidRDefault="00713F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מקורות ההכנסה של השר ובני משפחתו באותה שנה או באותה תקופה וסכומי ההכנסה מכל מקור;</w:t>
      </w:r>
    </w:p>
    <w:p w14:paraId="41645972" w14:textId="77777777" w:rsidR="00713F8B" w:rsidRDefault="00713F8B">
      <w:pPr>
        <w:pStyle w:val="P00"/>
        <w:spacing w:before="72"/>
        <w:ind w:left="0" w:right="1134"/>
        <w:rPr>
          <w:rStyle w:val="default"/>
          <w:rFonts w:cs="FrankRuehl" w:hint="cs"/>
          <w:rtl/>
        </w:rPr>
      </w:pPr>
      <w:r>
        <w:rPr>
          <w:rStyle w:val="default"/>
          <w:rFonts w:cs="FrankRuehl" w:hint="cs"/>
          <w:rtl/>
        </w:rPr>
        <w:t>ההצהרה תהיה בהתאם לטופס שיקבע מבקר המדינה.</w:t>
      </w:r>
    </w:p>
    <w:p w14:paraId="41C843BB" w14:textId="77777777" w:rsidR="00713F8B" w:rsidRDefault="00713F8B">
      <w:pPr>
        <w:pStyle w:val="P00"/>
        <w:spacing w:before="72"/>
        <w:ind w:left="0" w:right="1134"/>
        <w:rPr>
          <w:rStyle w:val="default"/>
          <w:rFonts w:cs="FrankRuehl" w:hint="cs"/>
          <w:rtl/>
        </w:rPr>
      </w:pPr>
      <w:bookmarkStart w:id="11" w:name="Seif11"/>
      <w:bookmarkEnd w:id="11"/>
      <w:r>
        <w:rPr>
          <w:rFonts w:cs="Miriam"/>
          <w:sz w:val="32"/>
          <w:szCs w:val="32"/>
          <w:rtl/>
          <w:lang w:val="he-IL"/>
        </w:rPr>
        <w:pict w14:anchorId="2AA55640">
          <v:shape id="_x0000_s2060" type="#_x0000_t202" style="position:absolute;left:0;text-align:left;margin-left:470.25pt;margin-top:3.05pt;width:1in;height:22.4pt;z-index:251655680" filled="f" stroked="f">
            <v:textbox inset="1mm,,1mm">
              <w:txbxContent>
                <w:p w14:paraId="1121DB3D" w14:textId="77777777" w:rsidR="00713F8B" w:rsidRDefault="00713F8B">
                  <w:pPr>
                    <w:spacing w:line="160" w:lineRule="exact"/>
                    <w:jc w:val="left"/>
                    <w:rPr>
                      <w:rFonts w:cs="Miriam" w:hint="cs"/>
                      <w:sz w:val="18"/>
                      <w:szCs w:val="18"/>
                      <w:rtl/>
                    </w:rPr>
                  </w:pPr>
                  <w:r>
                    <w:rPr>
                      <w:rFonts w:cs="Miriam" w:hint="cs"/>
                      <w:sz w:val="18"/>
                      <w:szCs w:val="18"/>
                      <w:rtl/>
                    </w:rPr>
                    <w:t>פעולות מבקר המדינה</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(א)</w:t>
      </w:r>
      <w:r>
        <w:rPr>
          <w:rStyle w:val="default"/>
          <w:rFonts w:cs="FrankRuehl" w:hint="cs"/>
          <w:rtl/>
        </w:rPr>
        <w:tab/>
        <w:t xml:space="preserve">מבקר המדינה יבדוק מילוי הוראות וכללים אלה בידי השרים, ויהיו לו כל הסמכויות הקנויות למבקר המדינה בחוק מבקר המדינה, התשי"ח-1958 [נוסח משולב] (להלן </w:t>
      </w:r>
      <w:r>
        <w:rPr>
          <w:rStyle w:val="default"/>
          <w:rFonts w:cs="FrankRuehl"/>
          <w:rtl/>
        </w:rPr>
        <w:t>–</w:t>
      </w:r>
      <w:r>
        <w:rPr>
          <w:rStyle w:val="default"/>
          <w:rFonts w:cs="FrankRuehl" w:hint="cs"/>
          <w:rtl/>
        </w:rPr>
        <w:t xml:space="preserve"> חוק מבקר המדינה).</w:t>
      </w:r>
    </w:p>
    <w:p w14:paraId="3ADB2431"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מלבד אם נאמר במפורש אחרת בכללים אלה, ישמור מבקר המדינה על סודיות הצהרות השרים ולא יגלה כל פרט בלי לקבל את הסכמת השר הנוגע בדבר.</w:t>
      </w:r>
    </w:p>
    <w:p w14:paraId="04083BAE" w14:textId="77777777" w:rsidR="00713F8B" w:rsidRDefault="00713F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מבקר המדינה רשאי להביא לידיעת ראש הממשלה כי הוא בודק אם שר נהג בהתאם לכללים אלה, ולהמציא לראש הממשלה מידע בנדון.</w:t>
      </w:r>
    </w:p>
    <w:p w14:paraId="4AE62773" w14:textId="77777777" w:rsidR="00713F8B" w:rsidRDefault="00713F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מבקר המדינה רשאי, אם נסיבות הענין מצדיקות זאת לדעתו, לדווח על סטיה מכללים אלה לועדת משנה שתיבחר על ידי ועדת הכנסת לעניני ביקורת המדינה, ולהביא לידיעתה את ממצאיו.</w:t>
      </w:r>
    </w:p>
    <w:p w14:paraId="7A844B2E" w14:textId="77777777" w:rsidR="00713F8B" w:rsidRDefault="00713F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מצא מבקר המדינה כי קיים חשש לעבירה פלילית </w:t>
      </w:r>
      <w:r>
        <w:rPr>
          <w:rStyle w:val="default"/>
          <w:rFonts w:cs="FrankRuehl"/>
          <w:rtl/>
        </w:rPr>
        <w:t>–</w:t>
      </w:r>
      <w:r>
        <w:rPr>
          <w:rStyle w:val="default"/>
          <w:rFonts w:cs="FrankRuehl" w:hint="cs"/>
          <w:rtl/>
        </w:rPr>
        <w:t xml:space="preserve"> יעביר את הענין לידיעת היועץ המשפטי לממשלה.</w:t>
      </w:r>
    </w:p>
    <w:p w14:paraId="40450CD6" w14:textId="77777777" w:rsidR="00713F8B" w:rsidRDefault="00713F8B">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ג': חובות השר עם כניסתו לתפקיד</w:t>
      </w:r>
    </w:p>
    <w:p w14:paraId="340A4197" w14:textId="77777777" w:rsidR="00713F8B" w:rsidRDefault="00713F8B">
      <w:pPr>
        <w:pStyle w:val="P00"/>
        <w:spacing w:before="72"/>
        <w:ind w:left="0" w:right="1134"/>
        <w:rPr>
          <w:rStyle w:val="default"/>
          <w:rFonts w:cs="FrankRuehl" w:hint="cs"/>
          <w:rtl/>
        </w:rPr>
      </w:pPr>
      <w:bookmarkStart w:id="12" w:name="Seif12"/>
      <w:bookmarkEnd w:id="12"/>
      <w:r>
        <w:rPr>
          <w:rFonts w:cs="Miriam"/>
          <w:szCs w:val="32"/>
          <w:rtl/>
          <w:lang w:val="he-IL"/>
        </w:rPr>
        <w:pict w14:anchorId="23EAA2CE">
          <v:shape id="_x0000_s2061" type="#_x0000_t202" style="position:absolute;left:0;text-align:left;margin-left:470.25pt;margin-top:1.95pt;width:1in;height:22.4pt;z-index:251656704" filled="f" stroked="f">
            <v:textbox inset="1mm,,1mm">
              <w:txbxContent>
                <w:p w14:paraId="08CC1B2C" w14:textId="77777777" w:rsidR="00713F8B" w:rsidRDefault="00713F8B">
                  <w:pPr>
                    <w:spacing w:line="160" w:lineRule="exact"/>
                    <w:jc w:val="left"/>
                    <w:rPr>
                      <w:rFonts w:cs="Miriam" w:hint="cs"/>
                      <w:sz w:val="18"/>
                      <w:szCs w:val="18"/>
                      <w:rtl/>
                    </w:rPr>
                  </w:pPr>
                  <w:r>
                    <w:rPr>
                      <w:rFonts w:cs="Miriam" w:hint="cs"/>
                      <w:sz w:val="18"/>
                      <w:szCs w:val="18"/>
                      <w:rtl/>
                    </w:rPr>
                    <w:t>התפטרות והפסקת עיסוק</w:t>
                  </w:r>
                </w:p>
              </w:txbxContent>
            </v:textbox>
            <w10:anchorlock/>
          </v:shape>
        </w:pict>
      </w:r>
      <w:r>
        <w:rPr>
          <w:rFonts w:cs="Miriam" w:hint="cs"/>
          <w:sz w:val="32"/>
          <w:szCs w:val="32"/>
          <w:rtl/>
          <w:lang w:val="he-IL"/>
        </w:rPr>
        <w:t>12</w:t>
      </w:r>
      <w:r>
        <w:rPr>
          <w:rStyle w:val="default"/>
          <w:rFonts w:cs="FrankRuehl" w:hint="cs"/>
          <w:rtl/>
        </w:rPr>
        <w:t>.</w:t>
      </w:r>
      <w:r>
        <w:rPr>
          <w:rStyle w:val="default"/>
          <w:rFonts w:cs="FrankRuehl" w:hint="cs"/>
          <w:rtl/>
        </w:rPr>
        <w:tab/>
        <w:t>מיד עם תחילת כהונתו כשר ולא יאוחר מ-30 ימים לאחר מכן, יתפטר השר מכל משרה, תפקיד או כהונה, ויפסיק כל עיסוק או פעילות שאינם בהתאם לכללים אלה.</w:t>
      </w:r>
    </w:p>
    <w:p w14:paraId="0882FB27" w14:textId="77777777" w:rsidR="00713F8B" w:rsidRDefault="00713F8B">
      <w:pPr>
        <w:pStyle w:val="P00"/>
        <w:spacing w:before="72"/>
        <w:ind w:left="0" w:right="1134"/>
        <w:rPr>
          <w:rStyle w:val="default"/>
          <w:rFonts w:cs="FrankRuehl" w:hint="cs"/>
          <w:rtl/>
        </w:rPr>
      </w:pPr>
      <w:bookmarkStart w:id="13" w:name="Seif13"/>
      <w:bookmarkEnd w:id="13"/>
      <w:r>
        <w:rPr>
          <w:rFonts w:cs="Miriam"/>
          <w:szCs w:val="32"/>
          <w:rtl/>
          <w:lang w:val="he-IL"/>
        </w:rPr>
        <w:pict w14:anchorId="7B746C3C">
          <v:shape id="_x0000_s2062" type="#_x0000_t202" style="position:absolute;left:0;text-align:left;margin-left:470.25pt;margin-top:2.65pt;width:1in;height:22.4pt;z-index:251657728" filled="f" stroked="f">
            <v:textbox inset="1mm,,1mm">
              <w:txbxContent>
                <w:p w14:paraId="0D028091" w14:textId="77777777" w:rsidR="00713F8B" w:rsidRDefault="00713F8B">
                  <w:pPr>
                    <w:spacing w:line="160" w:lineRule="exact"/>
                    <w:jc w:val="left"/>
                    <w:rPr>
                      <w:rFonts w:cs="Miriam" w:hint="cs"/>
                      <w:sz w:val="18"/>
                      <w:szCs w:val="18"/>
                      <w:rtl/>
                    </w:rPr>
                  </w:pPr>
                  <w:r>
                    <w:rPr>
                      <w:rFonts w:cs="Miriam" w:hint="cs"/>
                      <w:sz w:val="18"/>
                      <w:szCs w:val="18"/>
                      <w:rtl/>
                    </w:rPr>
                    <w:t>מכירת עסק ומניות עם תחילת הכהונה</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שר שהוא בעל זכויות בעסק או בעל מניות המקנות לו שליטה בחבר בני אדם, ינקוט בתוך 60 ימים מתחילת הכהונה כשר, באחת מדרכים אלה כדי למנוע מצב של ניגוד ענינים:</w:t>
      </w:r>
    </w:p>
    <w:p w14:paraId="23E9AA9C" w14:textId="77777777" w:rsidR="00713F8B" w:rsidRDefault="00713F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ימכור את הזכויות בעסק או את המניות לאדם שאיננו קרובו ולא חבר בני אדם בשליטתו;</w:t>
      </w:r>
    </w:p>
    <w:p w14:paraId="5642F94A" w14:textId="77777777" w:rsidR="00713F8B" w:rsidRDefault="00713F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עבד קרוב של השר עמו בעסק או בחבר בני אדם כאמור לפחות שנה לפני המינוי כשר, רשאי השר למכור או להעביר את כל הזכויות בעסק או את כל המניות לאותו קרוב בתנאי כי הקרוב איננו בן זוגו או ילדו הקטין;</w:t>
      </w:r>
    </w:p>
    <w:p w14:paraId="626264D2" w14:textId="77777777" w:rsidR="00713F8B" w:rsidRDefault="00713F8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יחכיר את העסק לאדם שאיננו קרובו ושאינו חבר בני אדם שבשליטתו, תמורת דמי חכירה קבועים מראש לכל תקופת כהונת השר, בתנאי כי דמי החכירה אינם תלויים בהכנסות מהעסק.</w:t>
      </w:r>
    </w:p>
    <w:p w14:paraId="73C2BD6E" w14:textId="77777777" w:rsidR="00713F8B" w:rsidRDefault="00713F8B">
      <w:pPr>
        <w:pStyle w:val="P00"/>
        <w:spacing w:before="72"/>
        <w:ind w:left="0" w:right="1134"/>
        <w:rPr>
          <w:rStyle w:val="default"/>
          <w:rFonts w:cs="FrankRuehl" w:hint="cs"/>
          <w:rtl/>
        </w:rPr>
      </w:pPr>
      <w:bookmarkStart w:id="14" w:name="Seif14"/>
      <w:bookmarkEnd w:id="14"/>
      <w:r>
        <w:rPr>
          <w:rFonts w:cs="Miriam"/>
          <w:szCs w:val="32"/>
          <w:rtl/>
          <w:lang w:val="he-IL"/>
        </w:rPr>
        <w:pict w14:anchorId="3C692ADD">
          <v:shape id="_x0000_s2063" type="#_x0000_t202" style="position:absolute;left:0;text-align:left;margin-left:470.25pt;margin-top:2.45pt;width:1in;height:22.4pt;z-index:251658752" filled="f" stroked="f">
            <v:textbox inset="1mm,,1mm">
              <w:txbxContent>
                <w:p w14:paraId="22B27C17" w14:textId="77777777" w:rsidR="00713F8B" w:rsidRDefault="00713F8B">
                  <w:pPr>
                    <w:spacing w:line="160" w:lineRule="exact"/>
                    <w:jc w:val="left"/>
                    <w:rPr>
                      <w:rFonts w:cs="Miriam" w:hint="cs"/>
                      <w:sz w:val="18"/>
                      <w:szCs w:val="18"/>
                      <w:rtl/>
                    </w:rPr>
                  </w:pPr>
                  <w:r>
                    <w:rPr>
                      <w:rFonts w:cs="Miriam" w:hint="cs"/>
                      <w:sz w:val="18"/>
                      <w:szCs w:val="18"/>
                      <w:rtl/>
                    </w:rPr>
                    <w:t>העמדה לביקורת מבקר המדינה</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t>(א)</w:t>
      </w:r>
      <w:r>
        <w:rPr>
          <w:rStyle w:val="default"/>
          <w:rFonts w:cs="FrankRuehl" w:hint="cs"/>
          <w:rtl/>
        </w:rPr>
        <w:tab/>
        <w:t>נוסף על חובות השר על פי כללים אלה חייב השר לגרום לכך שעסק או חבר בני אדם שאיננו גוף מבוקר, יעמוד לביקורת מבקר המדינה על ידי חתימת הסכם עם הממשלה על פי סעיף 9(6) לחוק מבקר המדינה, במקרים אלה:</w:t>
      </w:r>
    </w:p>
    <w:p w14:paraId="10EA0971" w14:textId="77777777" w:rsidR="00713F8B" w:rsidRDefault="00713F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מועברות זכויות בעסק או מניות המקנות שליטה בחבר בני אדם לקרוב כאמור בסעיף 13(2);</w:t>
      </w:r>
    </w:p>
    <w:p w14:paraId="7D78FDDA" w14:textId="77777777" w:rsidR="00713F8B" w:rsidRDefault="00713F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הועברו זכויות בעסק או מניות המקנות שליטה בחבר בני אדם לקרוב של השר בתוך שלוש שנים לפני מינויו לשר;</w:t>
      </w:r>
    </w:p>
    <w:p w14:paraId="25AF912D" w14:textId="77777777" w:rsidR="00713F8B" w:rsidRDefault="00713F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החכיר השר כאמור בסעיף 13(3).</w:t>
      </w:r>
    </w:p>
    <w:p w14:paraId="5B614449"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בביצוע הביקורת ישתמש מבקר המדינה בסמכויות שהוענקו לו בחוק מבקר המדינה; מבקר המדינה יפעיל את סמכויותיו לגבי העסק או חבר בני האדם כדי לבדוק אם נהגו בטוהר המידות ואם לא נוצלו לרעה הקרבה או הקשר עם השר.</w:t>
      </w:r>
    </w:p>
    <w:p w14:paraId="3D8595A9" w14:textId="77777777" w:rsidR="00713F8B" w:rsidRDefault="00713F8B">
      <w:pPr>
        <w:pStyle w:val="P00"/>
        <w:spacing w:before="72"/>
        <w:ind w:left="0" w:right="1134"/>
        <w:rPr>
          <w:rStyle w:val="default"/>
          <w:rFonts w:cs="FrankRuehl" w:hint="cs"/>
          <w:rtl/>
        </w:rPr>
      </w:pPr>
      <w:bookmarkStart w:id="15" w:name="Seif15"/>
      <w:bookmarkEnd w:id="15"/>
      <w:r>
        <w:rPr>
          <w:rFonts w:cs="Miriam"/>
          <w:szCs w:val="32"/>
          <w:rtl/>
          <w:lang w:val="he-IL"/>
        </w:rPr>
        <w:pict w14:anchorId="299E3DDF">
          <v:shape id="_x0000_s2064" type="#_x0000_t202" style="position:absolute;left:0;text-align:left;margin-left:470.25pt;margin-top:.55pt;width:1in;height:22.4pt;z-index:251659776" filled="f" stroked="f">
            <v:textbox inset="1mm,,1mm">
              <w:txbxContent>
                <w:p w14:paraId="623C703E" w14:textId="77777777" w:rsidR="00713F8B" w:rsidRDefault="00713F8B">
                  <w:pPr>
                    <w:spacing w:line="160" w:lineRule="exact"/>
                    <w:jc w:val="left"/>
                    <w:rPr>
                      <w:rFonts w:cs="Miriam" w:hint="cs"/>
                      <w:sz w:val="18"/>
                      <w:szCs w:val="18"/>
                      <w:rtl/>
                    </w:rPr>
                  </w:pPr>
                  <w:r>
                    <w:rPr>
                      <w:rFonts w:cs="Miriam" w:hint="cs"/>
                      <w:sz w:val="18"/>
                      <w:szCs w:val="18"/>
                      <w:rtl/>
                    </w:rPr>
                    <w:t>מכירה תוך שמירת זכויות</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t>שר שעם כניסתו לתפקיד מכר זכויות בעסק או מניות שליטה בחבר בני אדם רשאי לשמור לעצמו זכות לרכישה חוזרת של הזכויות או המניות עם תום תקופת כהונתו, בתנאי כי הרכישה החוזרת תהיה תמורת תשלום המחיר המלא של כל הזכויות או המניות בעת הרכישה החוזרת.</w:t>
      </w:r>
    </w:p>
    <w:p w14:paraId="48CB58E0" w14:textId="77777777" w:rsidR="00713F8B" w:rsidRDefault="00713F8B">
      <w:pPr>
        <w:pStyle w:val="P00"/>
        <w:spacing w:before="72"/>
        <w:ind w:left="0" w:right="1134"/>
        <w:rPr>
          <w:rStyle w:val="default"/>
          <w:rFonts w:cs="FrankRuehl" w:hint="cs"/>
          <w:rtl/>
        </w:rPr>
      </w:pPr>
      <w:bookmarkStart w:id="16" w:name="Seif16"/>
      <w:bookmarkEnd w:id="16"/>
      <w:r>
        <w:rPr>
          <w:rFonts w:cs="Miriam"/>
          <w:szCs w:val="32"/>
          <w:rtl/>
          <w:lang w:val="he-IL"/>
        </w:rPr>
        <w:pict w14:anchorId="36B868D5">
          <v:shape id="_x0000_s2065" type="#_x0000_t202" style="position:absolute;left:0;text-align:left;margin-left:470.25pt;margin-top:5pt;width:1in;height:22.4pt;z-index:251660800" filled="f" stroked="f">
            <v:textbox inset="1mm,,1mm">
              <w:txbxContent>
                <w:p w14:paraId="0B76A767" w14:textId="77777777" w:rsidR="00713F8B" w:rsidRDefault="00713F8B">
                  <w:pPr>
                    <w:spacing w:line="160" w:lineRule="exact"/>
                    <w:jc w:val="left"/>
                    <w:rPr>
                      <w:rFonts w:cs="Miriam" w:hint="cs"/>
                      <w:sz w:val="18"/>
                      <w:szCs w:val="18"/>
                      <w:rtl/>
                    </w:rPr>
                  </w:pPr>
                  <w:r>
                    <w:rPr>
                      <w:rFonts w:cs="Miriam" w:hint="cs"/>
                      <w:sz w:val="18"/>
                      <w:szCs w:val="18"/>
                      <w:rtl/>
                    </w:rPr>
                    <w:t>העברת ניירות ערך לנאמנות</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t>(א)</w:t>
      </w:r>
      <w:r>
        <w:rPr>
          <w:rStyle w:val="default"/>
          <w:rFonts w:cs="FrankRuehl" w:hint="cs"/>
          <w:rtl/>
        </w:rPr>
        <w:tab/>
        <w:t>בתוך 60 ימים מיום מינויו יעביר השר את הכספים ואת ניירות הערך שבבעלותו ובבעלות בני משפחתו לחברת נאמנות ציבורית ובלתי תלויה, אשר תחזיק ותנהל אותם בדרך של "נאמנות עיוורת".</w:t>
      </w:r>
    </w:p>
    <w:p w14:paraId="3C1D531B"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ובני משפחתו לא ייתנו לחברת הנאמנות כל הוראות באילו ניירות ערך להחזיק ואילו ניירות ערך למכור או לרכוש, למעט הנחיה חד פעמית, קודם לתחילת מתן השירות, בדבר סוגי ההשקעה שייכללו בתיק ובדבר השיעור המרבי של כל סוג ביחס לשווי התיק, או הנחיה כי אלה יקיבעו לפי שיקול דעתה של חברת הנאמנות.</w:t>
      </w:r>
    </w:p>
    <w:p w14:paraId="4C0A0275" w14:textId="77777777" w:rsidR="00713F8B" w:rsidRDefault="00713F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חברת הנאמנות לא תמסור לשר ולבני משפחתו, כל עוד מכהן השר בתפקידו, כל מידע על העסקאות שנעשו בניירות הערך; המידע היחיד שיימסר יהיה שווי כלל ניירות הערך, הרווחים שמומשו, והמס ששולם בשל רווחים אלה.</w:t>
      </w:r>
    </w:p>
    <w:p w14:paraId="370D1F91" w14:textId="77777777" w:rsidR="00713F8B" w:rsidRDefault="00713F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שטר הנאמנות בין השר לבין חברת הנאמנות יובא לאישור היועץ המשפטי לממשלה.</w:t>
      </w:r>
    </w:p>
    <w:p w14:paraId="0D80C815" w14:textId="77777777" w:rsidR="00713F8B" w:rsidRDefault="00713F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זה לא יחולו על מניות שקיימת חובה להעבירן על פי סעיף 13.</w:t>
      </w:r>
    </w:p>
    <w:p w14:paraId="20888F45" w14:textId="77777777" w:rsidR="00713F8B" w:rsidRDefault="00713F8B">
      <w:pPr>
        <w:pStyle w:val="P00"/>
        <w:spacing w:before="72"/>
        <w:ind w:left="0" w:right="1134"/>
        <w:rPr>
          <w:rStyle w:val="default"/>
          <w:rFonts w:cs="FrankRuehl" w:hint="cs"/>
          <w:rtl/>
        </w:rPr>
      </w:pPr>
      <w:bookmarkStart w:id="17" w:name="Seif17"/>
      <w:bookmarkEnd w:id="17"/>
      <w:r>
        <w:rPr>
          <w:rFonts w:cs="Miriam"/>
          <w:szCs w:val="32"/>
          <w:rtl/>
          <w:lang w:val="he-IL"/>
        </w:rPr>
        <w:pict w14:anchorId="5B9A7E88">
          <v:shape id="_x0000_s2066" type="#_x0000_t202" style="position:absolute;left:0;text-align:left;margin-left:470.25pt;margin-top:1.3pt;width:1in;height:33.6pt;z-index:251661824" filled="f" stroked="f">
            <v:textbox inset="1mm,,1mm">
              <w:txbxContent>
                <w:p w14:paraId="519A5660" w14:textId="77777777" w:rsidR="00713F8B" w:rsidRDefault="00713F8B">
                  <w:pPr>
                    <w:spacing w:line="160" w:lineRule="exact"/>
                    <w:jc w:val="left"/>
                    <w:rPr>
                      <w:rFonts w:cs="Miriam" w:hint="cs"/>
                      <w:sz w:val="18"/>
                      <w:szCs w:val="18"/>
                      <w:rtl/>
                    </w:rPr>
                  </w:pPr>
                  <w:r>
                    <w:rPr>
                      <w:rFonts w:cs="Miriam" w:hint="cs"/>
                      <w:sz w:val="18"/>
                      <w:szCs w:val="18"/>
                      <w:rtl/>
                    </w:rPr>
                    <w:t>הצהרה על הון, נכסים וזכויות בעת תחילת הכהונה</w:t>
                  </w:r>
                </w:p>
              </w:txbxContent>
            </v:textbox>
            <w10:anchorlock/>
          </v:shape>
        </w:pict>
      </w:r>
      <w:r>
        <w:rPr>
          <w:rStyle w:val="default"/>
          <w:rFonts w:cs="Miriam" w:hint="cs"/>
          <w:sz w:val="32"/>
          <w:szCs w:val="32"/>
          <w:rtl/>
        </w:rPr>
        <w:t>17</w:t>
      </w:r>
      <w:r>
        <w:rPr>
          <w:rStyle w:val="default"/>
          <w:rFonts w:cs="FrankRuehl" w:hint="cs"/>
          <w:rtl/>
        </w:rPr>
        <w:t>.</w:t>
      </w:r>
      <w:r>
        <w:rPr>
          <w:rStyle w:val="default"/>
          <w:rFonts w:cs="FrankRuehl" w:hint="cs"/>
          <w:rtl/>
        </w:rPr>
        <w:tab/>
        <w:t>בתוך 60 ימים מיום תחילת כהונתו, יצהיר השר למבקר המדינה, בדין וחשבון מפורט ועל פי טופס שיקבע המבקר, על ענינים אלה:</w:t>
      </w:r>
    </w:p>
    <w:p w14:paraId="31ED020A" w14:textId="77777777" w:rsidR="00713F8B" w:rsidRDefault="00713F8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ההון, הנכסים, הזכויות וההתחייבויות שיש לשר ולבני משפחתו ביום כניסתו לתפקיד;</w:t>
      </w:r>
    </w:p>
    <w:p w14:paraId="6C740768" w14:textId="77777777" w:rsidR="00713F8B" w:rsidRDefault="00713F8B">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המקורות והסכומים של הכנסתו והכנסת בני משפחתו בשנה שקדמה למינויו כשר;</w:t>
      </w:r>
    </w:p>
    <w:p w14:paraId="3A4D0F73" w14:textId="77777777" w:rsidR="00713F8B" w:rsidRDefault="00713F8B">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פרטים מלאים על נכסים שהועברו על פי סעיף 13(1) ו-(2), בציון שם הרוכש או מקבל ההעברה וקרבתו לשר;</w:t>
      </w:r>
    </w:p>
    <w:p w14:paraId="3956938E" w14:textId="77777777" w:rsidR="00713F8B" w:rsidRDefault="00713F8B">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פרטים מלאים על עסק שהשר החכיר על פי סעיף 13(3), ועל תנאי החכירה, בצירוף ההסכם המקנה את הזכות לרכישה חוזרת;</w:t>
      </w:r>
    </w:p>
    <w:p w14:paraId="49679430" w14:textId="77777777" w:rsidR="00713F8B" w:rsidRDefault="00713F8B">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הזכויות והמניות שנשארה לגביהן זכות לרכישה חוזרת על פי סעיף 15, בצירוף ההסכם המקנה את הזכות לרכישה חוזרת;</w:t>
      </w:r>
    </w:p>
    <w:p w14:paraId="25ACDAF8" w14:textId="77777777" w:rsidR="00713F8B" w:rsidRDefault="00713F8B">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רשימת נייכות הערך שהועברה לחברת נאמנות על פי סעיף 16, והעתק משטר הנאמנות;</w:t>
      </w:r>
    </w:p>
    <w:p w14:paraId="7359144A" w14:textId="77777777" w:rsidR="00713F8B" w:rsidRDefault="00713F8B">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רשימה מפורטת של כל התפקידים, המשרות והכהונות שבהן החזיק השר לפני מינויו ואשר מהן התפטר על פי כללים אלה, ורשימת התפקידים, המשרות והכהונות שהשר ממשיך להחזיק בהן לאחר מינויו.</w:t>
      </w:r>
    </w:p>
    <w:p w14:paraId="3B6C3D90" w14:textId="77777777" w:rsidR="00713F8B" w:rsidRDefault="00713F8B">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ד': ועדה למתן היתרים</w:t>
      </w:r>
    </w:p>
    <w:p w14:paraId="42829FB2" w14:textId="77777777" w:rsidR="00713F8B" w:rsidRDefault="00713F8B">
      <w:pPr>
        <w:pStyle w:val="P00"/>
        <w:spacing w:before="72"/>
        <w:ind w:left="0" w:right="1134"/>
        <w:rPr>
          <w:rStyle w:val="default"/>
          <w:rFonts w:cs="FrankRuehl" w:hint="cs"/>
          <w:rtl/>
        </w:rPr>
      </w:pPr>
      <w:bookmarkStart w:id="18" w:name="Seif18"/>
      <w:bookmarkEnd w:id="18"/>
      <w:r>
        <w:rPr>
          <w:rFonts w:cs="Miriam"/>
          <w:szCs w:val="32"/>
          <w:rtl/>
          <w:lang w:val="he-IL"/>
        </w:rPr>
        <w:pict w14:anchorId="50F5085D">
          <v:shape id="_x0000_s2067" type="#_x0000_t202" style="position:absolute;left:0;text-align:left;margin-left:470.25pt;margin-top:1.15pt;width:1in;height:16.8pt;z-index:251662848" filled="f" stroked="f">
            <v:textbox inset="1mm,,1mm">
              <w:txbxContent>
                <w:p w14:paraId="2CAEEF82" w14:textId="77777777" w:rsidR="00713F8B" w:rsidRDefault="00713F8B">
                  <w:pPr>
                    <w:spacing w:line="160" w:lineRule="exact"/>
                    <w:jc w:val="left"/>
                    <w:rPr>
                      <w:rFonts w:cs="Miriam" w:hint="cs"/>
                      <w:sz w:val="18"/>
                      <w:szCs w:val="18"/>
                      <w:rtl/>
                    </w:rPr>
                  </w:pPr>
                  <w:r>
                    <w:rPr>
                      <w:rFonts w:cs="Miriam" w:hint="cs"/>
                      <w:sz w:val="18"/>
                      <w:szCs w:val="18"/>
                      <w:rtl/>
                    </w:rPr>
                    <w:t>מינוי הועדה</w:t>
                  </w:r>
                </w:p>
              </w:txbxContent>
            </v:textbox>
            <w10:anchorlock/>
          </v:shape>
        </w:pict>
      </w:r>
      <w:r>
        <w:rPr>
          <w:rStyle w:val="default"/>
          <w:rFonts w:cs="Miriam" w:hint="cs"/>
          <w:sz w:val="32"/>
          <w:szCs w:val="32"/>
          <w:rtl/>
        </w:rPr>
        <w:t>18</w:t>
      </w:r>
      <w:r>
        <w:rPr>
          <w:rStyle w:val="default"/>
          <w:rFonts w:cs="FrankRuehl" w:hint="cs"/>
          <w:rtl/>
        </w:rPr>
        <w:t>.</w:t>
      </w:r>
      <w:r>
        <w:rPr>
          <w:rStyle w:val="default"/>
          <w:rFonts w:cs="FrankRuehl" w:hint="cs"/>
          <w:rtl/>
        </w:rPr>
        <w:tab/>
        <w:t>(א)</w:t>
      </w:r>
      <w:r>
        <w:rPr>
          <w:rStyle w:val="default"/>
          <w:rFonts w:cs="FrankRuehl" w:hint="cs"/>
          <w:rtl/>
        </w:rPr>
        <w:tab/>
        <w:t xml:space="preserve">מבקר המדינה ימנה ועדה בת שלושה חברים שבראשה שופט או שופט בדימוס (להלן </w:t>
      </w:r>
      <w:r>
        <w:rPr>
          <w:rStyle w:val="default"/>
          <w:rFonts w:cs="FrankRuehl"/>
          <w:rtl/>
        </w:rPr>
        <w:t>–</w:t>
      </w:r>
      <w:r>
        <w:rPr>
          <w:rStyle w:val="default"/>
          <w:rFonts w:cs="FrankRuehl" w:hint="cs"/>
          <w:rtl/>
        </w:rPr>
        <w:t xml:space="preserve"> הועדה).</w:t>
      </w:r>
    </w:p>
    <w:p w14:paraId="28353619"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הועדה תמונה לתקופה של שנתיים.</w:t>
      </w:r>
    </w:p>
    <w:p w14:paraId="1C692D08" w14:textId="77777777" w:rsidR="00713F8B" w:rsidRDefault="00713F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מינוי הועדה תפורסם ברשומות.</w:t>
      </w:r>
    </w:p>
    <w:p w14:paraId="09F15E7B" w14:textId="77777777" w:rsidR="00713F8B" w:rsidRDefault="00713F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התפנה מקומו של חבר הועדה או נבצר מחבר הועדה למלא את תפקידו, יהיה מבקר המדינה רשאי למנות במקומו חבר אחר או ממלא מקום, לפי שיקול דעתו.</w:t>
      </w:r>
    </w:p>
    <w:p w14:paraId="0BC24E9B" w14:textId="77777777" w:rsidR="00713F8B" w:rsidRDefault="00713F8B">
      <w:pPr>
        <w:pStyle w:val="P00"/>
        <w:spacing w:before="72"/>
        <w:ind w:left="0" w:right="1134"/>
        <w:rPr>
          <w:rStyle w:val="default"/>
          <w:rFonts w:cs="FrankRuehl" w:hint="cs"/>
          <w:rtl/>
        </w:rPr>
      </w:pPr>
      <w:bookmarkStart w:id="19" w:name="Seif19"/>
      <w:bookmarkEnd w:id="19"/>
      <w:r>
        <w:rPr>
          <w:rFonts w:cs="Miriam"/>
          <w:szCs w:val="32"/>
          <w:rtl/>
          <w:lang w:val="he-IL"/>
        </w:rPr>
        <w:pict w14:anchorId="634EB345">
          <v:shape id="_x0000_s2068" type="#_x0000_t202" style="position:absolute;left:0;text-align:left;margin-left:470.25pt;margin-top:4.65pt;width:1in;height:16.8pt;z-index:251663872" filled="f" stroked="f">
            <v:textbox inset="1mm,,1mm">
              <w:txbxContent>
                <w:p w14:paraId="4C112A30" w14:textId="77777777" w:rsidR="00713F8B" w:rsidRDefault="00713F8B">
                  <w:pPr>
                    <w:spacing w:line="160" w:lineRule="exact"/>
                    <w:jc w:val="left"/>
                    <w:rPr>
                      <w:rFonts w:cs="Miriam" w:hint="cs"/>
                      <w:sz w:val="18"/>
                      <w:szCs w:val="18"/>
                      <w:rtl/>
                    </w:rPr>
                  </w:pPr>
                  <w:r>
                    <w:rPr>
                      <w:rFonts w:cs="Miriam" w:hint="cs"/>
                      <w:sz w:val="18"/>
                      <w:szCs w:val="18"/>
                      <w:rtl/>
                    </w:rPr>
                    <w:t>סמכות הועדה</w:t>
                  </w:r>
                </w:p>
              </w:txbxContent>
            </v:textbox>
            <w10:anchorlock/>
          </v:shape>
        </w:pict>
      </w:r>
      <w:r>
        <w:rPr>
          <w:rStyle w:val="default"/>
          <w:rFonts w:cs="Miriam" w:hint="cs"/>
          <w:sz w:val="32"/>
          <w:szCs w:val="32"/>
          <w:rtl/>
        </w:rPr>
        <w:t>19</w:t>
      </w:r>
      <w:r>
        <w:rPr>
          <w:rStyle w:val="default"/>
          <w:rFonts w:cs="FrankRuehl" w:hint="cs"/>
          <w:rtl/>
        </w:rPr>
        <w:t>.</w:t>
      </w:r>
      <w:r>
        <w:rPr>
          <w:rStyle w:val="default"/>
          <w:rFonts w:cs="FrankRuehl" w:hint="cs"/>
          <w:rtl/>
        </w:rPr>
        <w:tab/>
        <w:t>(א)</w:t>
      </w:r>
      <w:r>
        <w:rPr>
          <w:rStyle w:val="default"/>
          <w:rFonts w:cs="FrankRuehl" w:hint="cs"/>
          <w:rtl/>
        </w:rPr>
        <w:tab/>
        <w:t>הועדה מוסמכת לדון בבקשה לקבלת היתר אישי לאי קיום כלל מכללים אלה.</w:t>
      </w:r>
    </w:p>
    <w:p w14:paraId="384E5372"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הועדה רשאית לסרב למתן היתר, לתתו או לתתו בתנאים, אם הדבר נראה לה מוצדק בנסיבות המקרה ותקין מבחינה ציבורית.</w:t>
      </w:r>
    </w:p>
    <w:p w14:paraId="2FE40CAA" w14:textId="77777777" w:rsidR="00713F8B" w:rsidRDefault="00713F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תוקף ההיתר לא יעלה על משך תקופת כהונת הממשלה.</w:t>
      </w:r>
    </w:p>
    <w:p w14:paraId="5AC69DD6" w14:textId="77777777" w:rsidR="00713F8B" w:rsidRDefault="00713F8B">
      <w:pPr>
        <w:pStyle w:val="P00"/>
        <w:spacing w:before="72"/>
        <w:ind w:left="0" w:right="1134"/>
        <w:rPr>
          <w:rStyle w:val="default"/>
          <w:rFonts w:cs="FrankRuehl" w:hint="cs"/>
          <w:rtl/>
        </w:rPr>
      </w:pPr>
      <w:bookmarkStart w:id="20" w:name="Seif20"/>
      <w:bookmarkEnd w:id="20"/>
      <w:r>
        <w:rPr>
          <w:rFonts w:cs="Miriam"/>
          <w:szCs w:val="32"/>
          <w:rtl/>
          <w:lang w:val="he-IL"/>
        </w:rPr>
        <w:pict w14:anchorId="5D4055F3">
          <v:shape id="_x0000_s2069" type="#_x0000_t202" style="position:absolute;left:0;text-align:left;margin-left:470.25pt;margin-top:5.75pt;width:1in;height:16.8pt;z-index:251664896" filled="f" stroked="f">
            <v:textbox inset="1mm,,1mm">
              <w:txbxContent>
                <w:p w14:paraId="277D42F5" w14:textId="77777777" w:rsidR="00713F8B" w:rsidRDefault="00713F8B">
                  <w:pPr>
                    <w:spacing w:line="160" w:lineRule="exact"/>
                    <w:jc w:val="left"/>
                    <w:rPr>
                      <w:rFonts w:cs="Miriam" w:hint="cs"/>
                      <w:sz w:val="18"/>
                      <w:szCs w:val="18"/>
                      <w:rtl/>
                    </w:rPr>
                  </w:pPr>
                  <w:r>
                    <w:rPr>
                      <w:rFonts w:cs="Miriam" w:hint="cs"/>
                      <w:sz w:val="18"/>
                      <w:szCs w:val="18"/>
                      <w:rtl/>
                    </w:rPr>
                    <w:t>בקשה להיתר</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t>פניה לועדה בבקשה לקבל היתר יכול שתבוא מאת השר הנוגע בדבר או מאת מי שמועמד להיות שר.</w:t>
      </w:r>
    </w:p>
    <w:p w14:paraId="10A210E8" w14:textId="77777777" w:rsidR="00713F8B" w:rsidRDefault="00713F8B">
      <w:pPr>
        <w:pStyle w:val="P00"/>
        <w:spacing w:before="72"/>
        <w:ind w:left="0" w:right="1134"/>
        <w:rPr>
          <w:rStyle w:val="default"/>
          <w:rFonts w:cs="FrankRuehl" w:hint="cs"/>
          <w:rtl/>
        </w:rPr>
      </w:pPr>
      <w:bookmarkStart w:id="21" w:name="Seif21"/>
      <w:bookmarkEnd w:id="21"/>
      <w:r>
        <w:rPr>
          <w:rFonts w:cs="Miriam"/>
          <w:szCs w:val="32"/>
          <w:rtl/>
          <w:lang w:val="he-IL"/>
        </w:rPr>
        <w:pict w14:anchorId="082E3D19">
          <v:shape id="_x0000_s2070" type="#_x0000_t202" style="position:absolute;left:0;text-align:left;margin-left:470.25pt;margin-top:6.4pt;width:1in;height:16.8pt;z-index:251665920" filled="f" stroked="f">
            <v:textbox inset="1mm,,1mm">
              <w:txbxContent>
                <w:p w14:paraId="0D571809" w14:textId="77777777" w:rsidR="00713F8B" w:rsidRDefault="00713F8B">
                  <w:pPr>
                    <w:spacing w:line="160" w:lineRule="exact"/>
                    <w:jc w:val="left"/>
                    <w:rPr>
                      <w:rFonts w:cs="Miriam" w:hint="cs"/>
                      <w:sz w:val="18"/>
                      <w:szCs w:val="18"/>
                      <w:rtl/>
                    </w:rPr>
                  </w:pPr>
                  <w:r>
                    <w:rPr>
                      <w:rFonts w:cs="Miriam" w:hint="cs"/>
                      <w:sz w:val="18"/>
                      <w:szCs w:val="18"/>
                      <w:rtl/>
                    </w:rPr>
                    <w:t>החלטת הועדה</w:t>
                  </w:r>
                </w:p>
              </w:txbxContent>
            </v:textbox>
            <w10:anchorlock/>
          </v:shape>
        </w:pict>
      </w:r>
      <w:r>
        <w:rPr>
          <w:rStyle w:val="default"/>
          <w:rFonts w:cs="Miriam" w:hint="cs"/>
          <w:sz w:val="32"/>
          <w:szCs w:val="32"/>
          <w:rtl/>
        </w:rPr>
        <w:t>21</w:t>
      </w:r>
      <w:r>
        <w:rPr>
          <w:rStyle w:val="default"/>
          <w:rFonts w:cs="FrankRuehl" w:hint="cs"/>
          <w:rtl/>
        </w:rPr>
        <w:t>.</w:t>
      </w:r>
      <w:r>
        <w:rPr>
          <w:rStyle w:val="default"/>
          <w:rFonts w:cs="FrankRuehl" w:hint="cs"/>
          <w:rtl/>
        </w:rPr>
        <w:tab/>
        <w:t>(א)</w:t>
      </w:r>
      <w:r>
        <w:rPr>
          <w:rStyle w:val="default"/>
          <w:rFonts w:cs="FrankRuehl" w:hint="cs"/>
          <w:rtl/>
        </w:rPr>
        <w:tab/>
        <w:t>הועדה תשמע, לפני מתן החלטתה, את חוות דעתו של מבקר המדינה לגבי המקרה שלפניה.</w:t>
      </w:r>
    </w:p>
    <w:p w14:paraId="346F58EB"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החלטה הועדה תהיה סופית.</w:t>
      </w:r>
    </w:p>
    <w:p w14:paraId="2EB2F189" w14:textId="77777777" w:rsidR="00713F8B" w:rsidRDefault="00713F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העתק מהחלטת הועדה יישלח למבקר המדינה.</w:t>
      </w:r>
    </w:p>
    <w:p w14:paraId="21E8D728" w14:textId="77777777" w:rsidR="00713F8B" w:rsidRDefault="00713F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בהחלטת הועדה כדי לגרוע מסמכות מבקר המדינה לפי חוק מבקר המדינה ולפי כל חיקוק אחר.</w:t>
      </w:r>
    </w:p>
    <w:p w14:paraId="7C92F0D2" w14:textId="77777777" w:rsidR="00713F8B" w:rsidRDefault="00713F8B">
      <w:pPr>
        <w:pStyle w:val="P00"/>
        <w:spacing w:before="72"/>
        <w:ind w:left="0" w:right="1134"/>
        <w:rPr>
          <w:rStyle w:val="default"/>
          <w:rFonts w:cs="FrankRuehl" w:hint="cs"/>
          <w:rtl/>
        </w:rPr>
      </w:pPr>
      <w:bookmarkStart w:id="22" w:name="Seif22"/>
      <w:bookmarkEnd w:id="22"/>
      <w:r>
        <w:rPr>
          <w:rFonts w:cs="Miriam"/>
          <w:szCs w:val="32"/>
          <w:rtl/>
          <w:lang w:val="he-IL"/>
        </w:rPr>
        <w:pict w14:anchorId="70EA982F">
          <v:shape id="_x0000_s2071" type="#_x0000_t202" style="position:absolute;left:0;text-align:left;margin-left:470.25pt;margin-top:5.9pt;width:1in;height:16.8pt;z-index:251666944" filled="f" stroked="f">
            <v:textbox inset="1mm,,1mm">
              <w:txbxContent>
                <w:p w14:paraId="35CEE669" w14:textId="77777777" w:rsidR="00713F8B" w:rsidRDefault="00713F8B">
                  <w:pPr>
                    <w:spacing w:line="160" w:lineRule="exact"/>
                    <w:jc w:val="left"/>
                    <w:rPr>
                      <w:rFonts w:cs="Miriam" w:hint="cs"/>
                      <w:sz w:val="18"/>
                      <w:szCs w:val="18"/>
                      <w:rtl/>
                    </w:rPr>
                  </w:pPr>
                  <w:r>
                    <w:rPr>
                      <w:rFonts w:cs="Miriam" w:hint="cs"/>
                      <w:sz w:val="18"/>
                      <w:szCs w:val="18"/>
                      <w:rtl/>
                    </w:rPr>
                    <w:t>ביטול היתר</w:t>
                  </w:r>
                </w:p>
              </w:txbxContent>
            </v:textbox>
            <w10:anchorlock/>
          </v:shape>
        </w:pict>
      </w:r>
      <w:r>
        <w:rPr>
          <w:rStyle w:val="default"/>
          <w:rFonts w:cs="Miriam" w:hint="cs"/>
          <w:sz w:val="32"/>
          <w:szCs w:val="32"/>
          <w:rtl/>
        </w:rPr>
        <w:t>22</w:t>
      </w:r>
      <w:r>
        <w:rPr>
          <w:rStyle w:val="default"/>
          <w:rFonts w:cs="FrankRuehl" w:hint="cs"/>
          <w:rtl/>
        </w:rPr>
        <w:t>.</w:t>
      </w:r>
      <w:r>
        <w:rPr>
          <w:rStyle w:val="default"/>
          <w:rFonts w:cs="FrankRuehl" w:hint="cs"/>
          <w:rtl/>
        </w:rPr>
        <w:tab/>
        <w:t>(א)</w:t>
      </w:r>
      <w:r>
        <w:rPr>
          <w:rStyle w:val="default"/>
          <w:rFonts w:cs="FrankRuehl" w:hint="cs"/>
          <w:rtl/>
        </w:rPr>
        <w:tab/>
        <w:t>ראה מבקר המדינה שהנסיבות שבהן ניתן היתק השתנו באופן בולט, יביא את הדבר לידיעת הועדה.</w:t>
      </w:r>
    </w:p>
    <w:p w14:paraId="2C2D9995"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קיבלה הועדה הודעה כאמור, רשאית היא, אם לדעתה שינוי הנסיבות מצדיק זאת, לבטל או לשנות את ההיתר שנתנה והיא תודיע על החלטתה למבקר המדינה ולשר הנוגע בדבר.</w:t>
      </w:r>
    </w:p>
    <w:p w14:paraId="6C69B52E" w14:textId="77777777" w:rsidR="00713F8B" w:rsidRDefault="00713F8B">
      <w:pPr>
        <w:pStyle w:val="P00"/>
        <w:spacing w:before="72"/>
        <w:ind w:left="0" w:right="1134"/>
        <w:rPr>
          <w:rStyle w:val="default"/>
          <w:rFonts w:cs="FrankRuehl" w:hint="cs"/>
          <w:rtl/>
        </w:rPr>
      </w:pPr>
      <w:bookmarkStart w:id="23" w:name="Seif23"/>
      <w:bookmarkEnd w:id="23"/>
      <w:r>
        <w:rPr>
          <w:rFonts w:cs="Miriam"/>
          <w:szCs w:val="32"/>
          <w:rtl/>
          <w:lang w:val="he-IL"/>
        </w:rPr>
        <w:pict w14:anchorId="72DD3470">
          <v:shape id="_x0000_s2072" type="#_x0000_t202" style="position:absolute;left:0;text-align:left;margin-left:470.25pt;margin-top:4.95pt;width:1in;height:16.8pt;z-index:251667968" filled="f" stroked="f">
            <v:textbox inset="1mm,,1mm">
              <w:txbxContent>
                <w:p w14:paraId="493E8B63" w14:textId="77777777" w:rsidR="00713F8B" w:rsidRDefault="00713F8B">
                  <w:pPr>
                    <w:spacing w:line="160" w:lineRule="exact"/>
                    <w:jc w:val="left"/>
                    <w:rPr>
                      <w:rFonts w:cs="Miriam" w:hint="cs"/>
                      <w:sz w:val="18"/>
                      <w:szCs w:val="18"/>
                      <w:rtl/>
                    </w:rPr>
                  </w:pPr>
                  <w:r>
                    <w:rPr>
                      <w:rFonts w:cs="Miriam" w:hint="cs"/>
                      <w:sz w:val="18"/>
                      <w:szCs w:val="18"/>
                      <w:rtl/>
                    </w:rPr>
                    <w:t>שכר והוצאות</w:t>
                  </w:r>
                </w:p>
              </w:txbxContent>
            </v:textbox>
            <w10:anchorlock/>
          </v:shape>
        </w:pict>
      </w:r>
      <w:r>
        <w:rPr>
          <w:rStyle w:val="default"/>
          <w:rFonts w:cs="Miriam" w:hint="cs"/>
          <w:sz w:val="32"/>
          <w:szCs w:val="32"/>
          <w:rtl/>
        </w:rPr>
        <w:t>23</w:t>
      </w:r>
      <w:r>
        <w:rPr>
          <w:rStyle w:val="default"/>
          <w:rFonts w:cs="FrankRuehl" w:hint="cs"/>
          <w:rtl/>
        </w:rPr>
        <w:t>.</w:t>
      </w:r>
      <w:r>
        <w:rPr>
          <w:rStyle w:val="default"/>
          <w:rFonts w:cs="FrankRuehl" w:hint="cs"/>
          <w:rtl/>
        </w:rPr>
        <w:tab/>
        <w:t>(א)</w:t>
      </w:r>
      <w:r>
        <w:rPr>
          <w:rStyle w:val="default"/>
          <w:rFonts w:cs="FrankRuehl" w:hint="cs"/>
          <w:rtl/>
        </w:rPr>
        <w:tab/>
        <w:t>חברי הועדה יקבלו החזר הוצאות מאוצר המדינה כפי שיקבע מבקר המדינה.</w:t>
      </w:r>
    </w:p>
    <w:p w14:paraId="2E588D90" w14:textId="77777777" w:rsidR="00713F8B" w:rsidRDefault="00713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הועדה שאינם מקבלים משכורת מאוצר המדינה יקבלו מאוצר המדינה שכר טרחה בעד השתתפותם בישיבות הועדה שפי שיקבע מבקר המדינה.</w:t>
      </w:r>
    </w:p>
    <w:p w14:paraId="163B9DDD" w14:textId="77777777" w:rsidR="00713F8B" w:rsidRDefault="00713F8B">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ה': שונות</w:t>
      </w:r>
    </w:p>
    <w:p w14:paraId="0823E4E1" w14:textId="77777777" w:rsidR="00713F8B" w:rsidRDefault="00713F8B">
      <w:pPr>
        <w:pStyle w:val="P00"/>
        <w:spacing w:before="72"/>
        <w:ind w:left="0" w:right="1134"/>
        <w:rPr>
          <w:rStyle w:val="default"/>
          <w:rFonts w:cs="FrankRuehl" w:hint="cs"/>
          <w:rtl/>
        </w:rPr>
      </w:pPr>
      <w:bookmarkStart w:id="24" w:name="Seif24"/>
      <w:bookmarkEnd w:id="24"/>
      <w:r>
        <w:rPr>
          <w:rFonts w:cs="Miriam"/>
          <w:szCs w:val="32"/>
          <w:rtl/>
          <w:lang w:val="he-IL"/>
        </w:rPr>
        <w:pict w14:anchorId="2B31A626">
          <v:shape id="_x0000_s2073" type="#_x0000_t202" style="position:absolute;left:0;text-align:left;margin-left:470.25pt;margin-top:7.05pt;width:1in;height:16.8pt;z-index:251668992" filled="f" stroked="f">
            <v:textbox inset="1mm,,1mm">
              <w:txbxContent>
                <w:p w14:paraId="73394EA7" w14:textId="77777777" w:rsidR="00713F8B" w:rsidRDefault="00713F8B">
                  <w:pPr>
                    <w:spacing w:line="160" w:lineRule="exact"/>
                    <w:jc w:val="left"/>
                    <w:rPr>
                      <w:rFonts w:cs="Miriam" w:hint="cs"/>
                      <w:sz w:val="18"/>
                      <w:szCs w:val="18"/>
                      <w:rtl/>
                    </w:rPr>
                  </w:pPr>
                  <w:r>
                    <w:rPr>
                      <w:rFonts w:cs="Miriam" w:hint="cs"/>
                      <w:sz w:val="18"/>
                      <w:szCs w:val="18"/>
                      <w:rtl/>
                    </w:rPr>
                    <w:t>הארכת מועדים</w:t>
                  </w:r>
                </w:p>
              </w:txbxContent>
            </v:textbox>
            <w10:anchorlock/>
          </v:shape>
        </w:pict>
      </w:r>
      <w:r>
        <w:rPr>
          <w:rStyle w:val="default"/>
          <w:rFonts w:cs="Miriam" w:hint="cs"/>
          <w:sz w:val="32"/>
          <w:szCs w:val="32"/>
          <w:rtl/>
        </w:rPr>
        <w:t>24</w:t>
      </w:r>
      <w:r>
        <w:rPr>
          <w:rStyle w:val="default"/>
          <w:rFonts w:cs="FrankRuehl" w:hint="cs"/>
          <w:rtl/>
        </w:rPr>
        <w:t>.</w:t>
      </w:r>
      <w:r>
        <w:rPr>
          <w:rStyle w:val="default"/>
          <w:rFonts w:cs="FrankRuehl" w:hint="cs"/>
          <w:rtl/>
        </w:rPr>
        <w:tab/>
        <w:t>מבקר המדינה רשאי להאריך מועד שנקבע בכללים אלה מטעמים מיוחדים</w:t>
      </w:r>
    </w:p>
    <w:p w14:paraId="64104B0D" w14:textId="77777777" w:rsidR="00713F8B" w:rsidRDefault="00713F8B">
      <w:pPr>
        <w:pStyle w:val="P00"/>
        <w:spacing w:before="72"/>
        <w:ind w:left="0" w:right="1134"/>
        <w:rPr>
          <w:rStyle w:val="default"/>
          <w:rFonts w:cs="FrankRuehl" w:hint="cs"/>
          <w:rtl/>
        </w:rPr>
      </w:pPr>
    </w:p>
    <w:p w14:paraId="601C1E38" w14:textId="77777777" w:rsidR="00713F8B" w:rsidRDefault="00713F8B">
      <w:pPr>
        <w:pStyle w:val="P00"/>
        <w:spacing w:before="72"/>
        <w:ind w:left="0" w:right="1134"/>
        <w:rPr>
          <w:rStyle w:val="default"/>
          <w:rFonts w:cs="FrankRuehl" w:hint="cs"/>
          <w:rtl/>
        </w:rPr>
      </w:pPr>
    </w:p>
    <w:p w14:paraId="31C024C9" w14:textId="77777777" w:rsidR="00713F8B" w:rsidRDefault="00713F8B">
      <w:pPr>
        <w:pStyle w:val="P00"/>
        <w:spacing w:before="72"/>
        <w:ind w:left="0" w:right="1134"/>
        <w:rPr>
          <w:rStyle w:val="default"/>
          <w:rFonts w:cs="FrankRuehl" w:hint="cs"/>
          <w:rtl/>
        </w:rPr>
      </w:pPr>
      <w:r>
        <w:rPr>
          <w:rStyle w:val="default"/>
          <w:rFonts w:cs="FrankRuehl" w:hint="cs"/>
          <w:rtl/>
        </w:rPr>
        <w:t>כ"ו בטבת התשס"ג (31 בדצמבר 2002)</w:t>
      </w:r>
    </w:p>
    <w:p w14:paraId="334FEFB6" w14:textId="77777777" w:rsidR="00713F8B" w:rsidRDefault="00713F8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אהרון לישנסקי</w:t>
      </w:r>
    </w:p>
    <w:p w14:paraId="1CABF7E7" w14:textId="77777777" w:rsidR="00713F8B" w:rsidRDefault="00713F8B">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מ</w:t>
      </w:r>
      <w:r>
        <w:rPr>
          <w:rFonts w:cs="FrankRuehl" w:hint="cs"/>
          <w:sz w:val="22"/>
          <w:rtl/>
        </w:rPr>
        <w:t>זכיר הממשלה (בפועל)</w:t>
      </w:r>
    </w:p>
    <w:p w14:paraId="0C522A25" w14:textId="77777777" w:rsidR="00713F8B" w:rsidRPr="003D1447" w:rsidRDefault="00713F8B" w:rsidP="003D1447">
      <w:pPr>
        <w:pStyle w:val="P00"/>
        <w:spacing w:before="72"/>
        <w:ind w:left="0" w:right="1134"/>
        <w:rPr>
          <w:rStyle w:val="default"/>
          <w:rFonts w:cs="FrankRuehl" w:hint="cs"/>
          <w:rtl/>
        </w:rPr>
      </w:pPr>
    </w:p>
    <w:p w14:paraId="47277D05" w14:textId="77777777" w:rsidR="003D1447" w:rsidRPr="003D1447" w:rsidRDefault="003D1447" w:rsidP="003D1447">
      <w:pPr>
        <w:pStyle w:val="P00"/>
        <w:spacing w:before="72"/>
        <w:ind w:left="0" w:right="1134"/>
        <w:rPr>
          <w:rStyle w:val="default"/>
          <w:rFonts w:cs="FrankRuehl" w:hint="cs"/>
          <w:rtl/>
        </w:rPr>
      </w:pPr>
    </w:p>
    <w:p w14:paraId="50F40FC4" w14:textId="77777777" w:rsidR="00384E54" w:rsidRDefault="00384E54" w:rsidP="003D1447">
      <w:pPr>
        <w:pStyle w:val="P00"/>
        <w:spacing w:before="72"/>
        <w:ind w:left="0" w:right="1134"/>
        <w:rPr>
          <w:rStyle w:val="default"/>
          <w:rFonts w:cs="FrankRuehl"/>
          <w:rtl/>
        </w:rPr>
      </w:pPr>
    </w:p>
    <w:p w14:paraId="3E0DC212" w14:textId="77777777" w:rsidR="00384E54" w:rsidRDefault="00384E54" w:rsidP="00384E54">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14:paraId="30DB0DA6" w14:textId="77777777" w:rsidR="003D1447" w:rsidRPr="00384E54" w:rsidRDefault="003D1447" w:rsidP="00384E54">
      <w:pPr>
        <w:pStyle w:val="P00"/>
        <w:spacing w:before="72"/>
        <w:ind w:left="0" w:right="1134"/>
        <w:jc w:val="center"/>
        <w:rPr>
          <w:rStyle w:val="default"/>
          <w:rFonts w:cs="David"/>
          <w:color w:val="0000FF"/>
          <w:szCs w:val="24"/>
          <w:u w:val="single"/>
          <w:rtl/>
        </w:rPr>
      </w:pPr>
    </w:p>
    <w:sectPr w:rsidR="003D1447" w:rsidRPr="00384E54">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5C605" w14:textId="77777777" w:rsidR="00057167" w:rsidRDefault="00057167">
      <w:r>
        <w:separator/>
      </w:r>
    </w:p>
  </w:endnote>
  <w:endnote w:type="continuationSeparator" w:id="0">
    <w:p w14:paraId="237F60D7" w14:textId="77777777" w:rsidR="00057167" w:rsidRDefault="0005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C6E4" w14:textId="77777777" w:rsidR="00713F8B" w:rsidRDefault="00713F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718E016" w14:textId="77777777" w:rsidR="00713F8B" w:rsidRDefault="00713F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0597BDE" w14:textId="77777777" w:rsidR="00713F8B" w:rsidRDefault="00713F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1447">
      <w:rPr>
        <w:rFonts w:cs="TopType Jerushalmi"/>
        <w:noProof/>
        <w:color w:val="000000"/>
        <w:sz w:val="14"/>
        <w:szCs w:val="14"/>
      </w:rPr>
      <w:t>D:\Yael\hakika\Revadim</w:t>
    </w:r>
    <w:r w:rsidR="003D1447" w:rsidRPr="003D1447">
      <w:rPr>
        <w:rFonts w:cs="TopType Jerushalmi"/>
        <w:noProof/>
        <w:color w:val="000000"/>
        <w:sz w:val="14"/>
        <w:szCs w:val="14"/>
        <w:rtl/>
      </w:rPr>
      <w:t>\קישורים\999_140.</w:t>
    </w:r>
    <w:r w:rsidR="003D1447">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DEA8" w14:textId="77777777" w:rsidR="00713F8B" w:rsidRDefault="00713F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80B3B">
      <w:rPr>
        <w:rFonts w:hAnsi="FrankRuehl" w:cs="FrankRuehl"/>
        <w:noProof/>
        <w:sz w:val="24"/>
        <w:szCs w:val="24"/>
        <w:rtl/>
      </w:rPr>
      <w:t>6</w:t>
    </w:r>
    <w:r>
      <w:rPr>
        <w:rFonts w:hAnsi="FrankRuehl" w:cs="FrankRuehl"/>
        <w:sz w:val="24"/>
        <w:szCs w:val="24"/>
        <w:rtl/>
      </w:rPr>
      <w:fldChar w:fldCharType="end"/>
    </w:r>
  </w:p>
  <w:p w14:paraId="7C6495CA" w14:textId="77777777" w:rsidR="00713F8B" w:rsidRDefault="00713F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D36084" w14:textId="77777777" w:rsidR="00713F8B" w:rsidRDefault="00713F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1447">
      <w:rPr>
        <w:rFonts w:cs="TopType Jerushalmi"/>
        <w:noProof/>
        <w:color w:val="000000"/>
        <w:sz w:val="14"/>
        <w:szCs w:val="14"/>
      </w:rPr>
      <w:t>D:\Yael\hakika\Revadim</w:t>
    </w:r>
    <w:r w:rsidR="003D1447" w:rsidRPr="003D1447">
      <w:rPr>
        <w:rFonts w:cs="TopType Jerushalmi"/>
        <w:noProof/>
        <w:color w:val="000000"/>
        <w:sz w:val="14"/>
        <w:szCs w:val="14"/>
        <w:rtl/>
      </w:rPr>
      <w:t>\קישורים\999_140.</w:t>
    </w:r>
    <w:r w:rsidR="003D1447">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C437" w14:textId="77777777" w:rsidR="00057167" w:rsidRDefault="00057167" w:rsidP="003D1447">
      <w:pPr>
        <w:spacing w:before="60" w:line="240" w:lineRule="auto"/>
        <w:ind w:right="1134"/>
      </w:pPr>
      <w:r>
        <w:separator/>
      </w:r>
    </w:p>
  </w:footnote>
  <w:footnote w:type="continuationSeparator" w:id="0">
    <w:p w14:paraId="7295F3B1" w14:textId="77777777" w:rsidR="00057167" w:rsidRDefault="00057167">
      <w:r>
        <w:continuationSeparator/>
      </w:r>
    </w:p>
  </w:footnote>
  <w:footnote w:id="1">
    <w:p w14:paraId="067CE00A" w14:textId="77777777" w:rsidR="00287841" w:rsidRDefault="00287841" w:rsidP="00287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פורסמה </w:t>
      </w:r>
      <w:hyperlink r:id="rId1" w:history="1">
        <w:r w:rsidRPr="00F036BC">
          <w:rPr>
            <w:rStyle w:val="Hyperlink"/>
            <w:rFonts w:cs="FrankRuehl" w:hint="cs"/>
            <w:rtl/>
          </w:rPr>
          <w:t>י"פ תשס"ג מס' 5147</w:t>
        </w:r>
      </w:hyperlink>
      <w:r>
        <w:rPr>
          <w:rFonts w:cs="FrankRuehl" w:hint="cs"/>
          <w:rtl/>
        </w:rPr>
        <w:t xml:space="preserve"> מיום 16.1.2003 עמ' 1136.</w:t>
      </w:r>
    </w:p>
    <w:p w14:paraId="7FABA46A" w14:textId="77777777" w:rsidR="00287841" w:rsidRDefault="00287841" w:rsidP="00287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תוקנה </w:t>
      </w:r>
      <w:hyperlink r:id="rId2" w:history="1">
        <w:r w:rsidRPr="00E3365F">
          <w:rPr>
            <w:rStyle w:val="Hyperlink"/>
            <w:rFonts w:cs="FrankRuehl" w:hint="cs"/>
            <w:rtl/>
          </w:rPr>
          <w:t>י"פ תשע"ג מס' 6631</w:t>
        </w:r>
      </w:hyperlink>
      <w:r>
        <w:rPr>
          <w:rFonts w:cs="FrankRuehl" w:hint="cs"/>
          <w:rtl/>
        </w:rPr>
        <w:t xml:space="preserve"> מיום 21.7.2013 עמ' 6936 </w:t>
      </w:r>
      <w:r>
        <w:rPr>
          <w:rFonts w:cs="FrankRuehl"/>
          <w:rtl/>
        </w:rPr>
        <w:t>–</w:t>
      </w:r>
      <w:r>
        <w:rPr>
          <w:rFonts w:cs="FrankRuehl" w:hint="cs"/>
          <w:rtl/>
        </w:rPr>
        <w:t xml:space="preserve"> הודעה תשע"ג-2013; תחילתה ביום 1.1.2013.</w:t>
      </w:r>
    </w:p>
    <w:p w14:paraId="76CF6CF7" w14:textId="77777777" w:rsidR="008E7691" w:rsidRDefault="00D73F90" w:rsidP="008E76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287841" w:rsidRPr="00D73F90">
          <w:rPr>
            <w:rStyle w:val="Hyperlink"/>
            <w:rFonts w:cs="FrankRuehl" w:hint="cs"/>
            <w:rtl/>
          </w:rPr>
          <w:t>י"פ תשע"ה מס' 7016</w:t>
        </w:r>
      </w:hyperlink>
      <w:r w:rsidR="00287841">
        <w:rPr>
          <w:rFonts w:cs="FrankRuehl" w:hint="cs"/>
          <w:rtl/>
        </w:rPr>
        <w:t xml:space="preserve"> מיום 1.4.2015 עמ' 4621 </w:t>
      </w:r>
      <w:r w:rsidR="00287841">
        <w:rPr>
          <w:rFonts w:cs="FrankRuehl"/>
          <w:rtl/>
        </w:rPr>
        <w:t>–</w:t>
      </w:r>
      <w:r w:rsidR="00287841">
        <w:rPr>
          <w:rFonts w:cs="FrankRuehl" w:hint="cs"/>
          <w:rtl/>
        </w:rPr>
        <w:t xml:space="preserve"> הודעה תשע"ה-2015; תחילתה ביום 1.1.2015.</w:t>
      </w:r>
    </w:p>
    <w:p w14:paraId="0E9446AE" w14:textId="77777777" w:rsidR="001E588A" w:rsidRDefault="001E588A" w:rsidP="001E5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8E7691" w:rsidRPr="001E588A">
          <w:rPr>
            <w:rStyle w:val="Hyperlink"/>
            <w:rFonts w:cs="FrankRuehl" w:hint="cs"/>
            <w:rtl/>
          </w:rPr>
          <w:t>י"פ תשע"ו מס' 7246</w:t>
        </w:r>
      </w:hyperlink>
      <w:r w:rsidR="008E7691">
        <w:rPr>
          <w:rFonts w:cs="FrankRuehl" w:hint="cs"/>
          <w:rtl/>
        </w:rPr>
        <w:t xml:space="preserve"> מיום 10.4.2016 עמ' 5128 </w:t>
      </w:r>
      <w:r w:rsidR="008E7691">
        <w:rPr>
          <w:rFonts w:cs="FrankRuehl"/>
          <w:rtl/>
        </w:rPr>
        <w:t>–</w:t>
      </w:r>
      <w:r w:rsidR="008E7691">
        <w:rPr>
          <w:rFonts w:cs="FrankRuehl" w:hint="cs"/>
          <w:rtl/>
        </w:rPr>
        <w:t xml:space="preserve"> הודעה תשע"ו-2016; תחילתה ביום 1.1.2016.</w:t>
      </w:r>
    </w:p>
    <w:p w14:paraId="696839EE" w14:textId="77777777" w:rsidR="007F687C" w:rsidRDefault="007F687C" w:rsidP="007F68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3F0CB5" w:rsidRPr="007F687C">
          <w:rPr>
            <w:rStyle w:val="Hyperlink"/>
            <w:rFonts w:cs="FrankRuehl" w:hint="cs"/>
            <w:rtl/>
          </w:rPr>
          <w:t>י"פ תשע"ז מס' 7519</w:t>
        </w:r>
      </w:hyperlink>
      <w:r w:rsidR="003F0CB5">
        <w:rPr>
          <w:rFonts w:cs="FrankRuehl" w:hint="cs"/>
          <w:rtl/>
        </w:rPr>
        <w:t xml:space="preserve"> מיום 7.6.2017 עמ' 6536 </w:t>
      </w:r>
      <w:r w:rsidR="003F0CB5">
        <w:rPr>
          <w:rFonts w:cs="FrankRuehl"/>
          <w:rtl/>
        </w:rPr>
        <w:t>–</w:t>
      </w:r>
      <w:r w:rsidR="003F0CB5">
        <w:rPr>
          <w:rFonts w:cs="FrankRuehl" w:hint="cs"/>
          <w:rtl/>
        </w:rPr>
        <w:t xml:space="preserve"> הודעה תשע"ז-2017; תחילתה ביום 1.1.2017.</w:t>
      </w:r>
    </w:p>
    <w:p w14:paraId="5E834C8E" w14:textId="77777777" w:rsidR="00AB5BDA" w:rsidRDefault="00AB5BDA" w:rsidP="00AB5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EC1DCC" w:rsidRPr="00AB5BDA">
          <w:rPr>
            <w:rStyle w:val="Hyperlink"/>
            <w:rFonts w:cs="FrankRuehl" w:hint="cs"/>
            <w:rtl/>
          </w:rPr>
          <w:t>י"פ תשע"ט מס' 8217</w:t>
        </w:r>
      </w:hyperlink>
      <w:r w:rsidR="00EC1DCC">
        <w:rPr>
          <w:rFonts w:cs="FrankRuehl" w:hint="cs"/>
          <w:rtl/>
        </w:rPr>
        <w:t xml:space="preserve"> מיום 1.5.2019 עמ' 10310 </w:t>
      </w:r>
      <w:r w:rsidR="00EC1DCC">
        <w:rPr>
          <w:rFonts w:cs="FrankRuehl"/>
          <w:rtl/>
        </w:rPr>
        <w:t>–</w:t>
      </w:r>
      <w:r w:rsidR="00EC1DCC">
        <w:rPr>
          <w:rFonts w:cs="FrankRuehl" w:hint="cs"/>
          <w:rtl/>
        </w:rPr>
        <w:t xml:space="preserve"> הודעה תשע"ט-2019; תחילתה ביום 1.1.2019.</w:t>
      </w:r>
    </w:p>
    <w:p w14:paraId="6E1CCF68" w14:textId="77777777" w:rsidR="00083A7E" w:rsidRDefault="00083A7E" w:rsidP="00083A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116E0B" w:rsidRPr="00083A7E">
          <w:rPr>
            <w:rStyle w:val="Hyperlink"/>
            <w:rFonts w:cs="FrankRuehl" w:hint="cs"/>
            <w:rtl/>
          </w:rPr>
          <w:t>י"פ תש"ף מס' 8827</w:t>
        </w:r>
      </w:hyperlink>
      <w:r w:rsidR="00116E0B">
        <w:rPr>
          <w:rFonts w:cs="FrankRuehl" w:hint="cs"/>
          <w:rtl/>
        </w:rPr>
        <w:t xml:space="preserve"> מיום 27.4.2020 עמ' 5604 </w:t>
      </w:r>
      <w:r w:rsidR="00116E0B">
        <w:rPr>
          <w:rFonts w:cs="FrankRuehl"/>
          <w:rtl/>
        </w:rPr>
        <w:t>–</w:t>
      </w:r>
      <w:r w:rsidR="00116E0B">
        <w:rPr>
          <w:rFonts w:cs="FrankRuehl" w:hint="cs"/>
          <w:rtl/>
        </w:rPr>
        <w:t xml:space="preserve"> הודעה תש"ף-2020; תחילתה ביום 1.1.2020.</w:t>
      </w:r>
    </w:p>
    <w:p w14:paraId="624DB13B" w14:textId="77777777" w:rsidR="006E0445" w:rsidRDefault="006E0445" w:rsidP="006E04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D90D6B" w:rsidRPr="006E0445">
          <w:rPr>
            <w:rStyle w:val="Hyperlink"/>
            <w:rFonts w:cs="FrankRuehl" w:hint="cs"/>
            <w:rtl/>
          </w:rPr>
          <w:t>י"פ תשפ"א מס' 9498</w:t>
        </w:r>
      </w:hyperlink>
      <w:r w:rsidR="00D90D6B">
        <w:rPr>
          <w:rFonts w:cs="FrankRuehl" w:hint="cs"/>
          <w:rtl/>
        </w:rPr>
        <w:t xml:space="preserve"> מיום 22.3.2021 עמ' 4522 </w:t>
      </w:r>
      <w:r w:rsidR="00D90D6B">
        <w:rPr>
          <w:rFonts w:cs="FrankRuehl"/>
          <w:rtl/>
        </w:rPr>
        <w:t>–</w:t>
      </w:r>
      <w:r w:rsidR="00D90D6B">
        <w:rPr>
          <w:rFonts w:cs="FrankRuehl" w:hint="cs"/>
          <w:rtl/>
        </w:rPr>
        <w:t xml:space="preserve"> הודעה תשפ"א-2021; תחילתה ביום 1.1.2021.</w:t>
      </w:r>
    </w:p>
    <w:p w14:paraId="5995065D" w14:textId="77777777" w:rsidR="00240294" w:rsidRDefault="00240294" w:rsidP="002402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D617B7" w:rsidRPr="00240294">
          <w:rPr>
            <w:rStyle w:val="Hyperlink"/>
            <w:rFonts w:cs="FrankRuehl" w:hint="cs"/>
            <w:rtl/>
          </w:rPr>
          <w:t>י"פ תשפ"ב מס' 10493</w:t>
        </w:r>
      </w:hyperlink>
      <w:r w:rsidR="00D617B7">
        <w:rPr>
          <w:rFonts w:cs="FrankRuehl" w:hint="cs"/>
          <w:rtl/>
        </w:rPr>
        <w:t xml:space="preserve"> מיום 3.5.2022 עמ' 7978 </w:t>
      </w:r>
      <w:r w:rsidR="00D617B7">
        <w:rPr>
          <w:rFonts w:cs="FrankRuehl"/>
          <w:rtl/>
        </w:rPr>
        <w:t>–</w:t>
      </w:r>
      <w:r w:rsidR="00D617B7">
        <w:rPr>
          <w:rFonts w:cs="FrankRuehl" w:hint="cs"/>
          <w:rtl/>
        </w:rPr>
        <w:t xml:space="preserve"> הודעה תשפ"ב-2022; תחילתה ביום </w:t>
      </w:r>
      <w:r w:rsidR="00AA424E">
        <w:rPr>
          <w:rFonts w:cs="FrankRuehl" w:hint="cs"/>
          <w:rtl/>
        </w:rPr>
        <w:t>1.1.2022.</w:t>
      </w:r>
    </w:p>
    <w:p w14:paraId="45220722" w14:textId="77777777" w:rsidR="00E80B3B" w:rsidRDefault="00E80B3B" w:rsidP="00E80B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444C64" w:rsidRPr="00E80B3B">
          <w:rPr>
            <w:rStyle w:val="Hyperlink"/>
            <w:rFonts w:cs="FrankRuehl" w:hint="cs"/>
            <w:rtl/>
          </w:rPr>
          <w:t>י"פ תשפ"ג מס' 11343</w:t>
        </w:r>
      </w:hyperlink>
      <w:r w:rsidR="00444C64">
        <w:rPr>
          <w:rFonts w:cs="FrankRuehl" w:hint="cs"/>
          <w:rtl/>
        </w:rPr>
        <w:t xml:space="preserve"> מיום 15.5.2023 עמ' 6186 </w:t>
      </w:r>
      <w:r w:rsidR="00444C64">
        <w:rPr>
          <w:rFonts w:cs="FrankRuehl"/>
          <w:rtl/>
        </w:rPr>
        <w:t>–</w:t>
      </w:r>
      <w:r w:rsidR="00444C64">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821F5" w14:textId="77777777" w:rsidR="00713F8B" w:rsidRDefault="00713F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בדבר קביעת משרות שלא תחול עליהן חובת מכרז, תשס"א–2001</w:t>
    </w:r>
  </w:p>
  <w:p w14:paraId="51BB7F75" w14:textId="77777777" w:rsidR="00713F8B" w:rsidRDefault="00713F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1581F9" w14:textId="77777777" w:rsidR="00713F8B" w:rsidRDefault="00713F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99E4" w14:textId="77777777" w:rsidR="00713F8B" w:rsidRDefault="00713F8B">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הודעה בדבר </w:t>
    </w:r>
    <w:r>
      <w:rPr>
        <w:rFonts w:hAnsi="FrankRuehl" w:cs="FrankRuehl" w:hint="cs"/>
        <w:color w:val="000000"/>
        <w:sz w:val="28"/>
        <w:szCs w:val="28"/>
        <w:rtl/>
      </w:rPr>
      <w:t>כללים למניעת ניגוד ענינים של שרים וסגני שרים, תשס"ג-2003</w:t>
    </w:r>
  </w:p>
  <w:p w14:paraId="3EE37D32" w14:textId="77777777" w:rsidR="00713F8B" w:rsidRDefault="00713F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46B7F0" w14:textId="77777777" w:rsidR="00713F8B" w:rsidRDefault="00713F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36BC"/>
    <w:rsid w:val="00057167"/>
    <w:rsid w:val="00083A7E"/>
    <w:rsid w:val="00116E0B"/>
    <w:rsid w:val="001569AE"/>
    <w:rsid w:val="001E588A"/>
    <w:rsid w:val="001F0F19"/>
    <w:rsid w:val="00232F3E"/>
    <w:rsid w:val="00240294"/>
    <w:rsid w:val="00275068"/>
    <w:rsid w:val="00287841"/>
    <w:rsid w:val="002E501C"/>
    <w:rsid w:val="00346C24"/>
    <w:rsid w:val="00384E54"/>
    <w:rsid w:val="003D1447"/>
    <w:rsid w:val="003F0CB5"/>
    <w:rsid w:val="003F1524"/>
    <w:rsid w:val="00444C64"/>
    <w:rsid w:val="004C1C67"/>
    <w:rsid w:val="006531DA"/>
    <w:rsid w:val="006E0445"/>
    <w:rsid w:val="00713F8B"/>
    <w:rsid w:val="007F687C"/>
    <w:rsid w:val="008543E5"/>
    <w:rsid w:val="008E7691"/>
    <w:rsid w:val="009517E8"/>
    <w:rsid w:val="009656AD"/>
    <w:rsid w:val="009C12B8"/>
    <w:rsid w:val="00A1635E"/>
    <w:rsid w:val="00AA424E"/>
    <w:rsid w:val="00AB5BDA"/>
    <w:rsid w:val="00AD728D"/>
    <w:rsid w:val="00B03F88"/>
    <w:rsid w:val="00B347ED"/>
    <w:rsid w:val="00C100EA"/>
    <w:rsid w:val="00C10270"/>
    <w:rsid w:val="00C62CED"/>
    <w:rsid w:val="00D617B7"/>
    <w:rsid w:val="00D73F90"/>
    <w:rsid w:val="00D821EF"/>
    <w:rsid w:val="00D90D6B"/>
    <w:rsid w:val="00E17BC2"/>
    <w:rsid w:val="00E3365F"/>
    <w:rsid w:val="00E80B3B"/>
    <w:rsid w:val="00E84F87"/>
    <w:rsid w:val="00EC1DCC"/>
    <w:rsid w:val="00F036BC"/>
    <w:rsid w:val="00F705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693B492"/>
  <w15:chartTrackingRefBased/>
  <w15:docId w15:val="{3487592B-85BF-49A5-9EA1-3029125F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Hyperlink">
    <w:name w:val="Hyperlink"/>
    <w:rsid w:val="00F036BC"/>
    <w:rPr>
      <w:color w:val="0000FF"/>
      <w:u w:val="single"/>
    </w:rPr>
  </w:style>
  <w:style w:type="character" w:customStyle="1" w:styleId="UnresolvedMention">
    <w:name w:val="Unresolved Mention"/>
    <w:uiPriority w:val="99"/>
    <w:semiHidden/>
    <w:unhideWhenUsed/>
    <w:rsid w:val="00EC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0/yalkut-7246.pdf" TargetMode="External"/><Relationship Id="rId13" Type="http://schemas.openxmlformats.org/officeDocument/2006/relationships/hyperlink" Target="https://www.nevo.co.il/law_word/law10/yalkut-10493.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10/yalkut-7016.pdf" TargetMode="External"/><Relationship Id="rId12" Type="http://schemas.openxmlformats.org/officeDocument/2006/relationships/hyperlink" Target="https://www.nevo.co.il/law_word/law10/yalkut-9498.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0/yalkut-6631.pdf" TargetMode="External"/><Relationship Id="rId11" Type="http://schemas.openxmlformats.org/officeDocument/2006/relationships/hyperlink" Target="https://www.nevo.co.il/law_word/law10/yalkut-8827.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s://www.nevo.co.il/law_word/law10/yalkut-8217.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0/yalkut-7519.pdf" TargetMode="External"/><Relationship Id="rId14" Type="http://schemas.openxmlformats.org/officeDocument/2006/relationships/hyperlink" Target="https://www.nevo.co.il/law_html/law10/yalkut-1134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0/yalkut-9498.pdf" TargetMode="External"/><Relationship Id="rId3" Type="http://schemas.openxmlformats.org/officeDocument/2006/relationships/hyperlink" Target="http://www.nevo.co.il/Law_word/law10/yalkut-7016.pdf" TargetMode="External"/><Relationship Id="rId7" Type="http://schemas.openxmlformats.org/officeDocument/2006/relationships/hyperlink" Target="https://www.nevo.co.il/law_word/law10/yalkut-8827.pdf" TargetMode="External"/><Relationship Id="rId2" Type="http://schemas.openxmlformats.org/officeDocument/2006/relationships/hyperlink" Target="http://www.nevo.co.il/Law_word/law10/yalkut-6631.pdf" TargetMode="External"/><Relationship Id="rId1" Type="http://schemas.openxmlformats.org/officeDocument/2006/relationships/hyperlink" Target="http://www.nevo.co.il/Law_word/law10/YALKUT-5147.pdf" TargetMode="External"/><Relationship Id="rId6" Type="http://schemas.openxmlformats.org/officeDocument/2006/relationships/hyperlink" Target="http://www.nevo.co.il/Law_word/law10/yalkut-8217.pdf" TargetMode="External"/><Relationship Id="rId5" Type="http://schemas.openxmlformats.org/officeDocument/2006/relationships/hyperlink" Target="http://www.nevo.co.il/Law_word/law10/yalkut-7519.pdf" TargetMode="External"/><Relationship Id="rId10" Type="http://schemas.openxmlformats.org/officeDocument/2006/relationships/hyperlink" Target="http://www.nevo.co.il/Law_word/law10/yalkut-11343.pdf" TargetMode="External"/><Relationship Id="rId4" Type="http://schemas.openxmlformats.org/officeDocument/2006/relationships/hyperlink" Target="http://www.nevo.co.il/Law_word/law10/yalkut-7246.pdf" TargetMode="External"/><Relationship Id="rId9" Type="http://schemas.openxmlformats.org/officeDocument/2006/relationships/hyperlink" Target="https://www.nevo.co.il/law_word/law10/yalkut-104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18427</CharactersWithSpaces>
  <SharedDoc>false</SharedDoc>
  <HLinks>
    <vt:vector size="264" baseType="variant">
      <vt:variant>
        <vt:i4>393283</vt:i4>
      </vt:variant>
      <vt:variant>
        <vt:i4>171</vt:i4>
      </vt:variant>
      <vt:variant>
        <vt:i4>0</vt:i4>
      </vt:variant>
      <vt:variant>
        <vt:i4>5</vt:i4>
      </vt:variant>
      <vt:variant>
        <vt:lpwstr>http://www.nevo.co.il/advertisements/nevo-100.doc</vt:lpwstr>
      </vt:variant>
      <vt:variant>
        <vt:lpwstr/>
      </vt:variant>
      <vt:variant>
        <vt:i4>7602256</vt:i4>
      </vt:variant>
      <vt:variant>
        <vt:i4>168</vt:i4>
      </vt:variant>
      <vt:variant>
        <vt:i4>0</vt:i4>
      </vt:variant>
      <vt:variant>
        <vt:i4>5</vt:i4>
      </vt:variant>
      <vt:variant>
        <vt:lpwstr>https://www.nevo.co.il/law_html/law10/yalkut-11343.pdf</vt:lpwstr>
      </vt:variant>
      <vt:variant>
        <vt:lpwstr/>
      </vt:variant>
      <vt:variant>
        <vt:i4>7536719</vt:i4>
      </vt:variant>
      <vt:variant>
        <vt:i4>165</vt:i4>
      </vt:variant>
      <vt:variant>
        <vt:i4>0</vt:i4>
      </vt:variant>
      <vt:variant>
        <vt:i4>5</vt:i4>
      </vt:variant>
      <vt:variant>
        <vt:lpwstr>https://www.nevo.co.il/law_word/law10/yalkut-10493.pdf</vt:lpwstr>
      </vt:variant>
      <vt:variant>
        <vt:lpwstr/>
      </vt:variant>
      <vt:variant>
        <vt:i4>1638512</vt:i4>
      </vt:variant>
      <vt:variant>
        <vt:i4>162</vt:i4>
      </vt:variant>
      <vt:variant>
        <vt:i4>0</vt:i4>
      </vt:variant>
      <vt:variant>
        <vt:i4>5</vt:i4>
      </vt:variant>
      <vt:variant>
        <vt:lpwstr>https://www.nevo.co.il/law_word/law10/yalkut-9498.pdf</vt:lpwstr>
      </vt:variant>
      <vt:variant>
        <vt:lpwstr/>
      </vt:variant>
      <vt:variant>
        <vt:i4>1245299</vt:i4>
      </vt:variant>
      <vt:variant>
        <vt:i4>159</vt:i4>
      </vt:variant>
      <vt:variant>
        <vt:i4>0</vt:i4>
      </vt:variant>
      <vt:variant>
        <vt:i4>5</vt:i4>
      </vt:variant>
      <vt:variant>
        <vt:lpwstr>https://www.nevo.co.il/law_word/law10/yalkut-8827.pdf</vt:lpwstr>
      </vt:variant>
      <vt:variant>
        <vt:lpwstr/>
      </vt:variant>
      <vt:variant>
        <vt:i4>1048697</vt:i4>
      </vt:variant>
      <vt:variant>
        <vt:i4>156</vt:i4>
      </vt:variant>
      <vt:variant>
        <vt:i4>0</vt:i4>
      </vt:variant>
      <vt:variant>
        <vt:i4>5</vt:i4>
      </vt:variant>
      <vt:variant>
        <vt:lpwstr>https://www.nevo.co.il/law_word/law10/yalkut-8217.pdf</vt:lpwstr>
      </vt:variant>
      <vt:variant>
        <vt:lpwstr/>
      </vt:variant>
      <vt:variant>
        <vt:i4>8192007</vt:i4>
      </vt:variant>
      <vt:variant>
        <vt:i4>153</vt:i4>
      </vt:variant>
      <vt:variant>
        <vt:i4>0</vt:i4>
      </vt:variant>
      <vt:variant>
        <vt:i4>5</vt:i4>
      </vt:variant>
      <vt:variant>
        <vt:lpwstr>http://www.nevo.co.il/Law_word/law10/yalkut-7519.pdf</vt:lpwstr>
      </vt:variant>
      <vt:variant>
        <vt:lpwstr/>
      </vt:variant>
      <vt:variant>
        <vt:i4>7667714</vt:i4>
      </vt:variant>
      <vt:variant>
        <vt:i4>150</vt:i4>
      </vt:variant>
      <vt:variant>
        <vt:i4>0</vt:i4>
      </vt:variant>
      <vt:variant>
        <vt:i4>5</vt:i4>
      </vt:variant>
      <vt:variant>
        <vt:lpwstr>http://www.nevo.co.il/Law_word/law10/yalkut-7246.pdf</vt:lpwstr>
      </vt:variant>
      <vt:variant>
        <vt:lpwstr/>
      </vt:variant>
      <vt:variant>
        <vt:i4>7798791</vt:i4>
      </vt:variant>
      <vt:variant>
        <vt:i4>147</vt:i4>
      </vt:variant>
      <vt:variant>
        <vt:i4>0</vt:i4>
      </vt:variant>
      <vt:variant>
        <vt:i4>5</vt:i4>
      </vt:variant>
      <vt:variant>
        <vt:lpwstr>http://www.nevo.co.il/Law_word/law10/yalkut-7016.pdf</vt:lpwstr>
      </vt:variant>
      <vt:variant>
        <vt:lpwstr/>
      </vt:variant>
      <vt:variant>
        <vt:i4>7733252</vt:i4>
      </vt:variant>
      <vt:variant>
        <vt:i4>144</vt:i4>
      </vt:variant>
      <vt:variant>
        <vt:i4>0</vt:i4>
      </vt:variant>
      <vt:variant>
        <vt:i4>5</vt:i4>
      </vt:variant>
      <vt:variant>
        <vt:lpwstr>http://www.nevo.co.il/Law_word/law10/yalkut-6631.pdf</vt:lpwstr>
      </vt:variant>
      <vt:variant>
        <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2621450</vt:i4>
      </vt:variant>
      <vt:variant>
        <vt:i4>27</vt:i4>
      </vt:variant>
      <vt:variant>
        <vt:i4>0</vt:i4>
      </vt:variant>
      <vt:variant>
        <vt:i4>5</vt:i4>
      </vt:variant>
      <vt:variant>
        <vt:lpwstr>http://www.nevo.co.il/Law_word/law10/yalkut-11343.pdf</vt:lpwstr>
      </vt:variant>
      <vt:variant>
        <vt:lpwstr/>
      </vt:variant>
      <vt:variant>
        <vt:i4>7536719</vt:i4>
      </vt:variant>
      <vt:variant>
        <vt:i4>24</vt:i4>
      </vt:variant>
      <vt:variant>
        <vt:i4>0</vt:i4>
      </vt:variant>
      <vt:variant>
        <vt:i4>5</vt:i4>
      </vt:variant>
      <vt:variant>
        <vt:lpwstr>https://www.nevo.co.il/law_word/law10/yalkut-10493.pdf</vt:lpwstr>
      </vt:variant>
      <vt:variant>
        <vt:lpwstr/>
      </vt:variant>
      <vt:variant>
        <vt:i4>1638512</vt:i4>
      </vt:variant>
      <vt:variant>
        <vt:i4>21</vt:i4>
      </vt:variant>
      <vt:variant>
        <vt:i4>0</vt:i4>
      </vt:variant>
      <vt:variant>
        <vt:i4>5</vt:i4>
      </vt:variant>
      <vt:variant>
        <vt:lpwstr>https://www.nevo.co.il/law_word/law10/yalkut-9498.pdf</vt:lpwstr>
      </vt:variant>
      <vt:variant>
        <vt:lpwstr/>
      </vt:variant>
      <vt:variant>
        <vt:i4>1245299</vt:i4>
      </vt:variant>
      <vt:variant>
        <vt:i4>18</vt:i4>
      </vt:variant>
      <vt:variant>
        <vt:i4>0</vt:i4>
      </vt:variant>
      <vt:variant>
        <vt:i4>5</vt:i4>
      </vt:variant>
      <vt:variant>
        <vt:lpwstr>https://www.nevo.co.il/law_word/law10/yalkut-8827.pdf</vt:lpwstr>
      </vt:variant>
      <vt:variant>
        <vt:lpwstr/>
      </vt:variant>
      <vt:variant>
        <vt:i4>7602184</vt:i4>
      </vt:variant>
      <vt:variant>
        <vt:i4>15</vt:i4>
      </vt:variant>
      <vt:variant>
        <vt:i4>0</vt:i4>
      </vt:variant>
      <vt:variant>
        <vt:i4>5</vt:i4>
      </vt:variant>
      <vt:variant>
        <vt:lpwstr>http://www.nevo.co.il/Law_word/law10/yalkut-8217.pdf</vt:lpwstr>
      </vt:variant>
      <vt:variant>
        <vt:lpwstr/>
      </vt:variant>
      <vt:variant>
        <vt:i4>8192007</vt:i4>
      </vt:variant>
      <vt:variant>
        <vt:i4>12</vt:i4>
      </vt:variant>
      <vt:variant>
        <vt:i4>0</vt:i4>
      </vt:variant>
      <vt:variant>
        <vt:i4>5</vt:i4>
      </vt:variant>
      <vt:variant>
        <vt:lpwstr>http://www.nevo.co.il/Law_word/law10/yalkut-7519.pdf</vt:lpwstr>
      </vt:variant>
      <vt:variant>
        <vt:lpwstr/>
      </vt:variant>
      <vt:variant>
        <vt:i4>7667714</vt:i4>
      </vt:variant>
      <vt:variant>
        <vt:i4>9</vt:i4>
      </vt:variant>
      <vt:variant>
        <vt:i4>0</vt:i4>
      </vt:variant>
      <vt:variant>
        <vt:i4>5</vt:i4>
      </vt:variant>
      <vt:variant>
        <vt:lpwstr>http://www.nevo.co.il/Law_word/law10/yalkut-7246.pdf</vt:lpwstr>
      </vt:variant>
      <vt:variant>
        <vt:lpwstr/>
      </vt:variant>
      <vt:variant>
        <vt:i4>7798791</vt:i4>
      </vt:variant>
      <vt:variant>
        <vt:i4>6</vt:i4>
      </vt:variant>
      <vt:variant>
        <vt:i4>0</vt:i4>
      </vt:variant>
      <vt:variant>
        <vt:i4>5</vt:i4>
      </vt:variant>
      <vt:variant>
        <vt:lpwstr>http://www.nevo.co.il/Law_word/law10/yalkut-7016.pdf</vt:lpwstr>
      </vt:variant>
      <vt:variant>
        <vt:lpwstr/>
      </vt:variant>
      <vt:variant>
        <vt:i4>7733252</vt:i4>
      </vt:variant>
      <vt:variant>
        <vt:i4>3</vt:i4>
      </vt:variant>
      <vt:variant>
        <vt:i4>0</vt:i4>
      </vt:variant>
      <vt:variant>
        <vt:i4>5</vt:i4>
      </vt:variant>
      <vt:variant>
        <vt:lpwstr>http://www.nevo.co.il/Law_word/law10/yalkut-6631.pdf</vt:lpwstr>
      </vt:variant>
      <vt:variant>
        <vt:lpwstr/>
      </vt:variant>
      <vt:variant>
        <vt:i4>7798784</vt:i4>
      </vt:variant>
      <vt:variant>
        <vt:i4>0</vt:i4>
      </vt:variant>
      <vt:variant>
        <vt:i4>0</vt:i4>
      </vt:variant>
      <vt:variant>
        <vt:i4>5</vt:i4>
      </vt:variant>
      <vt:variant>
        <vt:lpwstr>http://www.nevo.co.il/Law_word/law10/YALKUT-5147.pdf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שירות המדינה</vt:lpwstr>
  </property>
  <property fmtid="{D5CDD505-2E9C-101B-9397-08002B2CF9AE}" pid="4" name="LAWNAME">
    <vt:lpwstr>הודעה בדבר כללים למניעת ניגוד ענינים של שרים וסגני שרים, תשס"ג-2003</vt:lpwstr>
  </property>
  <property fmtid="{D5CDD505-2E9C-101B-9397-08002B2CF9AE}" pid="5" name="LAWNUMBER">
    <vt:lpwstr>0140</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ממשלה</vt:lpwstr>
  </property>
  <property fmtid="{D5CDD505-2E9C-101B-9397-08002B2CF9AE}" pid="9" name="NOSE31">
    <vt:lpwstr>שרים וסגני שרים</vt:lpwstr>
  </property>
  <property fmtid="{D5CDD505-2E9C-101B-9397-08002B2CF9AE}" pid="10" name="NOSE41">
    <vt:lpwstr>מניעת ניגודי עניינים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http://www.nevo.co.il/Law_word/law10/yalkut-6631.pdf;‎רשומות - ילקוט פרסומים#תוקנה י"פ תשע"ג ‏מס' 6631# מיום 21.7.2013 עמ' 6936 – הודעה תשע"ג-2013; תחילתה ביום 1.1.2013‏</vt:lpwstr>
  </property>
  <property fmtid="{D5CDD505-2E9C-101B-9397-08002B2CF9AE}" pid="49" name="LINKK2">
    <vt:lpwstr>http://www.nevo.co.il/Law_word/law10/yalkut-7016.pdf;‎רשומות - ילקוט פרסומים#י"פ תשע"ה מס' ‏‏7016 #מיום 1.4.2015 עמ' 4621 – הודעה תשע"ה-2015; תחילתה ביום 1.1.2015‏</vt:lpwstr>
  </property>
  <property fmtid="{D5CDD505-2E9C-101B-9397-08002B2CF9AE}" pid="50" name="LINKK3">
    <vt:lpwstr>http://www.nevo.co.il/Law_word/law10/yalkut-7246.pdf;‎רשומות - ילקוט פרסומים#י"פ תשע"ו מס' ‏‏7246 #מיום 10.4.2016 עמ' 5128 – הודעה תשע"ו-2016; תחילתה ביום 1.1.2016‏</vt:lpwstr>
  </property>
  <property fmtid="{D5CDD505-2E9C-101B-9397-08002B2CF9AE}" pid="51" name="LINKK4">
    <vt:lpwstr>http://www.nevo.co.il/Law_word/law10/yalkut-7519.pdf;‎רשומות - ילקוט פרסומים#י"פ תשע"ז מס' ‏‏7519 #מיום 7.6.2017 עמ' 6536 – הודעה תשע"ז-2017; תחילתה ביום 1.1.2017‏</vt:lpwstr>
  </property>
  <property fmtid="{D5CDD505-2E9C-101B-9397-08002B2CF9AE}" pid="52" name="LINKK5">
    <vt:lpwstr>http://www.nevo.co.il/Law_word/law10/yalkut-8217.pdf;‎רשומות - ילקוט פרסומים#י"פ תשע"ט מס' ‏‏8217 #מיום 1.5.2019 עמ' 10310 – הודעה תשע"ט-2019; תחילתה ביום 1.1.2019‏</vt:lpwstr>
  </property>
  <property fmtid="{D5CDD505-2E9C-101B-9397-08002B2CF9AE}" pid="53" name="LINKK6">
    <vt:lpwstr>https://www.nevo.co.il/law_word/law10/yalkut-8827.pdf‏;רשומות - ילקוט פרסומים#י"פ תש"ף מס' ‏‏8827 #מיום 27.4.2020 עמ' 5604 – הודעה תש"ף-2020; תחילתה ביום 1.1.2020‏</vt:lpwstr>
  </property>
  <property fmtid="{D5CDD505-2E9C-101B-9397-08002B2CF9AE}" pid="54" name="LINKK7">
    <vt:lpwstr>https://www.nevo.co.il/law_word/law10/yalkut-9498.pdf;‎רשומות - ילקוט פרסומים#י"פ תשפ"א מס' ‏‏9498 #מיום 22.3.2021 עמ' 4522 – הודעה תשפ"א-2021; תחילתה ביום 1.1.2021‏</vt:lpwstr>
  </property>
  <property fmtid="{D5CDD505-2E9C-101B-9397-08002B2CF9AE}" pid="55" name="LINKK8">
    <vt:lpwstr>https://www.nevo.co.il/law_word/law10/yalkut-10493.pdf;‎רשומות - ילקוט פרסומים#י"פ תשפ"ב מס' ‏‏10493 #מיום 3.5.2022 עמ' 7978 – הודעה תשפ"ב-2022; תחילתה ביום 1.1.2022‏</vt:lpwstr>
  </property>
  <property fmtid="{D5CDD505-2E9C-101B-9397-08002B2CF9AE}" pid="56" name="LINKK9">
    <vt:lpwstr>http://www.nevo.co.il/Law_word/law10/yalkut-11343.pdf;‎רשומות - ילקוט פרסומים#י"פ תשפ"ג מס' ‏‏11343#מיום 15.5.2023 עמ' 6186 – הודעה תשפ"ג-2023; תחילתה ביום 1.1.2023‏</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