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872D2" w14:textId="77777777" w:rsidR="00977747" w:rsidRDefault="00977747">
      <w:pPr>
        <w:pStyle w:val="big-header"/>
        <w:ind w:left="0" w:right="1134"/>
      </w:pPr>
      <w:r>
        <w:rPr>
          <w:rtl/>
        </w:rPr>
        <w:t>ה</w:t>
      </w:r>
      <w:r>
        <w:rPr>
          <w:rFonts w:hint="cs"/>
          <w:rtl/>
        </w:rPr>
        <w:t>ודעה בדבר סדרי הטיפול בבקשות להתיר פרסום של תשקיפים</w:t>
      </w:r>
      <w:r w:rsidR="00EC6D1A">
        <w:rPr>
          <w:rStyle w:val="a6"/>
          <w:rtl/>
        </w:rPr>
        <w:footnoteReference w:customMarkFollows="1" w:id="1"/>
        <w:t>*</w:t>
      </w:r>
    </w:p>
    <w:p w14:paraId="1A199D56" w14:textId="77777777" w:rsidR="00F04AEE" w:rsidRPr="00F04AEE" w:rsidRDefault="00F04AEE" w:rsidP="00F04AEE">
      <w:pPr>
        <w:spacing w:line="320" w:lineRule="auto"/>
        <w:jc w:val="left"/>
        <w:rPr>
          <w:rFonts w:cs="FrankRuehl"/>
          <w:szCs w:val="26"/>
          <w:rtl/>
        </w:rPr>
      </w:pPr>
    </w:p>
    <w:p w14:paraId="63B5A4D0" w14:textId="77777777" w:rsidR="00F04AEE" w:rsidRDefault="00F04AEE" w:rsidP="00F04AEE">
      <w:pPr>
        <w:spacing w:line="320" w:lineRule="auto"/>
        <w:jc w:val="left"/>
        <w:rPr>
          <w:rtl/>
        </w:rPr>
      </w:pPr>
    </w:p>
    <w:p w14:paraId="4A809EB9" w14:textId="77777777" w:rsidR="00F04AEE" w:rsidRDefault="00F04AEE" w:rsidP="00F04AEE">
      <w:pPr>
        <w:spacing w:line="320" w:lineRule="auto"/>
        <w:jc w:val="left"/>
        <w:rPr>
          <w:rFonts w:cs="FrankRuehl"/>
          <w:szCs w:val="26"/>
        </w:rPr>
      </w:pPr>
      <w:r w:rsidRPr="00F04AEE">
        <w:rPr>
          <w:rFonts w:cs="Miriam"/>
          <w:szCs w:val="22"/>
          <w:rtl/>
        </w:rPr>
        <w:t>משפט פרטי וכלכלה</w:t>
      </w:r>
      <w:r w:rsidRPr="00F04AEE">
        <w:rPr>
          <w:rFonts w:cs="FrankRuehl"/>
          <w:szCs w:val="26"/>
          <w:rtl/>
        </w:rPr>
        <w:t xml:space="preserve"> – תאגידים וניירות ערך – תשקיפים</w:t>
      </w:r>
    </w:p>
    <w:p w14:paraId="4355ECE8" w14:textId="77777777" w:rsidR="00F04AEE" w:rsidRDefault="00F04AEE" w:rsidP="00F04AEE">
      <w:pPr>
        <w:spacing w:line="320" w:lineRule="auto"/>
        <w:jc w:val="left"/>
        <w:rPr>
          <w:rFonts w:cs="FrankRuehl"/>
          <w:szCs w:val="26"/>
        </w:rPr>
      </w:pPr>
    </w:p>
    <w:p w14:paraId="526E67FB" w14:textId="77777777" w:rsidR="00F04AEE" w:rsidRPr="00F04AEE" w:rsidRDefault="00F04AEE" w:rsidP="00F04AEE">
      <w:pPr>
        <w:spacing w:line="320" w:lineRule="auto"/>
        <w:jc w:val="left"/>
        <w:rPr>
          <w:rFonts w:cs="Miriam"/>
          <w:szCs w:val="22"/>
          <w:rtl/>
        </w:rPr>
      </w:pPr>
    </w:p>
    <w:p w14:paraId="7097F101" w14:textId="77777777" w:rsidR="00977747" w:rsidRDefault="00977747" w:rsidP="00EC6D1A">
      <w:pPr>
        <w:pStyle w:val="medium-header"/>
        <w:keepNext w:val="0"/>
        <w:keepLines w:val="0"/>
        <w:ind w:left="0" w:right="1134"/>
        <w:rPr>
          <w:rStyle w:val="default"/>
          <w:rFonts w:cs="FrankRuehl" w:hint="cs"/>
          <w:rtl/>
        </w:rPr>
      </w:pPr>
      <w:r>
        <w:rPr>
          <w:rtl/>
        </w:rPr>
        <w:t>ל</w:t>
      </w:r>
      <w:r>
        <w:rPr>
          <w:rFonts w:hint="cs"/>
          <w:rtl/>
        </w:rPr>
        <w:t>פי חוק ניירות ערך, תשכ"ח</w:t>
      </w:r>
      <w:r w:rsidR="00EC6D1A">
        <w:rPr>
          <w:rFonts w:hint="cs"/>
          <w:rtl/>
        </w:rPr>
        <w:t>-</w:t>
      </w:r>
      <w:r>
        <w:rPr>
          <w:rFonts w:hint="cs"/>
          <w:rtl/>
        </w:rPr>
        <w:t>1968</w:t>
      </w:r>
    </w:p>
    <w:p w14:paraId="1005B7FD" w14:textId="77777777" w:rsidR="00977747" w:rsidRDefault="00977747" w:rsidP="00EC6D1A">
      <w:pPr>
        <w:pStyle w:val="P00"/>
        <w:spacing w:before="72"/>
        <w:ind w:left="0" w:right="1134"/>
        <w:rPr>
          <w:rStyle w:val="default"/>
          <w:rFonts w:cs="FrankRuehl"/>
          <w:rtl/>
        </w:rPr>
      </w:pPr>
      <w:r>
        <w:rPr>
          <w:rtl/>
        </w:rPr>
        <w:tab/>
      </w:r>
      <w:r>
        <w:rPr>
          <w:rStyle w:val="default"/>
          <w:rFonts w:cs="FrankRuehl"/>
          <w:rtl/>
        </w:rPr>
        <w:t>נ</w:t>
      </w:r>
      <w:r>
        <w:rPr>
          <w:rStyle w:val="default"/>
          <w:rFonts w:cs="FrankRuehl" w:hint="cs"/>
          <w:rtl/>
        </w:rPr>
        <w:t>יתנת בזה הודעה, כי מכוח סמכותה לפי סעיף 12(ד) לחוק ניירות ערך, תשכ"ח</w:t>
      </w:r>
      <w:r w:rsidR="00EC6D1A">
        <w:rPr>
          <w:rStyle w:val="default"/>
          <w:rFonts w:cs="FrankRuehl" w:hint="cs"/>
          <w:rtl/>
        </w:rPr>
        <w:t>-</w:t>
      </w:r>
      <w:r>
        <w:rPr>
          <w:rStyle w:val="default"/>
          <w:rFonts w:cs="FrankRuehl" w:hint="cs"/>
          <w:rtl/>
        </w:rPr>
        <w:t xml:space="preserve">1968 (להלן </w:t>
      </w:r>
      <w:r w:rsidR="00EC6D1A">
        <w:rPr>
          <w:rStyle w:val="default"/>
          <w:rFonts w:cs="FrankRuehl" w:hint="cs"/>
          <w:rtl/>
        </w:rPr>
        <w:t>-</w:t>
      </w:r>
      <w:r>
        <w:rPr>
          <w:rStyle w:val="default"/>
          <w:rFonts w:cs="FrankRuehl" w:hint="cs"/>
          <w:rtl/>
        </w:rPr>
        <w:t xml:space="preserve"> החוק), קבעה רשות ניירות ערך לבקשות להתיר פרסום של תשקיפים, </w:t>
      </w:r>
      <w:r>
        <w:rPr>
          <w:rStyle w:val="default"/>
          <w:rFonts w:cs="FrankRuehl"/>
          <w:rtl/>
        </w:rPr>
        <w:t>ס</w:t>
      </w:r>
      <w:r>
        <w:rPr>
          <w:rStyle w:val="default"/>
          <w:rFonts w:cs="FrankRuehl" w:hint="cs"/>
          <w:rtl/>
        </w:rPr>
        <w:t>דרי טיפול כלהלן:</w:t>
      </w:r>
    </w:p>
    <w:p w14:paraId="46702BDE" w14:textId="77777777" w:rsidR="00977747" w:rsidRDefault="00977747" w:rsidP="00EC6D1A">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קשה להתיר פרסומו של תשקיף (להלן </w:t>
      </w:r>
      <w:r w:rsidR="00EC6D1A">
        <w:rPr>
          <w:rStyle w:val="default"/>
          <w:rFonts w:cs="FrankRuehl" w:hint="cs"/>
          <w:rtl/>
        </w:rPr>
        <w:t>-</w:t>
      </w:r>
      <w:r>
        <w:rPr>
          <w:rStyle w:val="default"/>
          <w:rFonts w:cs="FrankRuehl" w:hint="cs"/>
          <w:rtl/>
        </w:rPr>
        <w:t xml:space="preserve"> בקשה) תוגש לרשות בארבעה עותקים, על גבי טופס שקבעה הרשות והניתן להשגה במשרדיה; הטופס ימולא וייחתם ביד המ</w:t>
      </w:r>
      <w:r>
        <w:rPr>
          <w:rStyle w:val="default"/>
          <w:rFonts w:cs="FrankRuehl"/>
          <w:rtl/>
        </w:rPr>
        <w:t>צ</w:t>
      </w:r>
      <w:r>
        <w:rPr>
          <w:rStyle w:val="default"/>
          <w:rFonts w:cs="FrankRuehl" w:hint="cs"/>
          <w:rtl/>
        </w:rPr>
        <w:t>יע; לענין פרסומו של תשקיף ליחידות בקרן להשקעות בנאמנות כמשמעותו בחוק להשקעות משותפות בנאמנות,  תשכ"א</w:t>
      </w:r>
      <w:r w:rsidR="00EC6D1A">
        <w:rPr>
          <w:rStyle w:val="default"/>
          <w:rFonts w:cs="FrankRuehl" w:hint="cs"/>
          <w:rtl/>
        </w:rPr>
        <w:t>-</w:t>
      </w:r>
      <w:r>
        <w:rPr>
          <w:rStyle w:val="default"/>
          <w:rFonts w:cs="FrankRuehl" w:hint="cs"/>
          <w:rtl/>
        </w:rPr>
        <w:t xml:space="preserve">1961 (להלן </w:t>
      </w:r>
      <w:r w:rsidR="00EC6D1A">
        <w:rPr>
          <w:rStyle w:val="default"/>
          <w:rFonts w:cs="FrankRuehl" w:hint="cs"/>
          <w:rtl/>
        </w:rPr>
        <w:t>-</w:t>
      </w:r>
      <w:r>
        <w:rPr>
          <w:rStyle w:val="default"/>
          <w:rFonts w:cs="FrankRuehl" w:hint="cs"/>
          <w:rtl/>
        </w:rPr>
        <w:t xml:space="preserve"> קרן), חתימה ביד המציע פירושה חתימה ביד מנהל הקרן וביד הנאמן; עותק אחד של טופס הבקשה יוחזר למציע כשהוא מוטבע בחותמת הרשות ומצויין בו תאריך קב</w:t>
      </w:r>
      <w:r>
        <w:rPr>
          <w:rStyle w:val="default"/>
          <w:rFonts w:cs="FrankRuehl"/>
          <w:rtl/>
        </w:rPr>
        <w:t>לת</w:t>
      </w:r>
      <w:r>
        <w:rPr>
          <w:rStyle w:val="default"/>
          <w:rFonts w:cs="FrankRuehl" w:hint="cs"/>
          <w:rtl/>
        </w:rPr>
        <w:t xml:space="preserve"> הבקשה.</w:t>
      </w:r>
    </w:p>
    <w:p w14:paraId="584FBE03" w14:textId="77777777" w:rsidR="00977747" w:rsidRDefault="00977747">
      <w:pPr>
        <w:pStyle w:val="P00"/>
        <w:spacing w:before="72"/>
        <w:ind w:left="0" w:right="1134"/>
        <w:rPr>
          <w:rStyle w:val="default"/>
          <w:rFonts w:cs="FrankRuehl" w:hint="cs"/>
          <w:rtl/>
        </w:rPr>
      </w:pPr>
      <w:r>
        <w:rPr>
          <w:rStyle w:val="big-number"/>
          <w:rFonts w:cs="Miriam"/>
          <w:rtl/>
        </w:rPr>
        <w:t>2.</w:t>
      </w:r>
      <w:r>
        <w:rPr>
          <w:rStyle w:val="big-number"/>
          <w:rFonts w:cs="Miriam"/>
          <w:rtl/>
        </w:rPr>
        <w:tab/>
      </w:r>
      <w:r>
        <w:rPr>
          <w:rStyle w:val="default"/>
          <w:rFonts w:cs="FrankRuehl"/>
          <w:rtl/>
        </w:rPr>
        <w:t>ל</w:t>
      </w:r>
      <w:r>
        <w:rPr>
          <w:rStyle w:val="default"/>
          <w:rFonts w:cs="FrankRuehl" w:hint="cs"/>
          <w:rtl/>
        </w:rPr>
        <w:t xml:space="preserve">בקשה יצורפו טיוטות של תשקיף כלהלן </w:t>
      </w:r>
      <w:r w:rsidR="00EC6D1A">
        <w:rPr>
          <w:rStyle w:val="default"/>
          <w:rFonts w:cs="FrankRuehl"/>
          <w:rtl/>
        </w:rPr>
        <w:t>–</w:t>
      </w:r>
    </w:p>
    <w:p w14:paraId="0639552E" w14:textId="77777777" w:rsidR="00977747" w:rsidRDefault="00977747" w:rsidP="00EC6D1A">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לאיגרות חוב שאינן נרשמות למסחר בבורסה וליחידות של קרן הרשאית בעת הגשת הבקשה להציע יחידות לציבור על פי תשקיף קודם </w:t>
      </w:r>
      <w:r w:rsidR="00EC6D1A">
        <w:rPr>
          <w:rStyle w:val="default"/>
          <w:rFonts w:cs="FrankRuehl" w:hint="cs"/>
          <w:rtl/>
        </w:rPr>
        <w:t>-</w:t>
      </w:r>
      <w:r>
        <w:rPr>
          <w:rStyle w:val="default"/>
          <w:rFonts w:cs="FrankRuehl" w:hint="cs"/>
          <w:rtl/>
        </w:rPr>
        <w:t xml:space="preserve"> חמישה עותקים; כן יצורפו חמישה עותקים מכל טיוטה נוספת, אם תידרש;</w:t>
      </w:r>
    </w:p>
    <w:p w14:paraId="60858240" w14:textId="77777777" w:rsidR="00977747" w:rsidRDefault="00977747" w:rsidP="00EC6D1A">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לניירות ערך אחרים </w:t>
      </w:r>
      <w:r w:rsidR="00EC6D1A">
        <w:rPr>
          <w:rStyle w:val="default"/>
          <w:rFonts w:cs="FrankRuehl" w:hint="cs"/>
          <w:rtl/>
        </w:rPr>
        <w:t>-</w:t>
      </w:r>
      <w:r>
        <w:rPr>
          <w:rStyle w:val="default"/>
          <w:rFonts w:cs="FrankRuehl" w:hint="cs"/>
          <w:rtl/>
        </w:rPr>
        <w:t xml:space="preserve"> </w:t>
      </w:r>
      <w:r>
        <w:rPr>
          <w:rStyle w:val="default"/>
          <w:rFonts w:cs="FrankRuehl"/>
          <w:rtl/>
        </w:rPr>
        <w:t>ע</w:t>
      </w:r>
      <w:r>
        <w:rPr>
          <w:rStyle w:val="default"/>
          <w:rFonts w:cs="FrankRuehl" w:hint="cs"/>
          <w:rtl/>
        </w:rPr>
        <w:t>שרה עותקים, וכל טיוטה נוספת עשרים וחמישה עותקים.</w:t>
      </w:r>
    </w:p>
    <w:p w14:paraId="7CE2C875" w14:textId="77777777" w:rsidR="00977747" w:rsidRDefault="00977747">
      <w:pPr>
        <w:pStyle w:val="P00"/>
        <w:spacing w:before="72"/>
        <w:ind w:left="0" w:right="1134"/>
        <w:rPr>
          <w:rStyle w:val="default"/>
          <w:rFonts w:cs="FrankRuehl"/>
          <w:rtl/>
        </w:rPr>
      </w:pP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גבי עטיפת התשקיף יצויין המספר הסידורי של הטיוטה ותאריך עריכתה.</w:t>
      </w:r>
    </w:p>
    <w:p w14:paraId="23313055" w14:textId="77777777" w:rsidR="00977747" w:rsidRDefault="0097774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פורסם תשקיף בנוגע לתאגיד כמשמעותו בחוק, תוך שמונה עשר החדשים שקדמו להגשת הבקשה, יסומנו, בבירור, בשני עותקים של הטיוטה הראשונה, כ</w:t>
      </w:r>
      <w:r>
        <w:rPr>
          <w:rStyle w:val="default"/>
          <w:rFonts w:cs="FrankRuehl"/>
          <w:rtl/>
        </w:rPr>
        <w:t>ל</w:t>
      </w:r>
      <w:r>
        <w:rPr>
          <w:rStyle w:val="default"/>
          <w:rFonts w:cs="FrankRuehl" w:hint="cs"/>
          <w:rtl/>
        </w:rPr>
        <w:t xml:space="preserve"> תוספת, השמטה או שינוי שחלו בטיוטה, בהשוואה לתשקיף הקודם; על גבי העטיפה של התשקיפים המסומנים יצויין "תשקיף מסומן" ויפורטו על גביה העמודים המסומנים, בציון מספר העמוד.</w:t>
      </w:r>
    </w:p>
    <w:p w14:paraId="31180239" w14:textId="77777777" w:rsidR="00977747" w:rsidRDefault="0097774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בשניים מהעותקים של הטיוטה השניה של התשקיף, ובשני עותקים מכל טיוטה שלאחריה, יסומנו כל</w:t>
      </w:r>
      <w:r>
        <w:rPr>
          <w:rStyle w:val="default"/>
          <w:rFonts w:cs="FrankRuehl"/>
          <w:rtl/>
        </w:rPr>
        <w:t xml:space="preserve"> </w:t>
      </w:r>
      <w:r>
        <w:rPr>
          <w:rStyle w:val="default"/>
          <w:rFonts w:cs="FrankRuehl" w:hint="cs"/>
          <w:rtl/>
        </w:rPr>
        <w:t>התוספות, ההשמטות והשינויים שחלו בה בהשוואה לטיוטה הקודמת ועל גבי העטיפה יצויין ויפורט כנקבע בסעיף קטן (ב).</w:t>
      </w:r>
    </w:p>
    <w:p w14:paraId="011A1A48" w14:textId="77777777" w:rsidR="00977747" w:rsidRDefault="00977747" w:rsidP="00EC6D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לטיוטה הסופית יצורפו גם שלושה עותקים של התשקיף, כשהם חתומים בהתאם לקבוע בסעיף 22 לחוק; חתם על התשקיף מנהל של המנפיק באמצעות אדם שהוא הרשהו בכתב</w:t>
      </w:r>
      <w:r>
        <w:rPr>
          <w:rStyle w:val="default"/>
          <w:rFonts w:cs="FrankRuehl"/>
          <w:rtl/>
        </w:rPr>
        <w:t xml:space="preserve"> </w:t>
      </w:r>
      <w:r>
        <w:rPr>
          <w:rStyle w:val="default"/>
          <w:rFonts w:cs="FrankRuehl" w:hint="cs"/>
          <w:rtl/>
        </w:rPr>
        <w:t xml:space="preserve">לחתום במקומו על אותו תשקיף </w:t>
      </w:r>
      <w:r w:rsidR="00EC6D1A">
        <w:rPr>
          <w:rStyle w:val="default"/>
          <w:rFonts w:cs="FrankRuehl" w:hint="cs"/>
          <w:rtl/>
        </w:rPr>
        <w:t>-</w:t>
      </w:r>
      <w:r>
        <w:rPr>
          <w:rStyle w:val="default"/>
          <w:rFonts w:cs="FrankRuehl" w:hint="cs"/>
          <w:rtl/>
        </w:rPr>
        <w:t xml:space="preserve"> יצורף האישור על כך.</w:t>
      </w:r>
    </w:p>
    <w:p w14:paraId="616ED9E7" w14:textId="77777777" w:rsidR="00977747" w:rsidRDefault="0097774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שניים מהעותקים הנזכרים בסעיף קטן (ד) יימסרו למציע כדי שאחד מהם יימסר בידו לרשם, והעותק השלישי יישמר במשרד הרשות; מנפיק רשאי לצרף עד שלושה עותקים חתומים נוספים שיוחזרו לו כשהם מאושרים בידי הרשות.</w:t>
      </w:r>
    </w:p>
    <w:p w14:paraId="74AA5107" w14:textId="77777777" w:rsidR="00977747" w:rsidRDefault="00977747">
      <w:pPr>
        <w:pStyle w:val="P00"/>
        <w:spacing w:before="72"/>
        <w:ind w:left="0" w:right="1134"/>
        <w:rPr>
          <w:rStyle w:val="default"/>
          <w:rFonts w:cs="FrankRuehl"/>
          <w:rtl/>
        </w:rPr>
      </w:pPr>
      <w:r>
        <w:rPr>
          <w:rStyle w:val="big-number"/>
          <w:rFonts w:cs="Miriam"/>
          <w:rtl/>
        </w:rPr>
        <w:t>4.</w:t>
      </w:r>
      <w:r>
        <w:rPr>
          <w:rStyle w:val="big-number"/>
          <w:rFonts w:cs="Miriam"/>
          <w:rtl/>
        </w:rPr>
        <w:tab/>
      </w:r>
      <w:r>
        <w:rPr>
          <w:rStyle w:val="default"/>
          <w:rFonts w:cs="FrankRuehl"/>
          <w:rtl/>
        </w:rPr>
        <w:t>ל</w:t>
      </w:r>
      <w:r>
        <w:rPr>
          <w:rStyle w:val="default"/>
          <w:rFonts w:cs="FrankRuehl" w:hint="cs"/>
          <w:rtl/>
        </w:rPr>
        <w:t>בקשה יצורפו מסמכים אלה:</w:t>
      </w:r>
    </w:p>
    <w:p w14:paraId="44F3643E" w14:textId="77777777" w:rsidR="00977747" w:rsidRDefault="00977747">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אישור לפי סעיף 39(א) לחוק, או העתק הבקשה למתן אישור זה;</w:t>
      </w:r>
    </w:p>
    <w:p w14:paraId="48596B2D" w14:textId="77777777" w:rsidR="00977747" w:rsidRDefault="00977747">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ההודעות המתחייבות מהוראות סעיף 17(א) לחוק, זולת לגבי דברים המובאים בטיוטת התשקיף;</w:t>
      </w:r>
    </w:p>
    <w:p w14:paraId="29717038" w14:textId="77777777" w:rsidR="00977747" w:rsidRDefault="00977747" w:rsidP="00EC6D1A">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התחייבו חתמים לרכוש מאת המציע את ניירות הערך המוצעים, </w:t>
      </w:r>
      <w:r>
        <w:rPr>
          <w:rStyle w:val="default"/>
          <w:rFonts w:cs="FrankRuehl"/>
          <w:rtl/>
        </w:rPr>
        <w:t>כ</w:t>
      </w:r>
      <w:r>
        <w:rPr>
          <w:rStyle w:val="default"/>
          <w:rFonts w:cs="FrankRuehl" w:hint="cs"/>
          <w:rtl/>
        </w:rPr>
        <w:t xml:space="preserve">ולם או מקצתם, במידה שלא ירכשם הציבור </w:t>
      </w:r>
      <w:r w:rsidR="00EC6D1A">
        <w:rPr>
          <w:rStyle w:val="default"/>
          <w:rFonts w:cs="FrankRuehl" w:hint="cs"/>
          <w:rtl/>
        </w:rPr>
        <w:t>-</w:t>
      </w:r>
      <w:r>
        <w:rPr>
          <w:rStyle w:val="default"/>
          <w:rFonts w:cs="FrankRuehl" w:hint="cs"/>
          <w:rtl/>
        </w:rPr>
        <w:t xml:space="preserve"> אישור מאת המנפיק ומאת החתמים המאשר שהם סיימו את המשא ומתן ביניהם בדבר תנאי ההנפקה והתשקיף, ועותק מהסכם החיתום; היו שלושה </w:t>
      </w:r>
      <w:r>
        <w:rPr>
          <w:rStyle w:val="default"/>
          <w:rFonts w:cs="FrankRuehl" w:hint="cs"/>
          <w:rtl/>
        </w:rPr>
        <w:lastRenderedPageBreak/>
        <w:t>חתמים או יותר ייחתם האישור ביד מנהל קונסורציום החתמים;</w:t>
      </w:r>
    </w:p>
    <w:p w14:paraId="7FEAEA22" w14:textId="77777777" w:rsidR="00977747" w:rsidRDefault="00977747">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אישור של עורך דין המאשר שכל ההוספות,</w:t>
      </w:r>
      <w:r>
        <w:rPr>
          <w:rStyle w:val="default"/>
          <w:rFonts w:cs="FrankRuehl"/>
          <w:rtl/>
        </w:rPr>
        <w:t xml:space="preserve"> </w:t>
      </w:r>
      <w:r>
        <w:rPr>
          <w:rStyle w:val="default"/>
          <w:rFonts w:cs="FrankRuehl" w:hint="cs"/>
          <w:rtl/>
        </w:rPr>
        <w:t>ההשמטות והשינויים, המוזכרים בסעיף 3(ב), סומנו;</w:t>
      </w:r>
    </w:p>
    <w:p w14:paraId="722519BA" w14:textId="77777777" w:rsidR="00977747" w:rsidRDefault="00977747" w:rsidP="00EC6D1A">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עותק של התזכיר והתקנון של המנפיק; בבקשה להתיר פרסום תשקיף של קרן </w:t>
      </w:r>
      <w:r w:rsidR="00EC6D1A">
        <w:rPr>
          <w:rStyle w:val="default"/>
          <w:rFonts w:cs="FrankRuehl" w:hint="cs"/>
          <w:rtl/>
        </w:rPr>
        <w:t>-</w:t>
      </w:r>
      <w:r>
        <w:rPr>
          <w:rStyle w:val="default"/>
          <w:rFonts w:cs="FrankRuehl" w:hint="cs"/>
          <w:rtl/>
        </w:rPr>
        <w:t xml:space="preserve"> עותק של הסכם הנאמנות וכן עותק של התזכיר והתקנון של מנהל הקרן ושל הנאמן; למסמכים אלה יצורף אישור של עורך דין המאשר שהם מעודכנים לתאריך הבק</w:t>
      </w:r>
      <w:r>
        <w:rPr>
          <w:rStyle w:val="default"/>
          <w:rFonts w:cs="FrankRuehl"/>
          <w:rtl/>
        </w:rPr>
        <w:t>ש</w:t>
      </w:r>
      <w:r>
        <w:rPr>
          <w:rStyle w:val="default"/>
          <w:rFonts w:cs="FrankRuehl" w:hint="cs"/>
          <w:rtl/>
        </w:rPr>
        <w:t>ה;</w:t>
      </w:r>
    </w:p>
    <w:p w14:paraId="1458ECAF" w14:textId="77777777" w:rsidR="00977747" w:rsidRDefault="00977747">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מבקש שהגיש לרשות בהזדמנות קודמת מסמך מהמסמכים המפורטים בפסקה (5) רשאי שלא להגישו שנית אם יצרף אישור מאת עורך דין המאשר שמאז הגשתו לרשות לא חל בו שינוי; חל במסמך שינוי, על המבקש לצרף עותק מעודכן וכן אישור כנקבע בפסקה (5);</w:t>
      </w:r>
    </w:p>
    <w:p w14:paraId="327CAFA5" w14:textId="77777777" w:rsidR="00977747" w:rsidRDefault="00977747" w:rsidP="00EC6D1A">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מוצעים איגרות חוב או שט</w:t>
      </w:r>
      <w:r>
        <w:rPr>
          <w:rStyle w:val="default"/>
          <w:rFonts w:cs="FrankRuehl"/>
          <w:rtl/>
        </w:rPr>
        <w:t>ר</w:t>
      </w:r>
      <w:r>
        <w:rPr>
          <w:rStyle w:val="default"/>
          <w:rFonts w:cs="FrankRuehl" w:hint="cs"/>
          <w:rtl/>
        </w:rPr>
        <w:t xml:space="preserve">י חוב </w:t>
      </w:r>
      <w:r w:rsidR="00EC6D1A">
        <w:rPr>
          <w:rStyle w:val="default"/>
          <w:rFonts w:cs="FrankRuehl" w:hint="cs"/>
          <w:rtl/>
        </w:rPr>
        <w:t>-</w:t>
      </w:r>
      <w:r>
        <w:rPr>
          <w:rStyle w:val="default"/>
          <w:rFonts w:cs="FrankRuehl" w:hint="cs"/>
          <w:rtl/>
        </w:rPr>
        <w:t xml:space="preserve"> עותק חתום של שטר הנאמנות;</w:t>
      </w:r>
    </w:p>
    <w:p w14:paraId="746B1E03" w14:textId="77777777" w:rsidR="00977747" w:rsidRDefault="00977747" w:rsidP="00EC6D1A">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מייצג עורך דין את המציע בפני הרשות </w:t>
      </w:r>
      <w:r w:rsidR="00EC6D1A">
        <w:rPr>
          <w:rStyle w:val="default"/>
          <w:rFonts w:cs="FrankRuehl" w:hint="cs"/>
          <w:rtl/>
        </w:rPr>
        <w:t>-</w:t>
      </w:r>
      <w:r>
        <w:rPr>
          <w:rStyle w:val="default"/>
          <w:rFonts w:cs="FrankRuehl" w:hint="cs"/>
          <w:rtl/>
        </w:rPr>
        <w:t xml:space="preserve"> יפוי-הכוח שניתן לעורך הדין לענין זה;</w:t>
      </w:r>
    </w:p>
    <w:p w14:paraId="4C6B4775" w14:textId="77777777" w:rsidR="00977747" w:rsidRDefault="00977747" w:rsidP="00EC6D1A">
      <w:pPr>
        <w:pStyle w:val="P11"/>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שיק לפקודת הרשות בסכום האגרה לפי תקנות ניירות ערך (אגרת בקשה למתן היתר לפרסום תשקיף), תש"ל</w:t>
      </w:r>
      <w:r w:rsidR="00EC6D1A">
        <w:rPr>
          <w:rStyle w:val="default"/>
          <w:rFonts w:cs="FrankRuehl" w:hint="cs"/>
          <w:rtl/>
        </w:rPr>
        <w:t>-</w:t>
      </w:r>
      <w:r>
        <w:rPr>
          <w:rStyle w:val="default"/>
          <w:rFonts w:cs="FrankRuehl" w:hint="cs"/>
          <w:rtl/>
        </w:rPr>
        <w:t>1970.</w:t>
      </w:r>
    </w:p>
    <w:p w14:paraId="4AA142C6" w14:textId="77777777" w:rsidR="00977747" w:rsidRDefault="00977747">
      <w:pPr>
        <w:pStyle w:val="P00"/>
        <w:spacing w:before="72"/>
        <w:ind w:left="0" w:right="1134"/>
        <w:rPr>
          <w:rStyle w:val="default"/>
          <w:rFonts w:cs="FrankRuehl"/>
          <w:rtl/>
        </w:rPr>
      </w:pPr>
      <w:r>
        <w:rPr>
          <w:rStyle w:val="big-number"/>
          <w:rFonts w:cs="Miriam"/>
          <w:rtl/>
        </w:rPr>
        <w:t>5.</w:t>
      </w:r>
      <w:r>
        <w:rPr>
          <w:rStyle w:val="big-number"/>
          <w:rFonts w:cs="Miriam"/>
          <w:rtl/>
        </w:rPr>
        <w:tab/>
      </w:r>
      <w:r>
        <w:rPr>
          <w:rStyle w:val="default"/>
          <w:rFonts w:cs="FrankRuehl"/>
          <w:rtl/>
        </w:rPr>
        <w:t>ל</w:t>
      </w:r>
      <w:r>
        <w:rPr>
          <w:rStyle w:val="default"/>
          <w:rFonts w:cs="FrankRuehl" w:hint="cs"/>
          <w:rtl/>
        </w:rPr>
        <w:t>א צורף לבקשה מסמך שיש לצרפו בהתאם למפו</w:t>
      </w:r>
      <w:r>
        <w:rPr>
          <w:rStyle w:val="default"/>
          <w:rFonts w:cs="FrankRuehl"/>
          <w:rtl/>
        </w:rPr>
        <w:t>ר</w:t>
      </w:r>
      <w:r>
        <w:rPr>
          <w:rStyle w:val="default"/>
          <w:rFonts w:cs="FrankRuehl" w:hint="cs"/>
          <w:rtl/>
        </w:rPr>
        <w:t>ט בהודעה זו, רשאית הרשות לעכב את הטיפול בבקשה עד למועד שבו יומצא לה המסמך החסר ולקבוע, כי מועד זה ייראה כתאריך קבלת הבקשה.</w:t>
      </w:r>
    </w:p>
    <w:p w14:paraId="278B75A8" w14:textId="77777777" w:rsidR="00977747" w:rsidRDefault="00977747">
      <w:pPr>
        <w:pStyle w:val="P00"/>
        <w:spacing w:before="72"/>
        <w:ind w:left="0" w:right="1134"/>
        <w:rPr>
          <w:rStyle w:val="default"/>
          <w:rFonts w:cs="FrankRuehl"/>
          <w:rtl/>
        </w:rPr>
      </w:pPr>
      <w:r>
        <w:rPr>
          <w:rStyle w:val="big-number"/>
          <w:rFonts w:cs="Miriam"/>
          <w:rtl/>
        </w:rPr>
        <w:t>6.</w:t>
      </w:r>
      <w:r>
        <w:rPr>
          <w:rStyle w:val="big-number"/>
          <w:rFonts w:cs="Miriam"/>
          <w:rtl/>
        </w:rPr>
        <w:tab/>
      </w:r>
      <w:r>
        <w:rPr>
          <w:rStyle w:val="default"/>
          <w:rFonts w:cs="FrankRuehl"/>
          <w:rtl/>
        </w:rPr>
        <w:t>ל</w:t>
      </w:r>
      <w:r>
        <w:rPr>
          <w:rStyle w:val="default"/>
          <w:rFonts w:cs="FrankRuehl" w:hint="cs"/>
          <w:rtl/>
        </w:rPr>
        <w:t>טיוטה שניה של תשקיף ולכל טיוטה שלאחריה יצורף אישור של עורך דין המאשר שכל התוספות, ההשמטות והשינויים שחלו בטיוטה החדשה בהשוואה לט</w:t>
      </w:r>
      <w:r>
        <w:rPr>
          <w:rStyle w:val="default"/>
          <w:rFonts w:cs="FrankRuehl"/>
          <w:rtl/>
        </w:rPr>
        <w:t>י</w:t>
      </w:r>
      <w:r>
        <w:rPr>
          <w:rStyle w:val="default"/>
          <w:rFonts w:cs="FrankRuehl" w:hint="cs"/>
          <w:rtl/>
        </w:rPr>
        <w:t>וטה הקודמת, סומנו.</w:t>
      </w:r>
    </w:p>
    <w:p w14:paraId="2C2D6BB3" w14:textId="77777777" w:rsidR="00977747" w:rsidRDefault="00977747">
      <w:pPr>
        <w:pStyle w:val="P00"/>
        <w:spacing w:before="72"/>
        <w:ind w:left="0" w:right="1134"/>
        <w:rPr>
          <w:rStyle w:val="default"/>
          <w:rFonts w:cs="FrankRuehl"/>
          <w:rtl/>
        </w:rPr>
      </w:pP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אחרי קבלת הבקשה, על מצורפיה, ועיון בהן, תודיע הרשות למציע, תוך זמן סביר, את הערותיה ובמקרה הצורך תקיים דיונים עמו במסגרת טיפולה בבקשה; אין במסירת הערותיה כאמור כדי למנוע בעד הרשות מלבוא בדרישות נוספות, </w:t>
      </w:r>
      <w:r>
        <w:rPr>
          <w:rStyle w:val="default"/>
          <w:rFonts w:cs="FrankRuehl"/>
          <w:rtl/>
        </w:rPr>
        <w:t>כ</w:t>
      </w:r>
      <w:r>
        <w:rPr>
          <w:rStyle w:val="default"/>
          <w:rFonts w:cs="FrankRuehl" w:hint="cs"/>
          <w:rtl/>
        </w:rPr>
        <w:t>פי שייראה לה לנכון.</w:t>
      </w:r>
    </w:p>
    <w:p w14:paraId="6589784F" w14:textId="77777777" w:rsidR="00977747" w:rsidRDefault="0097774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מכוח סמכותה לפי סעיף 17(ב) לחוק רשאית הרשות לדרוש מהמציע להמציא לה מסמכים שאינם מפורטים בסעיף 4.</w:t>
      </w:r>
    </w:p>
    <w:p w14:paraId="65D95713" w14:textId="77777777" w:rsidR="00977747" w:rsidRDefault="00977747">
      <w:pPr>
        <w:pStyle w:val="P00"/>
        <w:spacing w:before="72"/>
        <w:ind w:left="0" w:right="1134"/>
        <w:rPr>
          <w:rStyle w:val="default"/>
          <w:rFonts w:cs="FrankRuehl" w:hint="cs"/>
          <w:rtl/>
        </w:rPr>
      </w:pPr>
      <w:r>
        <w:rPr>
          <w:rStyle w:val="big-number"/>
          <w:rFonts w:cs="Miriam"/>
          <w:rtl/>
        </w:rPr>
        <w:t>8.</w:t>
      </w:r>
      <w:r>
        <w:rPr>
          <w:rStyle w:val="big-number"/>
          <w:rFonts w:cs="Miriam"/>
          <w:rtl/>
        </w:rPr>
        <w:tab/>
      </w:r>
      <w:r>
        <w:rPr>
          <w:rStyle w:val="default"/>
          <w:rFonts w:cs="FrankRuehl"/>
          <w:rtl/>
        </w:rPr>
        <w:t>ל</w:t>
      </w:r>
      <w:r>
        <w:rPr>
          <w:rStyle w:val="default"/>
          <w:rFonts w:cs="FrankRuehl" w:hint="cs"/>
          <w:rtl/>
        </w:rPr>
        <w:t xml:space="preserve">פני מתן ההיתר לפרסום התשקיף יגיש המציע לרשות </w:t>
      </w:r>
      <w:r w:rsidR="00EC6D1A">
        <w:rPr>
          <w:rStyle w:val="default"/>
          <w:rFonts w:cs="FrankRuehl"/>
          <w:rtl/>
        </w:rPr>
        <w:t>–</w:t>
      </w:r>
    </w:p>
    <w:p w14:paraId="5DEE4EB7" w14:textId="77777777" w:rsidR="00977747" w:rsidRDefault="00977747">
      <w:pPr>
        <w:pStyle w:val="P11"/>
        <w:spacing w:before="72"/>
        <w:ind w:left="624" w:right="1134"/>
        <w:rPr>
          <w:rtl/>
        </w:rPr>
      </w:pPr>
      <w:r>
        <w:rPr>
          <w:rtl/>
        </w:rPr>
        <w:t>(1)</w:t>
      </w:r>
      <w:r>
        <w:rPr>
          <w:rtl/>
        </w:rPr>
        <w:tab/>
      </w:r>
      <w:r>
        <w:rPr>
          <w:rFonts w:hint="cs"/>
          <w:rtl/>
        </w:rPr>
        <w:t>אישור לפי סעיף 39(א) לחוק;</w:t>
      </w:r>
    </w:p>
    <w:p w14:paraId="1A4EA204" w14:textId="77777777" w:rsidR="00977747" w:rsidRDefault="00977747" w:rsidP="00EC6D1A">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אמורים ניירות הערך המוצעים להרשם למסחר בבורסה </w:t>
      </w:r>
      <w:r w:rsidR="00EC6D1A">
        <w:rPr>
          <w:rStyle w:val="default"/>
          <w:rFonts w:cs="FrankRuehl" w:hint="cs"/>
          <w:rtl/>
        </w:rPr>
        <w:t>-</w:t>
      </w:r>
      <w:r>
        <w:rPr>
          <w:rStyle w:val="default"/>
          <w:rFonts w:cs="FrankRuehl"/>
          <w:rtl/>
        </w:rPr>
        <w:t xml:space="preserve"> </w:t>
      </w:r>
      <w:r>
        <w:rPr>
          <w:rStyle w:val="default"/>
          <w:rFonts w:cs="FrankRuehl" w:hint="cs"/>
          <w:rtl/>
        </w:rPr>
        <w:t>אישור עקרוני בכתב של הבורסה לרשום את ניירות הערך למסחר בה;</w:t>
      </w:r>
    </w:p>
    <w:p w14:paraId="55AA3DA2" w14:textId="77777777" w:rsidR="00977747" w:rsidRDefault="00977747">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אישור מטעם המציע או החתם על כמות העותקים מהתשקיף שיודפסו ועל דרכי הפצתם;</w:t>
      </w:r>
    </w:p>
    <w:p w14:paraId="7F0B42F2" w14:textId="77777777" w:rsidR="00977747" w:rsidRDefault="00977747" w:rsidP="00EC6D1A">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הוגש מסמך המפורט בסעיף 4(3) או (7) </w:t>
      </w:r>
      <w:r w:rsidR="00EC6D1A">
        <w:rPr>
          <w:rStyle w:val="default"/>
          <w:rFonts w:cs="FrankRuehl" w:hint="cs"/>
          <w:rtl/>
        </w:rPr>
        <w:t>-</w:t>
      </w:r>
      <w:r>
        <w:rPr>
          <w:rStyle w:val="default"/>
          <w:rFonts w:cs="FrankRuehl" w:hint="cs"/>
          <w:rtl/>
        </w:rPr>
        <w:t xml:space="preserve"> עותק חתום ומבוייל שלו.</w:t>
      </w:r>
    </w:p>
    <w:p w14:paraId="6E14289C" w14:textId="77777777" w:rsidR="00977747" w:rsidRDefault="00977747">
      <w:pPr>
        <w:pStyle w:val="P00"/>
        <w:spacing w:before="72"/>
        <w:ind w:left="0" w:right="1134"/>
        <w:rPr>
          <w:rStyle w:val="default"/>
          <w:rFonts w:cs="FrankRuehl"/>
          <w:rtl/>
        </w:rPr>
      </w:pPr>
      <w:r>
        <w:rPr>
          <w:rStyle w:val="big-number"/>
          <w:rFonts w:cs="Miriam"/>
          <w:rtl/>
        </w:rPr>
        <w:t>9.</w:t>
      </w:r>
      <w:r>
        <w:rPr>
          <w:rStyle w:val="big-number"/>
          <w:rFonts w:cs="Miriam"/>
          <w:rtl/>
        </w:rPr>
        <w:tab/>
      </w:r>
      <w:r>
        <w:rPr>
          <w:rStyle w:val="default"/>
          <w:rFonts w:cs="FrankRuehl"/>
          <w:rtl/>
        </w:rPr>
        <w:t>ל</w:t>
      </w:r>
      <w:r>
        <w:rPr>
          <w:rStyle w:val="default"/>
          <w:rFonts w:cs="FrankRuehl" w:hint="cs"/>
          <w:rtl/>
        </w:rPr>
        <w:t>א הגיש המציע לרשות טיוטה נוספת תוך שלושה חדשים לאחר</w:t>
      </w:r>
      <w:r>
        <w:rPr>
          <w:rStyle w:val="default"/>
          <w:rFonts w:cs="FrankRuehl"/>
          <w:rtl/>
        </w:rPr>
        <w:t xml:space="preserve"> </w:t>
      </w:r>
      <w:r>
        <w:rPr>
          <w:rStyle w:val="default"/>
          <w:rFonts w:cs="FrankRuehl" w:hint="cs"/>
          <w:rtl/>
        </w:rPr>
        <w:t>קבלת הערותיה יראו את המציע כאילו ביטל את בקשתו, אלא אם כן הודיע לרשות, תוך התקופה האמורה, שאירועים שאין לו שליטה עליהם מונעים בעדו זמנית להמשיך בטיפול בתשקיף, ויפרט אירועים אלה; הרשות רשאית לדרוש מהמציע שיאמת בתצהיר את תוכן הודעתו; לאחר שעיינה בהודעה ובת</w:t>
      </w:r>
      <w:r>
        <w:rPr>
          <w:rStyle w:val="default"/>
          <w:rFonts w:cs="FrankRuehl"/>
          <w:rtl/>
        </w:rPr>
        <w:t>צה</w:t>
      </w:r>
      <w:r>
        <w:rPr>
          <w:rStyle w:val="default"/>
          <w:rFonts w:cs="FrankRuehl" w:hint="cs"/>
          <w:rtl/>
        </w:rPr>
        <w:t>יר, אם הוגש, רשאית הרשות לראות את המציע כאילו ביטל את בקשתו.</w:t>
      </w:r>
    </w:p>
    <w:p w14:paraId="1666DBB1" w14:textId="77777777" w:rsidR="00977747" w:rsidRDefault="00977747" w:rsidP="00EC6D1A">
      <w:pPr>
        <w:pStyle w:val="P00"/>
        <w:spacing w:before="72"/>
        <w:ind w:left="0" w:right="1134"/>
        <w:rPr>
          <w:rStyle w:val="default"/>
          <w:rFonts w:cs="FrankRuehl"/>
          <w:rtl/>
        </w:rPr>
      </w:pPr>
      <w:r>
        <w:rPr>
          <w:rStyle w:val="big-number"/>
          <w:rFonts w:cs="Miriam"/>
          <w:rtl/>
        </w:rPr>
        <w:t>10.</w:t>
      </w:r>
      <w:r>
        <w:rPr>
          <w:rStyle w:val="big-number"/>
          <w:rFonts w:cs="Miriam"/>
          <w:rtl/>
        </w:rPr>
        <w:tab/>
      </w:r>
      <w:r>
        <w:rPr>
          <w:rStyle w:val="default"/>
          <w:rFonts w:cs="FrankRuehl"/>
          <w:rtl/>
        </w:rPr>
        <w:t>ה</w:t>
      </w:r>
      <w:r>
        <w:rPr>
          <w:rStyle w:val="default"/>
          <w:rFonts w:cs="FrankRuehl" w:hint="cs"/>
          <w:rtl/>
        </w:rPr>
        <w:t xml:space="preserve">הודעה בדבר סדרי הטיפול בבקשות להתיר פרסום של תשקיפים שפורסמה בילקוט הפרסומים 1548, תשכ"ט, עמ' 2126, ותוקנה בילקוט הפרסומים תשל"ה, עמ' 1275 </w:t>
      </w:r>
      <w:r w:rsidR="00EC6D1A">
        <w:rPr>
          <w:rStyle w:val="default"/>
          <w:rFonts w:cs="FrankRuehl" w:hint="cs"/>
          <w:rtl/>
        </w:rPr>
        <w:t>-</w:t>
      </w:r>
      <w:r>
        <w:rPr>
          <w:rStyle w:val="default"/>
          <w:rFonts w:cs="FrankRuehl" w:hint="cs"/>
          <w:rtl/>
        </w:rPr>
        <w:t xml:space="preserve"> בטלה.</w:t>
      </w:r>
    </w:p>
    <w:p w14:paraId="0306C1E3" w14:textId="77777777" w:rsidR="00977747" w:rsidRDefault="00977747">
      <w:pPr>
        <w:pStyle w:val="P00"/>
        <w:spacing w:before="72"/>
        <w:ind w:left="0" w:right="1134"/>
        <w:rPr>
          <w:rStyle w:val="default"/>
          <w:rFonts w:cs="FrankRuehl"/>
          <w:rtl/>
        </w:rPr>
      </w:pPr>
    </w:p>
    <w:p w14:paraId="3548D7DD" w14:textId="77777777" w:rsidR="00977747" w:rsidRDefault="00EC6D1A">
      <w:pPr>
        <w:pStyle w:val="P00"/>
        <w:spacing w:before="72"/>
        <w:ind w:left="0" w:right="1134"/>
        <w:rPr>
          <w:rtl/>
        </w:rPr>
      </w:pPr>
      <w:r>
        <w:rPr>
          <w:rFonts w:hint="cs"/>
          <w:rtl/>
        </w:rPr>
        <w:tab/>
      </w:r>
      <w:r w:rsidR="00977747">
        <w:rPr>
          <w:rtl/>
        </w:rPr>
        <w:t>נ</w:t>
      </w:r>
      <w:r w:rsidR="00977747">
        <w:rPr>
          <w:rFonts w:hint="cs"/>
          <w:rtl/>
        </w:rPr>
        <w:t>תאשר.</w:t>
      </w:r>
    </w:p>
    <w:p w14:paraId="468E0E2E" w14:textId="77777777" w:rsidR="00977747" w:rsidRDefault="00977747">
      <w:pPr>
        <w:pStyle w:val="P00"/>
        <w:spacing w:before="72"/>
        <w:ind w:left="0" w:right="1134"/>
        <w:rPr>
          <w:rStyle w:val="default"/>
          <w:rFonts w:cs="FrankRuehl"/>
          <w:rtl/>
        </w:rPr>
      </w:pPr>
      <w:r>
        <w:rPr>
          <w:rStyle w:val="default"/>
          <w:rFonts w:cs="FrankRuehl"/>
          <w:rtl/>
        </w:rPr>
        <w:t>כ</w:t>
      </w:r>
      <w:r>
        <w:rPr>
          <w:rStyle w:val="default"/>
          <w:rFonts w:cs="FrankRuehl" w:hint="cs"/>
          <w:rtl/>
        </w:rPr>
        <w:t>"ח בתשרי תשמ"ה (24 באוקטובר 1984)</w:t>
      </w:r>
      <w:r>
        <w:rPr>
          <w:rStyle w:val="default"/>
          <w:rFonts w:cs="FrankRuehl"/>
          <w:rtl/>
        </w:rPr>
        <w:t xml:space="preserve">            </w:t>
      </w:r>
      <w:r>
        <w:rPr>
          <w:rStyle w:val="default"/>
          <w:rFonts w:cs="FrankRuehl" w:hint="cs"/>
          <w:rtl/>
        </w:rPr>
        <w:t>אליעזר שילוני</w:t>
      </w:r>
    </w:p>
    <w:p w14:paraId="52C2E3D6" w14:textId="77777777" w:rsidR="00977747" w:rsidRDefault="00977747">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יושב ראש רשות ניירות ערך</w:t>
      </w:r>
    </w:p>
    <w:p w14:paraId="19AB5C84" w14:textId="77777777" w:rsidR="00977747" w:rsidRPr="00EC6D1A" w:rsidRDefault="00977747" w:rsidP="00EC6D1A">
      <w:pPr>
        <w:pStyle w:val="sig-1"/>
        <w:widowControl/>
        <w:tabs>
          <w:tab w:val="clear" w:pos="851"/>
          <w:tab w:val="clear" w:pos="2835"/>
          <w:tab w:val="clear" w:pos="4820"/>
          <w:tab w:val="center" w:pos="1985"/>
          <w:tab w:val="center" w:pos="4536"/>
        </w:tabs>
        <w:spacing w:before="72"/>
        <w:ind w:left="0" w:right="1134"/>
        <w:rPr>
          <w:sz w:val="26"/>
          <w:szCs w:val="26"/>
          <w:rtl/>
        </w:rPr>
      </w:pPr>
      <w:r w:rsidRPr="00EC6D1A">
        <w:rPr>
          <w:sz w:val="26"/>
          <w:szCs w:val="26"/>
          <w:rtl/>
        </w:rPr>
        <w:tab/>
      </w:r>
      <w:r w:rsidRPr="00EC6D1A">
        <w:rPr>
          <w:rFonts w:hint="cs"/>
          <w:sz w:val="26"/>
          <w:szCs w:val="26"/>
          <w:rtl/>
        </w:rPr>
        <w:t>יצחק מודעי</w:t>
      </w:r>
    </w:p>
    <w:p w14:paraId="5E08EA46" w14:textId="77777777" w:rsidR="00977747" w:rsidRDefault="00977747">
      <w:pPr>
        <w:pStyle w:val="sig-1"/>
        <w:widowControl/>
        <w:tabs>
          <w:tab w:val="clear" w:pos="851"/>
          <w:tab w:val="clear" w:pos="2835"/>
          <w:tab w:val="clear" w:pos="4820"/>
          <w:tab w:val="center" w:pos="1985"/>
          <w:tab w:val="center" w:pos="4536"/>
        </w:tabs>
        <w:ind w:left="0" w:right="1134"/>
        <w:rPr>
          <w:rtl/>
        </w:rPr>
      </w:pPr>
      <w:r>
        <w:rPr>
          <w:rtl/>
        </w:rPr>
        <w:tab/>
      </w:r>
      <w:r>
        <w:rPr>
          <w:rFonts w:hint="cs"/>
          <w:rtl/>
        </w:rPr>
        <w:t>שר האוצר</w:t>
      </w:r>
    </w:p>
    <w:p w14:paraId="171073B9" w14:textId="77777777" w:rsidR="00977747" w:rsidRPr="00EC6D1A" w:rsidRDefault="00977747" w:rsidP="00EC6D1A">
      <w:pPr>
        <w:pStyle w:val="P00"/>
        <w:spacing w:before="72"/>
        <w:ind w:left="0" w:right="1134"/>
        <w:rPr>
          <w:rStyle w:val="default"/>
          <w:rFonts w:cs="FrankRuehl"/>
          <w:rtl/>
        </w:rPr>
      </w:pPr>
    </w:p>
    <w:p w14:paraId="6D343015" w14:textId="77777777" w:rsidR="00977747" w:rsidRPr="00EC6D1A" w:rsidRDefault="00977747" w:rsidP="00EC6D1A">
      <w:pPr>
        <w:pStyle w:val="P00"/>
        <w:spacing w:before="72"/>
        <w:ind w:left="0" w:right="1134"/>
        <w:rPr>
          <w:rStyle w:val="default"/>
          <w:rFonts w:cs="FrankRuehl"/>
          <w:rtl/>
        </w:rPr>
      </w:pPr>
      <w:bookmarkStart w:id="0" w:name="LawPartEnd"/>
    </w:p>
    <w:bookmarkEnd w:id="0"/>
    <w:p w14:paraId="06259875" w14:textId="77777777" w:rsidR="00977747" w:rsidRPr="00EC6D1A" w:rsidRDefault="00977747" w:rsidP="00EC6D1A">
      <w:pPr>
        <w:pStyle w:val="P00"/>
        <w:spacing w:before="72"/>
        <w:ind w:left="0" w:right="1134"/>
        <w:rPr>
          <w:rStyle w:val="default"/>
          <w:rFonts w:cs="FrankRuehl"/>
          <w:rtl/>
        </w:rPr>
      </w:pPr>
    </w:p>
    <w:sectPr w:rsidR="00977747" w:rsidRPr="00EC6D1A">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29F4F" w14:textId="77777777" w:rsidR="0079473B" w:rsidRDefault="0079473B">
      <w:r>
        <w:separator/>
      </w:r>
    </w:p>
  </w:endnote>
  <w:endnote w:type="continuationSeparator" w:id="0">
    <w:p w14:paraId="459E5670" w14:textId="77777777" w:rsidR="0079473B" w:rsidRDefault="00794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0DAD8" w14:textId="77777777" w:rsidR="00977747" w:rsidRDefault="0097774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52876D3" w14:textId="77777777" w:rsidR="00977747" w:rsidRDefault="0097774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C6334C7" w14:textId="77777777" w:rsidR="00977747" w:rsidRDefault="0097774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C6D1A">
      <w:rPr>
        <w:rFonts w:cs="TopType Jerushalmi"/>
        <w:noProof/>
        <w:color w:val="000000"/>
        <w:sz w:val="14"/>
        <w:szCs w:val="14"/>
      </w:rPr>
      <w:t>D:\Yael\hakika\Revadim\308_026.doc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A5902" w14:textId="77777777" w:rsidR="00977747" w:rsidRDefault="0097774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04AEE">
      <w:rPr>
        <w:rFonts w:hAnsi="FrankRuehl" w:cs="FrankRuehl"/>
        <w:noProof/>
        <w:sz w:val="24"/>
        <w:szCs w:val="24"/>
        <w:rtl/>
      </w:rPr>
      <w:t>1</w:t>
    </w:r>
    <w:r>
      <w:rPr>
        <w:rFonts w:hAnsi="FrankRuehl" w:cs="FrankRuehl"/>
        <w:sz w:val="24"/>
        <w:szCs w:val="24"/>
        <w:rtl/>
      </w:rPr>
      <w:fldChar w:fldCharType="end"/>
    </w:r>
  </w:p>
  <w:p w14:paraId="656560D0" w14:textId="77777777" w:rsidR="00977747" w:rsidRDefault="0097774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D400983" w14:textId="77777777" w:rsidR="00977747" w:rsidRDefault="0097774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C6D1A">
      <w:rPr>
        <w:rFonts w:cs="TopType Jerushalmi"/>
        <w:noProof/>
        <w:color w:val="000000"/>
        <w:sz w:val="14"/>
        <w:szCs w:val="14"/>
      </w:rPr>
      <w:t>D:\Yael\hakika\Revadim\308_026.doc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679AC" w14:textId="77777777" w:rsidR="0079473B" w:rsidRDefault="0079473B" w:rsidP="00EC6D1A">
      <w:pPr>
        <w:spacing w:before="60" w:line="240" w:lineRule="auto"/>
        <w:ind w:right="1134"/>
      </w:pPr>
      <w:r>
        <w:separator/>
      </w:r>
    </w:p>
  </w:footnote>
  <w:footnote w:type="continuationSeparator" w:id="0">
    <w:p w14:paraId="1C825BCA" w14:textId="77777777" w:rsidR="0079473B" w:rsidRDefault="0079473B">
      <w:r>
        <w:continuationSeparator/>
      </w:r>
    </w:p>
  </w:footnote>
  <w:footnote w:id="1">
    <w:p w14:paraId="51393058" w14:textId="77777777" w:rsidR="00EC6D1A" w:rsidRPr="00EC6D1A" w:rsidRDefault="00EC6D1A" w:rsidP="00EC6D1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EC6D1A">
        <w:rPr>
          <w:sz w:val="20"/>
          <w:rtl/>
        </w:rPr>
        <w:t xml:space="preserve">* </w:t>
      </w:r>
      <w:r>
        <w:rPr>
          <w:sz w:val="20"/>
          <w:rtl/>
        </w:rPr>
        <w:t>פ</w:t>
      </w:r>
      <w:r>
        <w:rPr>
          <w:rFonts w:hint="cs"/>
          <w:sz w:val="20"/>
          <w:rtl/>
        </w:rPr>
        <w:t xml:space="preserve">ורסמה </w:t>
      </w:r>
      <w:hyperlink r:id="rId1" w:history="1">
        <w:r w:rsidRPr="00E64DA2">
          <w:rPr>
            <w:rStyle w:val="Hyperlink"/>
            <w:rFonts w:hint="cs"/>
            <w:sz w:val="20"/>
            <w:rtl/>
          </w:rPr>
          <w:t>י"פ תשמ"ה מס'</w:t>
        </w:r>
        <w:r w:rsidRPr="00E64DA2">
          <w:rPr>
            <w:rStyle w:val="Hyperlink"/>
            <w:rFonts w:hint="cs"/>
            <w:sz w:val="20"/>
            <w:rtl/>
          </w:rPr>
          <w:t xml:space="preserve"> </w:t>
        </w:r>
        <w:r w:rsidRPr="00E64DA2">
          <w:rPr>
            <w:rStyle w:val="Hyperlink"/>
            <w:rFonts w:hint="cs"/>
            <w:sz w:val="20"/>
            <w:rtl/>
          </w:rPr>
          <w:t>3121</w:t>
        </w:r>
      </w:hyperlink>
      <w:r>
        <w:rPr>
          <w:rFonts w:hint="cs"/>
          <w:sz w:val="20"/>
          <w:rtl/>
        </w:rPr>
        <w:t xml:space="preserve"> מיום 11.11.1984 עמ' 306.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C7922" w14:textId="77777777" w:rsidR="00977747" w:rsidRDefault="0097774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הודעה בדבר סדרי הטיפול בבקשות להתיר פרסום של תשקיפים</w:t>
    </w:r>
  </w:p>
  <w:p w14:paraId="7DAFCC5D" w14:textId="77777777" w:rsidR="00977747" w:rsidRDefault="0097774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4002C5" w14:textId="77777777" w:rsidR="00977747" w:rsidRDefault="0097774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5DEF7" w14:textId="77777777" w:rsidR="00977747" w:rsidRDefault="0097774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הודעה בדבר סדרי הטיפול בבקשות להתיר פרסום של תשקיפים</w:t>
    </w:r>
  </w:p>
  <w:p w14:paraId="54A7969A" w14:textId="77777777" w:rsidR="00977747" w:rsidRDefault="0097774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C4968F0" w14:textId="77777777" w:rsidR="00977747" w:rsidRDefault="0097774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747"/>
    <w:rsid w:val="0079473B"/>
    <w:rsid w:val="00890D08"/>
    <w:rsid w:val="00977747"/>
    <w:rsid w:val="00B84D6A"/>
    <w:rsid w:val="00C12B5F"/>
    <w:rsid w:val="00E64DA2"/>
    <w:rsid w:val="00EC6D1A"/>
    <w:rsid w:val="00F04AE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108E9C0"/>
  <w15:chartTrackingRefBased/>
  <w15:docId w15:val="{5BE0F3A0-05A3-4377-8ADB-2E716BC93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sid w:val="00E64DA2"/>
    <w:rPr>
      <w:color w:val="0000FF"/>
      <w:u w:val="single"/>
    </w:rPr>
  </w:style>
  <w:style w:type="character" w:styleId="FollowedHyperlink">
    <w:name w:val="FollowedHyperlink"/>
    <w:basedOn w:val="a0"/>
    <w:rsid w:val="00E64DA2"/>
    <w:rPr>
      <w:color w:val="800080"/>
      <w:u w:val="single"/>
    </w:rPr>
  </w:style>
  <w:style w:type="paragraph" w:styleId="a5">
    <w:name w:val="footnote text"/>
    <w:basedOn w:val="a"/>
    <w:semiHidden/>
    <w:rsid w:val="00EC6D1A"/>
    <w:rPr>
      <w:sz w:val="20"/>
      <w:szCs w:val="20"/>
    </w:rPr>
  </w:style>
  <w:style w:type="character" w:styleId="a6">
    <w:name w:val="footnote reference"/>
    <w:basedOn w:val="a0"/>
    <w:semiHidden/>
    <w:rsid w:val="00EC6D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10/YALKUT-31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פרק 308</vt:lpstr>
    </vt:vector>
  </TitlesOfParts>
  <Company/>
  <LinksUpToDate>false</LinksUpToDate>
  <CharactersWithSpaces>4808</CharactersWithSpaces>
  <SharedDoc>false</SharedDoc>
  <HLinks>
    <vt:vector size="6" baseType="variant">
      <vt:variant>
        <vt:i4>7405568</vt:i4>
      </vt:variant>
      <vt:variant>
        <vt:i4>0</vt:i4>
      </vt:variant>
      <vt:variant>
        <vt:i4>0</vt:i4>
      </vt:variant>
      <vt:variant>
        <vt:i4>5</vt:i4>
      </vt:variant>
      <vt:variant>
        <vt:lpwstr>http://www.nevo.co.il/Law_word/law10/YALKUT-3121.pdf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308</dc:title>
  <dc:subject/>
  <dc:creator>Liat</dc:creator>
  <cp:keywords/>
  <dc:description/>
  <cp:lastModifiedBy>Shimon Doodkin</cp:lastModifiedBy>
  <cp:revision>2</cp:revision>
  <dcterms:created xsi:type="dcterms:W3CDTF">2023-06-05T18:48:00Z</dcterms:created>
  <dcterms:modified xsi:type="dcterms:W3CDTF">2023-06-05T18:48:00Z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0308</vt:lpwstr>
  </property>
  <property fmtid="{D5CDD505-2E9C-101B-9397-08002B2CF9AE}" pid="3" name="CHNAME">
    <vt:lpwstr>ניירות ערך</vt:lpwstr>
  </property>
  <property fmtid="{D5CDD505-2E9C-101B-9397-08002B2CF9AE}" pid="4" name="LAWNAME">
    <vt:lpwstr>הודעה בדבר סדרי הטיפול בבקשות להתיר פרסום של תשקיפים</vt:lpwstr>
  </property>
  <property fmtid="{D5CDD505-2E9C-101B-9397-08002B2CF9AE}" pid="5" name="LAWNUMBER">
    <vt:lpwstr>0026</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תאגידים וניירות ערך</vt:lpwstr>
  </property>
  <property fmtid="{D5CDD505-2E9C-101B-9397-08002B2CF9AE}" pid="9" name="NOSE31">
    <vt:lpwstr>תשקיפים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