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0A3" w:rsidRDefault="003050A3">
      <w:pPr>
        <w:ind w:right="1134"/>
        <w:rPr>
          <w:rtl/>
        </w:rPr>
      </w:pPr>
      <w:bookmarkStart w:id="0" w:name="LawPartStart"/>
    </w:p>
    <w:bookmarkEnd w:id="0"/>
    <w:p w:rsidR="003050A3" w:rsidRDefault="003050A3">
      <w:pPr>
        <w:pStyle w:val="big-header"/>
        <w:ind w:left="0" w:right="1134"/>
      </w:pPr>
      <w:r>
        <w:rPr>
          <w:rtl/>
        </w:rPr>
        <w:t>ה</w:t>
      </w:r>
      <w:r>
        <w:rPr>
          <w:rFonts w:hint="cs"/>
          <w:rtl/>
        </w:rPr>
        <w:t>ודעה על קביעת עולה, תשנ"ב</w:t>
      </w:r>
      <w:r w:rsidR="00774C7E">
        <w:rPr>
          <w:rFonts w:hint="cs"/>
          <w:rtl/>
        </w:rPr>
        <w:t>-</w:t>
      </w:r>
      <w:r>
        <w:rPr>
          <w:rFonts w:hint="cs"/>
          <w:rtl/>
        </w:rPr>
        <w:t>1992</w:t>
      </w:r>
      <w:r w:rsidR="00774C7E">
        <w:rPr>
          <w:rStyle w:val="a6"/>
          <w:rtl/>
        </w:rPr>
        <w:footnoteReference w:customMarkFollows="1" w:id="1"/>
        <w:t>*</w:t>
      </w:r>
    </w:p>
    <w:p w:rsidR="000B16C2" w:rsidRPr="000B16C2" w:rsidRDefault="000B16C2" w:rsidP="000B16C2">
      <w:pPr>
        <w:spacing w:line="320" w:lineRule="auto"/>
        <w:jc w:val="left"/>
        <w:rPr>
          <w:rStyle w:val="default"/>
          <w:rFonts w:cs="FrankRuehl"/>
          <w:rtl/>
        </w:rPr>
      </w:pPr>
    </w:p>
    <w:p w:rsidR="000B16C2" w:rsidRDefault="000B16C2" w:rsidP="000B16C2">
      <w:pPr>
        <w:spacing w:line="320" w:lineRule="auto"/>
        <w:jc w:val="left"/>
        <w:rPr>
          <w:rStyle w:val="default"/>
          <w:rFonts w:cs="FrankRuehl"/>
          <w:rtl/>
        </w:rPr>
      </w:pPr>
    </w:p>
    <w:p w:rsidR="000B16C2" w:rsidRDefault="000B16C2" w:rsidP="000B16C2">
      <w:pPr>
        <w:spacing w:line="320" w:lineRule="auto"/>
        <w:jc w:val="left"/>
        <w:rPr>
          <w:rStyle w:val="default"/>
          <w:rFonts w:cs="FrankRuehl"/>
          <w:rtl/>
        </w:rPr>
      </w:pPr>
      <w:r w:rsidRPr="000B16C2">
        <w:rPr>
          <w:rStyle w:val="default"/>
          <w:rFonts w:cs="Miriam"/>
          <w:szCs w:val="22"/>
          <w:rtl/>
        </w:rPr>
        <w:t>מסים</w:t>
      </w:r>
      <w:r w:rsidRPr="000B16C2">
        <w:rPr>
          <w:rStyle w:val="default"/>
          <w:rFonts w:cs="FrankRuehl"/>
          <w:rtl/>
        </w:rPr>
        <w:t xml:space="preserve"> – מיסוי מקרקעין – מס שבח מקרקעין</w:t>
      </w:r>
    </w:p>
    <w:p w:rsidR="000B16C2" w:rsidRDefault="000B16C2" w:rsidP="000B16C2">
      <w:pPr>
        <w:spacing w:line="320" w:lineRule="auto"/>
        <w:jc w:val="left"/>
        <w:rPr>
          <w:rStyle w:val="default"/>
          <w:rFonts w:cs="FrankRuehl"/>
        </w:rPr>
      </w:pPr>
      <w:r w:rsidRPr="000B16C2">
        <w:rPr>
          <w:rStyle w:val="default"/>
          <w:rFonts w:cs="Miriam"/>
          <w:szCs w:val="22"/>
          <w:rtl/>
        </w:rPr>
        <w:t>משפט פרטי וכלכלה</w:t>
      </w:r>
      <w:r w:rsidRPr="000B16C2">
        <w:rPr>
          <w:rStyle w:val="default"/>
          <w:rFonts w:cs="FrankRuehl"/>
          <w:rtl/>
        </w:rPr>
        <w:t xml:space="preserve"> – קניין – מקרקעין – מיסוי מקרקעין</w:t>
      </w:r>
    </w:p>
    <w:p w:rsidR="000B16C2" w:rsidRDefault="000B16C2" w:rsidP="000B16C2">
      <w:pPr>
        <w:spacing w:line="320" w:lineRule="auto"/>
        <w:jc w:val="left"/>
        <w:rPr>
          <w:rStyle w:val="default"/>
          <w:rFonts w:cs="FrankRuehl"/>
        </w:rPr>
      </w:pPr>
    </w:p>
    <w:p w:rsidR="000B16C2" w:rsidRPr="000B16C2" w:rsidRDefault="000B16C2" w:rsidP="000B16C2">
      <w:pPr>
        <w:spacing w:line="320" w:lineRule="auto"/>
        <w:jc w:val="left"/>
        <w:rPr>
          <w:rStyle w:val="default"/>
          <w:rFonts w:cs="Miriam" w:hint="cs"/>
          <w:szCs w:val="22"/>
          <w:rtl/>
        </w:rPr>
      </w:pPr>
    </w:p>
    <w:p w:rsidR="003050A3" w:rsidRPr="00774C7E" w:rsidRDefault="003050A3" w:rsidP="00774C7E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774C7E">
        <w:rPr>
          <w:sz w:val="24"/>
          <w:szCs w:val="24"/>
          <w:rtl/>
        </w:rPr>
        <w:t>ל</w:t>
      </w:r>
      <w:r w:rsidRPr="00774C7E">
        <w:rPr>
          <w:rFonts w:hint="cs"/>
          <w:sz w:val="24"/>
          <w:szCs w:val="24"/>
          <w:rtl/>
        </w:rPr>
        <w:t>ענין תקנות מס שבח מקרקעין (מס רכישה), תשל"ה</w:t>
      </w:r>
      <w:r w:rsidR="00774C7E" w:rsidRPr="00774C7E">
        <w:rPr>
          <w:rFonts w:hint="cs"/>
          <w:sz w:val="24"/>
          <w:szCs w:val="24"/>
          <w:rtl/>
        </w:rPr>
        <w:t>-</w:t>
      </w:r>
      <w:r w:rsidRPr="00774C7E">
        <w:rPr>
          <w:rFonts w:hint="cs"/>
          <w:sz w:val="24"/>
          <w:szCs w:val="24"/>
          <w:rtl/>
        </w:rPr>
        <w:t>1975</w:t>
      </w:r>
    </w:p>
    <w:p w:rsidR="003050A3" w:rsidRDefault="00774C7E" w:rsidP="00774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3050A3">
        <w:rPr>
          <w:rStyle w:val="default"/>
          <w:rFonts w:cs="FrankRuehl"/>
          <w:rtl/>
        </w:rPr>
        <w:t>ב</w:t>
      </w:r>
      <w:r w:rsidR="003050A3">
        <w:rPr>
          <w:rStyle w:val="default"/>
          <w:rFonts w:cs="FrankRuehl" w:hint="cs"/>
          <w:rtl/>
        </w:rPr>
        <w:t>תוקף סמכותי לפי תקנה 12(א)(2) לתקנות מס שבח מקרקעין (מס רכישה), תשל"ה</w:t>
      </w:r>
      <w:r>
        <w:rPr>
          <w:rStyle w:val="default"/>
          <w:rFonts w:cs="FrankRuehl" w:hint="cs"/>
          <w:rtl/>
        </w:rPr>
        <w:t>-</w:t>
      </w:r>
      <w:r w:rsidR="003050A3">
        <w:rPr>
          <w:rStyle w:val="default"/>
          <w:rFonts w:cs="FrankRuehl" w:hint="cs"/>
          <w:rtl/>
        </w:rPr>
        <w:t xml:space="preserve">1975 (להלן </w:t>
      </w:r>
      <w:r>
        <w:rPr>
          <w:rStyle w:val="default"/>
          <w:rFonts w:cs="FrankRuehl" w:hint="cs"/>
          <w:rtl/>
        </w:rPr>
        <w:t>-</w:t>
      </w:r>
      <w:r w:rsidR="003050A3">
        <w:rPr>
          <w:rStyle w:val="default"/>
          <w:rFonts w:cs="FrankRuehl" w:hint="cs"/>
          <w:rtl/>
        </w:rPr>
        <w:t xml:space="preserve"> תקנות מס רכישה), אני קובע כי יראו כעולה לענין תקנה 12 לתקנות מס רכישה, גם מי</w:t>
      </w:r>
      <w:r w:rsidR="003050A3">
        <w:rPr>
          <w:rStyle w:val="default"/>
          <w:rFonts w:cs="FrankRuehl"/>
          <w:rtl/>
        </w:rPr>
        <w:t xml:space="preserve"> </w:t>
      </w:r>
      <w:r w:rsidR="003050A3">
        <w:rPr>
          <w:rStyle w:val="default"/>
          <w:rFonts w:cs="FrankRuehl" w:hint="cs"/>
          <w:rtl/>
        </w:rPr>
        <w:t>שנכנס בשנית לישראל, אם שוכנע המנהל כי בעת שהותו לראשונה בישראל נתקיימו כל אלה:</w:t>
      </w:r>
    </w:p>
    <w:p w:rsidR="003050A3" w:rsidRDefault="003050A3" w:rsidP="00774C7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היתה בידו אשרה או רשיון לישיבת ארעי מסוג א1 (עולה בכח) לפי תקנה 6(א) לתקנות הכניסה לישראל, תשל"ד</w:t>
      </w:r>
      <w:r w:rsidR="00774C7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1974;</w:t>
      </w:r>
    </w:p>
    <w:p w:rsidR="003050A3" w:rsidRDefault="003050A3" w:rsidP="00774C7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(2)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וא שהה בישראל לצורך שירות סדיר לפי חוק שירות בטחון [נוסח משולב],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תשמ"ו</w:t>
      </w:r>
      <w:r w:rsidR="00774C7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1986, או למטרת לימודים, או שהיה "מרצה אורח" או "מומחה חוץ" כמשמעותם בתקנות מס הכנסה (ניכוי הוצאות שהייה לתושבי חוץ), תשל"ט</w:t>
      </w:r>
      <w:r w:rsidR="00774C7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1979;</w:t>
      </w:r>
    </w:p>
    <w:p w:rsidR="003050A3" w:rsidRDefault="003050A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(3)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עת שהותו לראשונה בישראל לא רכש זכות במקרקעין בפטור ממס רכישה לפי תקנות 12 לתקנות מס רכישה.</w:t>
      </w:r>
    </w:p>
    <w:p w:rsidR="003050A3" w:rsidRDefault="003050A3" w:rsidP="00774C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4C7E" w:rsidRDefault="00774C7E" w:rsidP="00774C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050A3" w:rsidRDefault="003050A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באייר תשנ"ב (17 במא</w:t>
      </w:r>
      <w:r>
        <w:rPr>
          <w:rtl/>
        </w:rPr>
        <w:t>י</w:t>
      </w:r>
      <w:r>
        <w:rPr>
          <w:rFonts w:hint="cs"/>
          <w:rtl/>
        </w:rPr>
        <w:t xml:space="preserve"> 1992)</w:t>
      </w:r>
      <w:r>
        <w:rPr>
          <w:rtl/>
        </w:rPr>
        <w:tab/>
      </w:r>
      <w:r>
        <w:rPr>
          <w:rFonts w:hint="cs"/>
          <w:rtl/>
        </w:rPr>
        <w:t>יצחק מודעי</w:t>
      </w:r>
    </w:p>
    <w:p w:rsidR="003050A3" w:rsidRDefault="003050A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774C7E" w:rsidRPr="00774C7E" w:rsidRDefault="00774C7E" w:rsidP="00774C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4C7E" w:rsidRPr="00774C7E" w:rsidRDefault="00774C7E" w:rsidP="00774C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50A3" w:rsidRPr="00774C7E" w:rsidRDefault="003050A3" w:rsidP="00774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3050A3" w:rsidRPr="00774C7E" w:rsidRDefault="003050A3" w:rsidP="00774C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050A3" w:rsidRPr="00774C7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4BE6" w:rsidRDefault="00794BE6">
      <w:r>
        <w:separator/>
      </w:r>
    </w:p>
  </w:endnote>
  <w:endnote w:type="continuationSeparator" w:id="0">
    <w:p w:rsidR="00794BE6" w:rsidRDefault="0079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50A3" w:rsidRDefault="003050A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050A3" w:rsidRDefault="003050A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050A3" w:rsidRDefault="003050A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4C7E">
      <w:rPr>
        <w:rFonts w:cs="TopType Jerushalmi"/>
        <w:noProof/>
        <w:color w:val="000000"/>
        <w:sz w:val="14"/>
        <w:szCs w:val="14"/>
      </w:rPr>
      <w:t>D:\Yael\hakika\Revadim\276_052.doc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50A3" w:rsidRDefault="003050A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B16C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050A3" w:rsidRDefault="003050A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050A3" w:rsidRDefault="003050A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74C7E">
      <w:rPr>
        <w:rFonts w:cs="TopType Jerushalmi"/>
        <w:noProof/>
        <w:color w:val="000000"/>
        <w:sz w:val="14"/>
        <w:szCs w:val="14"/>
      </w:rPr>
      <w:t>D:\Yael\hakika\Revadim\276_052.doc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4BE6" w:rsidRDefault="00794BE6" w:rsidP="00774C7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94BE6" w:rsidRDefault="00794BE6">
      <w:r>
        <w:continuationSeparator/>
      </w:r>
    </w:p>
  </w:footnote>
  <w:footnote w:id="1">
    <w:p w:rsidR="00774C7E" w:rsidRPr="00774C7E" w:rsidRDefault="00774C7E" w:rsidP="00774C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74C7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751B2">
          <w:rPr>
            <w:rStyle w:val="Hyperlink"/>
            <w:rFonts w:hint="cs"/>
            <w:sz w:val="20"/>
            <w:rtl/>
          </w:rPr>
          <w:t>י"פ תשנ"ב מס' 4019</w:t>
        </w:r>
      </w:hyperlink>
      <w:r>
        <w:rPr>
          <w:rFonts w:hint="cs"/>
          <w:sz w:val="20"/>
          <w:rtl/>
        </w:rPr>
        <w:t xml:space="preserve"> מיום 22.6.1992 עמ' 3696.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50A3" w:rsidRDefault="003050A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על קביעת עולה, תשנ"ב–1992</w:t>
    </w:r>
  </w:p>
  <w:p w:rsidR="003050A3" w:rsidRDefault="003050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050A3" w:rsidRDefault="003050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50A3" w:rsidRDefault="003050A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הודעה על קביעת עולה, תשנ"ב–1992</w:t>
    </w:r>
  </w:p>
  <w:p w:rsidR="003050A3" w:rsidRDefault="003050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050A3" w:rsidRDefault="003050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0A3"/>
    <w:rsid w:val="000B16C2"/>
    <w:rsid w:val="003050A3"/>
    <w:rsid w:val="003B5D7F"/>
    <w:rsid w:val="00774C7E"/>
    <w:rsid w:val="00794BE6"/>
    <w:rsid w:val="009751B2"/>
    <w:rsid w:val="009B3A67"/>
    <w:rsid w:val="00D7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4878BB-3B0C-4547-92A6-0DC483E6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sid w:val="009751B2"/>
    <w:rPr>
      <w:color w:val="0000FF"/>
      <w:u w:val="single"/>
    </w:rPr>
  </w:style>
  <w:style w:type="paragraph" w:styleId="a5">
    <w:name w:val="footnote text"/>
    <w:basedOn w:val="a"/>
    <w:semiHidden/>
    <w:rsid w:val="00774C7E"/>
    <w:rPr>
      <w:sz w:val="20"/>
      <w:szCs w:val="20"/>
    </w:rPr>
  </w:style>
  <w:style w:type="character" w:styleId="a6">
    <w:name w:val="footnote reference"/>
    <w:basedOn w:val="a0"/>
    <w:semiHidden/>
    <w:rsid w:val="00774C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40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276</vt:lpstr>
    </vt:vector>
  </TitlesOfParts>
  <Company/>
  <LinksUpToDate>false</LinksUpToDate>
  <CharactersWithSpaces>885</CharactersWithSpaces>
  <SharedDoc>false</SharedDoc>
  <HLinks>
    <vt:vector size="6" baseType="variant"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http://www.nevo.co.il/Law_word/law10/YALKUT-4019.pdf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276</dc:title>
  <dc:subject/>
  <dc:creator>Liat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0276</vt:lpwstr>
  </property>
  <property fmtid="{D5CDD505-2E9C-101B-9397-08002B2CF9AE}" pid="3" name="CHNAME">
    <vt:lpwstr>מס שבח מקרקעין</vt:lpwstr>
  </property>
  <property fmtid="{D5CDD505-2E9C-101B-9397-08002B2CF9AE}" pid="4" name="LAWNAME">
    <vt:lpwstr>הודעה על קביעת עולה, תשנ"ב–1992</vt:lpwstr>
  </property>
  <property fmtid="{D5CDD505-2E9C-101B-9397-08002B2CF9AE}" pid="5" name="LAWNUMBER">
    <vt:lpwstr>0052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מיסוי מקרקעין</vt:lpwstr>
  </property>
  <property fmtid="{D5CDD505-2E9C-101B-9397-08002B2CF9AE}" pid="9" name="NOSE31">
    <vt:lpwstr>מס שבח מקרקעין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קניין</vt:lpwstr>
  </property>
  <property fmtid="{D5CDD505-2E9C-101B-9397-08002B2CF9AE}" pid="13" name="NOSE32">
    <vt:lpwstr>מקרקעין</vt:lpwstr>
  </property>
  <property fmtid="{D5CDD505-2E9C-101B-9397-08002B2CF9AE}" pid="14" name="NOSE42">
    <vt:lpwstr>מיסוי מקרקעין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