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432E" w14:textId="77777777" w:rsidR="00055D49" w:rsidRDefault="000400F3" w:rsidP="00172AD8">
      <w:pPr>
        <w:pStyle w:val="big-header"/>
        <w:ind w:left="0" w:right="1134"/>
        <w:rPr>
          <w:rFonts w:hint="cs"/>
          <w:rtl/>
        </w:rPr>
      </w:pPr>
      <w:r>
        <w:rPr>
          <w:rFonts w:hint="cs"/>
          <w:rtl/>
        </w:rPr>
        <w:t>הודעת מנהל בתי המשפט בדבר סוגי עניינים שיידונו בבתי המשפט</w:t>
      </w:r>
    </w:p>
    <w:p w14:paraId="7FEE36AA" w14:textId="77777777" w:rsidR="00F5135A" w:rsidRPr="00F5135A" w:rsidRDefault="00F5135A" w:rsidP="00F5135A">
      <w:pPr>
        <w:spacing w:line="320" w:lineRule="auto"/>
        <w:jc w:val="left"/>
        <w:rPr>
          <w:rFonts w:cs="FrankRuehl"/>
          <w:szCs w:val="26"/>
          <w:rtl/>
        </w:rPr>
      </w:pPr>
    </w:p>
    <w:p w14:paraId="70B41ACE" w14:textId="77777777" w:rsidR="00F5135A" w:rsidRDefault="00F5135A" w:rsidP="00F5135A">
      <w:pPr>
        <w:spacing w:line="320" w:lineRule="auto"/>
        <w:jc w:val="left"/>
        <w:rPr>
          <w:rFonts w:cs="Miriam"/>
          <w:szCs w:val="22"/>
          <w:rtl/>
        </w:rPr>
      </w:pPr>
      <w:r w:rsidRPr="00F5135A">
        <w:rPr>
          <w:rFonts w:cs="Miriam"/>
          <w:szCs w:val="22"/>
          <w:rtl/>
        </w:rPr>
        <w:t>בתי משפט וסדרי דין</w:t>
      </w:r>
      <w:r w:rsidRPr="00F5135A">
        <w:rPr>
          <w:rFonts w:cs="FrankRuehl"/>
          <w:szCs w:val="26"/>
          <w:rtl/>
        </w:rPr>
        <w:t xml:space="preserve"> – בתי משפט ובתי דין</w:t>
      </w:r>
    </w:p>
    <w:p w14:paraId="48754533" w14:textId="77777777" w:rsidR="00F5135A" w:rsidRDefault="00F5135A" w:rsidP="00F5135A">
      <w:pPr>
        <w:spacing w:line="320" w:lineRule="auto"/>
        <w:jc w:val="left"/>
        <w:rPr>
          <w:rFonts w:cs="Miriam"/>
          <w:szCs w:val="22"/>
          <w:rtl/>
        </w:rPr>
      </w:pPr>
      <w:r w:rsidRPr="00F5135A">
        <w:rPr>
          <w:rFonts w:cs="Miriam"/>
          <w:szCs w:val="22"/>
          <w:rtl/>
        </w:rPr>
        <w:t>בתי משפט וסדרי דין</w:t>
      </w:r>
      <w:r w:rsidRPr="00F5135A">
        <w:rPr>
          <w:rFonts w:cs="FrankRuehl"/>
          <w:szCs w:val="26"/>
          <w:rtl/>
        </w:rPr>
        <w:t xml:space="preserve"> – סדר דין פלילי</w:t>
      </w:r>
    </w:p>
    <w:p w14:paraId="55EC92D0" w14:textId="77777777" w:rsidR="00F5135A" w:rsidRDefault="00F5135A" w:rsidP="00F5135A">
      <w:pPr>
        <w:spacing w:line="320" w:lineRule="auto"/>
        <w:jc w:val="left"/>
        <w:rPr>
          <w:rFonts w:cs="Miriam"/>
          <w:szCs w:val="22"/>
          <w:rtl/>
        </w:rPr>
      </w:pPr>
      <w:r w:rsidRPr="00F5135A">
        <w:rPr>
          <w:rFonts w:cs="Miriam"/>
          <w:szCs w:val="22"/>
          <w:rtl/>
        </w:rPr>
        <w:t>בתי משפט וסדרי דין</w:t>
      </w:r>
      <w:r w:rsidRPr="00F5135A">
        <w:rPr>
          <w:rFonts w:cs="FrankRuehl"/>
          <w:szCs w:val="26"/>
          <w:rtl/>
        </w:rPr>
        <w:t xml:space="preserve"> – סדר דין אזרחי</w:t>
      </w:r>
    </w:p>
    <w:p w14:paraId="6FC914DE" w14:textId="77777777" w:rsidR="00F5135A" w:rsidRDefault="00F5135A" w:rsidP="00F5135A">
      <w:pPr>
        <w:spacing w:line="320" w:lineRule="auto"/>
        <w:jc w:val="left"/>
        <w:rPr>
          <w:rFonts w:cs="Miriam"/>
          <w:szCs w:val="22"/>
          <w:rtl/>
        </w:rPr>
      </w:pPr>
      <w:r w:rsidRPr="00F5135A">
        <w:rPr>
          <w:rFonts w:cs="Miriam"/>
          <w:szCs w:val="22"/>
          <w:rtl/>
        </w:rPr>
        <w:t>בתי משפט וסדרי דין</w:t>
      </w:r>
      <w:r w:rsidRPr="00F5135A">
        <w:rPr>
          <w:rFonts w:cs="FrankRuehl"/>
          <w:szCs w:val="26"/>
          <w:rtl/>
        </w:rPr>
        <w:t xml:space="preserve"> – הוצאה לפועל</w:t>
      </w:r>
    </w:p>
    <w:p w14:paraId="10328AA7" w14:textId="77777777" w:rsidR="007403BE" w:rsidRPr="00F5135A" w:rsidRDefault="00F5135A" w:rsidP="00F5135A">
      <w:pPr>
        <w:spacing w:line="320" w:lineRule="auto"/>
        <w:jc w:val="left"/>
        <w:rPr>
          <w:rFonts w:cs="Miriam" w:hint="cs"/>
          <w:szCs w:val="22"/>
          <w:rtl/>
        </w:rPr>
      </w:pPr>
      <w:r w:rsidRPr="00F5135A">
        <w:rPr>
          <w:rFonts w:cs="Miriam"/>
          <w:szCs w:val="22"/>
          <w:rtl/>
        </w:rPr>
        <w:t>בטחון</w:t>
      </w:r>
      <w:r w:rsidRPr="00F5135A">
        <w:rPr>
          <w:rFonts w:cs="FrankRuehl"/>
          <w:szCs w:val="26"/>
          <w:rtl/>
        </w:rPr>
        <w:t xml:space="preserve"> – שעת חירום – שיפוט ועזרה משפטית</w:t>
      </w:r>
    </w:p>
    <w:p w14:paraId="7DFDE1D6" w14:textId="77777777" w:rsidR="00055D49" w:rsidRDefault="00055D4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1910" w:rsidRPr="00CF1910" w14:paraId="7A266C8D" w14:textId="77777777" w:rsidTr="00CF1910">
        <w:tblPrEx>
          <w:tblCellMar>
            <w:top w:w="0" w:type="dxa"/>
            <w:bottom w:w="0" w:type="dxa"/>
          </w:tblCellMar>
        </w:tblPrEx>
        <w:tc>
          <w:tcPr>
            <w:tcW w:w="1247" w:type="dxa"/>
          </w:tcPr>
          <w:p w14:paraId="0FCDBF4A" w14:textId="77777777" w:rsidR="00CF1910" w:rsidRPr="00CF1910" w:rsidRDefault="00CF1910" w:rsidP="00CF1910">
            <w:pPr>
              <w:spacing w:line="240" w:lineRule="auto"/>
              <w:jc w:val="left"/>
              <w:rPr>
                <w:rFonts w:cs="Frankruhel"/>
                <w:sz w:val="24"/>
                <w:rtl/>
              </w:rPr>
            </w:pPr>
            <w:r>
              <w:rPr>
                <w:rFonts w:cs="Times New Roman"/>
                <w:sz w:val="24"/>
                <w:rtl/>
              </w:rPr>
              <w:t xml:space="preserve">סעיף 1 </w:t>
            </w:r>
          </w:p>
        </w:tc>
        <w:tc>
          <w:tcPr>
            <w:tcW w:w="5669" w:type="dxa"/>
          </w:tcPr>
          <w:p w14:paraId="633026C3" w14:textId="77777777" w:rsidR="00CF1910" w:rsidRPr="00CF1910" w:rsidRDefault="00CF1910" w:rsidP="00CF1910">
            <w:pPr>
              <w:spacing w:line="240" w:lineRule="auto"/>
              <w:jc w:val="left"/>
              <w:rPr>
                <w:rFonts w:cs="Frankruhel"/>
                <w:sz w:val="24"/>
                <w:rtl/>
              </w:rPr>
            </w:pPr>
            <w:r>
              <w:rPr>
                <w:rFonts w:cs="Times New Roman"/>
                <w:sz w:val="24"/>
                <w:rtl/>
              </w:rPr>
              <w:t>בית המשפט העליון</w:t>
            </w:r>
          </w:p>
        </w:tc>
        <w:tc>
          <w:tcPr>
            <w:tcW w:w="567" w:type="dxa"/>
          </w:tcPr>
          <w:p w14:paraId="494BFF79" w14:textId="77777777" w:rsidR="00CF1910" w:rsidRPr="00CF1910" w:rsidRDefault="00CF1910" w:rsidP="00CF1910">
            <w:pPr>
              <w:spacing w:line="240" w:lineRule="auto"/>
              <w:jc w:val="left"/>
              <w:rPr>
                <w:rStyle w:val="Hyperlink"/>
                <w:rtl/>
              </w:rPr>
            </w:pPr>
            <w:hyperlink w:anchor="Seif1" w:tooltip="בית המשפט העליון" w:history="1">
              <w:r w:rsidRPr="00CF1910">
                <w:rPr>
                  <w:rStyle w:val="Hyperlink"/>
                </w:rPr>
                <w:t>Go</w:t>
              </w:r>
            </w:hyperlink>
          </w:p>
        </w:tc>
        <w:tc>
          <w:tcPr>
            <w:tcW w:w="850" w:type="dxa"/>
          </w:tcPr>
          <w:p w14:paraId="0394AFBC" w14:textId="77777777" w:rsidR="00CF1910" w:rsidRPr="00CF1910" w:rsidRDefault="00CF1910" w:rsidP="00CF1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F1910" w:rsidRPr="00CF1910" w14:paraId="01F63D48" w14:textId="77777777" w:rsidTr="00CF1910">
        <w:tblPrEx>
          <w:tblCellMar>
            <w:top w:w="0" w:type="dxa"/>
            <w:bottom w:w="0" w:type="dxa"/>
          </w:tblCellMar>
        </w:tblPrEx>
        <w:tc>
          <w:tcPr>
            <w:tcW w:w="1247" w:type="dxa"/>
          </w:tcPr>
          <w:p w14:paraId="2F1F5256" w14:textId="77777777" w:rsidR="00CF1910" w:rsidRPr="00CF1910" w:rsidRDefault="00CF1910" w:rsidP="00CF1910">
            <w:pPr>
              <w:spacing w:line="240" w:lineRule="auto"/>
              <w:jc w:val="left"/>
              <w:rPr>
                <w:rFonts w:cs="Frankruhel"/>
                <w:sz w:val="24"/>
                <w:rtl/>
              </w:rPr>
            </w:pPr>
            <w:r>
              <w:rPr>
                <w:rFonts w:cs="Times New Roman"/>
                <w:sz w:val="24"/>
                <w:rtl/>
              </w:rPr>
              <w:t xml:space="preserve">סעיף 2 </w:t>
            </w:r>
          </w:p>
        </w:tc>
        <w:tc>
          <w:tcPr>
            <w:tcW w:w="5669" w:type="dxa"/>
          </w:tcPr>
          <w:p w14:paraId="5FA6837C" w14:textId="77777777" w:rsidR="00CF1910" w:rsidRPr="00CF1910" w:rsidRDefault="00CF1910" w:rsidP="00CF1910">
            <w:pPr>
              <w:spacing w:line="240" w:lineRule="auto"/>
              <w:jc w:val="left"/>
              <w:rPr>
                <w:rFonts w:cs="Frankruhel"/>
                <w:sz w:val="24"/>
                <w:rtl/>
              </w:rPr>
            </w:pPr>
            <w:r>
              <w:rPr>
                <w:rFonts w:cs="Times New Roman"/>
                <w:sz w:val="24"/>
                <w:rtl/>
              </w:rPr>
              <w:t>בתי המשפט המחוזיים</w:t>
            </w:r>
          </w:p>
        </w:tc>
        <w:tc>
          <w:tcPr>
            <w:tcW w:w="567" w:type="dxa"/>
          </w:tcPr>
          <w:p w14:paraId="120F0883" w14:textId="77777777" w:rsidR="00CF1910" w:rsidRPr="00CF1910" w:rsidRDefault="00CF1910" w:rsidP="00CF1910">
            <w:pPr>
              <w:spacing w:line="240" w:lineRule="auto"/>
              <w:jc w:val="left"/>
              <w:rPr>
                <w:rStyle w:val="Hyperlink"/>
                <w:rtl/>
              </w:rPr>
            </w:pPr>
            <w:hyperlink w:anchor="Seif2" w:tooltip="בתי המשפט המחוזיים" w:history="1">
              <w:r w:rsidRPr="00CF1910">
                <w:rPr>
                  <w:rStyle w:val="Hyperlink"/>
                </w:rPr>
                <w:t>Go</w:t>
              </w:r>
            </w:hyperlink>
          </w:p>
        </w:tc>
        <w:tc>
          <w:tcPr>
            <w:tcW w:w="850" w:type="dxa"/>
          </w:tcPr>
          <w:p w14:paraId="65C6429C" w14:textId="77777777" w:rsidR="00CF1910" w:rsidRPr="00CF1910" w:rsidRDefault="00CF1910" w:rsidP="00CF1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F1910" w:rsidRPr="00CF1910" w14:paraId="461256C5" w14:textId="77777777" w:rsidTr="00CF1910">
        <w:tblPrEx>
          <w:tblCellMar>
            <w:top w:w="0" w:type="dxa"/>
            <w:bottom w:w="0" w:type="dxa"/>
          </w:tblCellMar>
        </w:tblPrEx>
        <w:tc>
          <w:tcPr>
            <w:tcW w:w="1247" w:type="dxa"/>
          </w:tcPr>
          <w:p w14:paraId="5E99A821" w14:textId="77777777" w:rsidR="00CF1910" w:rsidRPr="00CF1910" w:rsidRDefault="00CF1910" w:rsidP="00CF1910">
            <w:pPr>
              <w:spacing w:line="240" w:lineRule="auto"/>
              <w:jc w:val="left"/>
              <w:rPr>
                <w:rFonts w:cs="Frankruhel"/>
                <w:sz w:val="24"/>
                <w:rtl/>
              </w:rPr>
            </w:pPr>
            <w:r>
              <w:rPr>
                <w:rFonts w:cs="Times New Roman"/>
                <w:sz w:val="24"/>
                <w:rtl/>
              </w:rPr>
              <w:t xml:space="preserve">סעיף 3 </w:t>
            </w:r>
          </w:p>
        </w:tc>
        <w:tc>
          <w:tcPr>
            <w:tcW w:w="5669" w:type="dxa"/>
          </w:tcPr>
          <w:p w14:paraId="47D3E3F0" w14:textId="77777777" w:rsidR="00CF1910" w:rsidRPr="00CF1910" w:rsidRDefault="00CF1910" w:rsidP="00CF1910">
            <w:pPr>
              <w:spacing w:line="240" w:lineRule="auto"/>
              <w:jc w:val="left"/>
              <w:rPr>
                <w:rFonts w:cs="Frankruhel"/>
                <w:sz w:val="24"/>
                <w:rtl/>
              </w:rPr>
            </w:pPr>
            <w:r>
              <w:rPr>
                <w:rFonts w:cs="Times New Roman"/>
                <w:sz w:val="24"/>
                <w:rtl/>
              </w:rPr>
              <w:t>בתי משפט שלום, לרבות בתי משפט שלום לנוער, בתי משפט לתעבורה, בתי משפט לענייני משפחה ובתי משפט לעניינים מקומיים</w:t>
            </w:r>
          </w:p>
        </w:tc>
        <w:tc>
          <w:tcPr>
            <w:tcW w:w="567" w:type="dxa"/>
          </w:tcPr>
          <w:p w14:paraId="26DC58E3" w14:textId="77777777" w:rsidR="00CF1910" w:rsidRPr="00CF1910" w:rsidRDefault="00CF1910" w:rsidP="00CF1910">
            <w:pPr>
              <w:spacing w:line="240" w:lineRule="auto"/>
              <w:jc w:val="left"/>
              <w:rPr>
                <w:rStyle w:val="Hyperlink"/>
                <w:rtl/>
              </w:rPr>
            </w:pPr>
            <w:hyperlink w:anchor="Seif3" w:tooltip="בתי משפט שלום, לרבות בתי משפט שלום לנוער, בתי משפט לתעבורה, בתי משפט לענייני משפחה ובתי משפט לעניינים מקומיים" w:history="1">
              <w:r w:rsidRPr="00CF1910">
                <w:rPr>
                  <w:rStyle w:val="Hyperlink"/>
                </w:rPr>
                <w:t>Go</w:t>
              </w:r>
            </w:hyperlink>
          </w:p>
        </w:tc>
        <w:tc>
          <w:tcPr>
            <w:tcW w:w="850" w:type="dxa"/>
          </w:tcPr>
          <w:p w14:paraId="6E4AC91D" w14:textId="77777777" w:rsidR="00CF1910" w:rsidRPr="00CF1910" w:rsidRDefault="00CF1910" w:rsidP="00CF19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48979982" w14:textId="77777777" w:rsidR="00055D49" w:rsidRDefault="00055D49">
      <w:pPr>
        <w:pStyle w:val="big-header"/>
        <w:ind w:left="0" w:right="1134"/>
        <w:rPr>
          <w:rtl/>
        </w:rPr>
      </w:pPr>
    </w:p>
    <w:p w14:paraId="7AE8F72D" w14:textId="77777777" w:rsidR="00055D49" w:rsidRDefault="00055D49" w:rsidP="007403BE">
      <w:pPr>
        <w:pStyle w:val="big-header"/>
        <w:ind w:left="0" w:right="1134"/>
        <w:rPr>
          <w:rStyle w:val="a6"/>
          <w:rtl/>
        </w:rPr>
      </w:pPr>
      <w:r>
        <w:rPr>
          <w:rtl/>
        </w:rPr>
        <w:br w:type="page"/>
      </w:r>
      <w:r w:rsidR="000400F3">
        <w:rPr>
          <w:rFonts w:hint="cs"/>
          <w:rtl/>
        </w:rPr>
        <w:lastRenderedPageBreak/>
        <w:t>הודעת מנהל בתי המשפט בדבר סוגי עניינים שיידונו בבתי המשפט</w:t>
      </w:r>
      <w:r w:rsidR="00172AD8">
        <w:rPr>
          <w:rStyle w:val="a6"/>
          <w:rtl/>
        </w:rPr>
        <w:footnoteReference w:customMarkFollows="1" w:id="1"/>
        <w:t>*</w:t>
      </w:r>
    </w:p>
    <w:p w14:paraId="565F6937" w14:textId="77777777" w:rsidR="000400F3" w:rsidRPr="000400F3" w:rsidRDefault="000400F3" w:rsidP="000400F3">
      <w:pPr>
        <w:pStyle w:val="P00"/>
        <w:spacing w:before="72"/>
        <w:ind w:left="0" w:right="1134"/>
        <w:jc w:val="center"/>
        <w:rPr>
          <w:rStyle w:val="default"/>
          <w:rFonts w:cs="FrankRuehl" w:hint="cs"/>
          <w:sz w:val="18"/>
          <w:szCs w:val="24"/>
          <w:rtl/>
        </w:rPr>
      </w:pPr>
      <w:r>
        <w:rPr>
          <w:rStyle w:val="default"/>
          <w:rFonts w:cs="FrankRuehl" w:hint="cs"/>
          <w:sz w:val="18"/>
          <w:szCs w:val="24"/>
          <w:rtl/>
        </w:rPr>
        <w:t xml:space="preserve">לפי תקנות בתי המשפט ולשכות ההוצאה לפועל </w:t>
      </w:r>
      <w:r>
        <w:rPr>
          <w:rStyle w:val="default"/>
          <w:rFonts w:cs="FrankRuehl"/>
          <w:sz w:val="18"/>
          <w:szCs w:val="24"/>
          <w:rtl/>
        </w:rPr>
        <w:br/>
      </w:r>
      <w:r>
        <w:rPr>
          <w:rStyle w:val="default"/>
          <w:rFonts w:cs="FrankRuehl" w:hint="cs"/>
          <w:sz w:val="18"/>
          <w:szCs w:val="24"/>
          <w:rtl/>
        </w:rPr>
        <w:t>(סדרי דין במצב חירום מיוחד), התשנ"א-1991</w:t>
      </w:r>
    </w:p>
    <w:p w14:paraId="2554442A" w14:textId="77777777" w:rsidR="00055D49" w:rsidRDefault="00055D49" w:rsidP="00172AD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0400F3">
        <w:rPr>
          <w:rStyle w:val="default"/>
          <w:rFonts w:cs="FrankRuehl" w:hint="cs"/>
          <w:rtl/>
        </w:rPr>
        <w:t xml:space="preserve">תקנה 3(ה) לתקנות בתי המשפט ולשכות ההוצאה לפועל (סדרי דין במצב חירום מיוחד), התשנ"א-1991 (להלן </w:t>
      </w:r>
      <w:r w:rsidR="000400F3">
        <w:rPr>
          <w:rStyle w:val="default"/>
          <w:rFonts w:cs="FrankRuehl"/>
          <w:rtl/>
        </w:rPr>
        <w:t>–</w:t>
      </w:r>
      <w:r w:rsidR="000400F3">
        <w:rPr>
          <w:rStyle w:val="default"/>
          <w:rFonts w:cs="FrankRuehl" w:hint="cs"/>
          <w:rtl/>
        </w:rPr>
        <w:t xml:space="preserve"> התקנות), אני קובע כי נוסף על סוגי העניינים המנויים בתקנה 3(א)(1) עד (5) לתקנות, בתקופת תוקפה של הודעת שר המשפטים בדבר מצב חירום מיוחד יישמעו סוגי העניינים המפורטים להלן</w:t>
      </w:r>
      <w:r>
        <w:rPr>
          <w:rStyle w:val="default"/>
          <w:rFonts w:cs="FrankRuehl" w:hint="cs"/>
          <w:rtl/>
        </w:rPr>
        <w:t>:</w:t>
      </w:r>
    </w:p>
    <w:p w14:paraId="2CC7C94A" w14:textId="77777777" w:rsidR="00055D49" w:rsidRDefault="00055D49">
      <w:pPr>
        <w:pStyle w:val="P00"/>
        <w:spacing w:before="72"/>
        <w:ind w:left="0" w:right="1134"/>
        <w:rPr>
          <w:rStyle w:val="default"/>
          <w:rFonts w:cs="FrankRuehl"/>
          <w:rtl/>
        </w:rPr>
      </w:pPr>
      <w:bookmarkStart w:id="0" w:name="Seif1"/>
      <w:bookmarkEnd w:id="0"/>
      <w:r>
        <w:rPr>
          <w:lang w:val="he-IL"/>
        </w:rPr>
        <w:pict w14:anchorId="3D78F0E3">
          <v:rect id="_x0000_s1026" style="position:absolute;left:0;text-align:left;margin-left:464.5pt;margin-top:8.05pt;width:75.05pt;height:14.4pt;z-index:251656704" o:allowincell="f" filled="f" stroked="f" strokecolor="lime" strokeweight=".25pt">
            <v:textbox style="mso-next-textbox:#_x0000_s1026" inset="0,0,0,0">
              <w:txbxContent>
                <w:p w14:paraId="5F6409DB" w14:textId="77777777" w:rsidR="00055D49" w:rsidRDefault="00DF6412">
                  <w:pPr>
                    <w:spacing w:line="160" w:lineRule="exact"/>
                    <w:jc w:val="left"/>
                    <w:rPr>
                      <w:rFonts w:cs="Miriam"/>
                      <w:noProof/>
                      <w:szCs w:val="18"/>
                      <w:rtl/>
                    </w:rPr>
                  </w:pPr>
                  <w:r>
                    <w:rPr>
                      <w:rFonts w:cs="Miriam" w:hint="cs"/>
                      <w:szCs w:val="18"/>
                      <w:rtl/>
                    </w:rPr>
                    <w:t>בית המשפט העליון</w:t>
                  </w:r>
                </w:p>
              </w:txbxContent>
            </v:textbox>
            <w10:anchorlock/>
          </v:rect>
        </w:pict>
      </w:r>
      <w:r>
        <w:rPr>
          <w:rStyle w:val="big-number"/>
          <w:rtl/>
        </w:rPr>
        <w:t>1.</w:t>
      </w:r>
      <w:r>
        <w:rPr>
          <w:rStyle w:val="big-number"/>
          <w:rtl/>
        </w:rPr>
        <w:tab/>
      </w:r>
      <w:r w:rsidR="00DF6412">
        <w:rPr>
          <w:rStyle w:val="default"/>
          <w:rFonts w:cs="FrankRuehl" w:hint="cs"/>
          <w:rtl/>
        </w:rPr>
        <w:t>(א)</w:t>
      </w:r>
      <w:r w:rsidR="00DF6412">
        <w:rPr>
          <w:rStyle w:val="default"/>
          <w:rFonts w:cs="FrankRuehl"/>
          <w:rtl/>
        </w:rPr>
        <w:tab/>
      </w:r>
      <w:r w:rsidR="00DF6412">
        <w:rPr>
          <w:rStyle w:val="default"/>
          <w:rFonts w:cs="FrankRuehl" w:hint="cs"/>
          <w:rtl/>
        </w:rPr>
        <w:t>עתירות לבית המשפט הגבוה לצדק.</w:t>
      </w:r>
    </w:p>
    <w:p w14:paraId="0781E10C" w14:textId="77777777" w:rsidR="00DF6412" w:rsidRDefault="002B7AB2" w:rsidP="002B7AB2">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DF6412">
        <w:rPr>
          <w:rStyle w:val="default"/>
          <w:rFonts w:cs="FrankRuehl" w:hint="cs"/>
          <w:rtl/>
        </w:rPr>
        <w:t>הליכי ערעור דחופים בעניינים פליליים, אזרחיים ומינהליים</w:t>
      </w:r>
      <w:r w:rsidR="00FF1BAA">
        <w:rPr>
          <w:rStyle w:val="default"/>
          <w:rFonts w:cs="FrankRuehl" w:hint="cs"/>
          <w:rtl/>
        </w:rPr>
        <w:t xml:space="preserve"> ובכלל זה הליכי ערעור שהוגשו עד ליום כ"ג בטבת התשע"ט (31 בדצמבר 2018)</w:t>
      </w:r>
      <w:r w:rsidR="00DF6412">
        <w:rPr>
          <w:rStyle w:val="default"/>
          <w:rFonts w:cs="FrankRuehl" w:hint="cs"/>
          <w:rtl/>
        </w:rPr>
        <w:t>.</w:t>
      </w:r>
    </w:p>
    <w:p w14:paraId="1CA32F93" w14:textId="77777777" w:rsidR="00DF6412" w:rsidRDefault="00DF641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הליכים דחופים המתבררים בפני דן יחיד בבית המשפט העליון.</w:t>
      </w:r>
    </w:p>
    <w:p w14:paraId="3B64E64E" w14:textId="77777777" w:rsidR="00055D49" w:rsidRDefault="00055D49" w:rsidP="00172AD8">
      <w:pPr>
        <w:pStyle w:val="P00"/>
        <w:spacing w:before="72"/>
        <w:ind w:left="0" w:right="1134"/>
        <w:rPr>
          <w:rStyle w:val="default"/>
          <w:rFonts w:cs="FrankRuehl"/>
          <w:rtl/>
        </w:rPr>
      </w:pPr>
      <w:bookmarkStart w:id="1" w:name="Seif2"/>
      <w:bookmarkEnd w:id="1"/>
      <w:r>
        <w:rPr>
          <w:lang w:val="he-IL"/>
        </w:rPr>
        <w:pict w14:anchorId="63BE072F">
          <v:rect id="_x0000_s1027" style="position:absolute;left:0;text-align:left;margin-left:464.5pt;margin-top:8.05pt;width:75.05pt;height:21.95pt;z-index:251657728" o:allowincell="f" filled="f" stroked="f" strokecolor="lime" strokeweight=".25pt">
            <v:textbox style="mso-next-textbox:#_x0000_s1027" inset="0,0,0,0">
              <w:txbxContent>
                <w:p w14:paraId="3998A6FA" w14:textId="77777777" w:rsidR="00055D49" w:rsidRDefault="00DF6412">
                  <w:pPr>
                    <w:spacing w:line="160" w:lineRule="exact"/>
                    <w:jc w:val="left"/>
                    <w:rPr>
                      <w:rFonts w:cs="Miriam"/>
                      <w:noProof/>
                      <w:szCs w:val="18"/>
                      <w:rtl/>
                    </w:rPr>
                  </w:pPr>
                  <w:r>
                    <w:rPr>
                      <w:rFonts w:cs="Miriam" w:hint="cs"/>
                      <w:szCs w:val="18"/>
                      <w:rtl/>
                    </w:rPr>
                    <w:t>בתי המשפט המחוזיים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F6412">
        <w:rPr>
          <w:rStyle w:val="default"/>
          <w:rFonts w:cs="FrankRuehl" w:hint="cs"/>
          <w:rtl/>
        </w:rPr>
        <w:t>עניינים פליליים</w:t>
      </w:r>
    </w:p>
    <w:p w14:paraId="28E41840" w14:textId="77777777" w:rsidR="00DF6412" w:rsidRDefault="00FF1BAA" w:rsidP="00845158">
      <w:pPr>
        <w:pStyle w:val="P00"/>
        <w:spacing w:before="72"/>
        <w:ind w:left="1021" w:right="1134"/>
        <w:rPr>
          <w:rStyle w:val="default"/>
          <w:rFonts w:cs="FrankRuehl"/>
          <w:rtl/>
        </w:rPr>
      </w:pPr>
      <w:r>
        <w:rPr>
          <w:rStyle w:val="default"/>
          <w:rFonts w:cs="FrankRuehl" w:hint="cs"/>
          <w:rtl/>
        </w:rPr>
        <w:t xml:space="preserve">כלל העניינים הפליליים, למעט דיון בעניינו של נאשם עצור (שאינו עצור בפיקוח אלקטרוני) או אסיר לפי פרק ה', סימן ה' לחוק סדר הדין הפלילי [נוסח משולב], התשמ"ב-1982 (להלן </w:t>
      </w:r>
      <w:r>
        <w:rPr>
          <w:rStyle w:val="default"/>
          <w:rFonts w:cs="FrankRuehl"/>
          <w:rtl/>
        </w:rPr>
        <w:t>–</w:t>
      </w:r>
      <w:r>
        <w:rPr>
          <w:rStyle w:val="default"/>
          <w:rFonts w:cs="FrankRuehl" w:hint="cs"/>
          <w:rtl/>
        </w:rPr>
        <w:t xml:space="preserve"> חוק סדר הדין הפלילי), אך לרבות דיונים לפי סעיפים 169 ו-170(א) רישה.</w:t>
      </w:r>
    </w:p>
    <w:p w14:paraId="518327E4" w14:textId="77777777" w:rsidR="00E879DD" w:rsidRDefault="00E879DD"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עניינים אזרחיים</w:t>
      </w:r>
    </w:p>
    <w:p w14:paraId="2F9E2B19" w14:textId="77777777" w:rsidR="00E879DD" w:rsidRDefault="00FF1BAA" w:rsidP="00E879DD">
      <w:pPr>
        <w:pStyle w:val="P00"/>
        <w:spacing w:before="72"/>
        <w:ind w:left="1021" w:right="1134"/>
        <w:rPr>
          <w:rStyle w:val="default"/>
          <w:rFonts w:cs="FrankRuehl"/>
          <w:rtl/>
        </w:rPr>
      </w:pPr>
      <w:r>
        <w:rPr>
          <w:rStyle w:val="default"/>
          <w:rFonts w:cs="FrankRuehl" w:hint="cs"/>
          <w:rtl/>
        </w:rPr>
        <w:t>כלל העניינים האזרחיים.</w:t>
      </w:r>
    </w:p>
    <w:p w14:paraId="61E82CAE" w14:textId="77777777" w:rsidR="00E879DD" w:rsidRDefault="007077C6" w:rsidP="007077C6">
      <w:pPr>
        <w:pStyle w:val="P00"/>
        <w:spacing w:before="72"/>
        <w:ind w:left="0" w:right="1134"/>
        <w:rPr>
          <w:rStyle w:val="default"/>
          <w:rFonts w:cs="FrankRuehl"/>
          <w:rtl/>
        </w:rPr>
      </w:pPr>
      <w:r>
        <w:rPr>
          <w:rStyle w:val="default"/>
          <w:rFonts w:cs="FrankRuehl" w:hint="cs"/>
          <w:rtl/>
        </w:rPr>
        <w:tab/>
        <w:t>(</w:t>
      </w:r>
      <w:r w:rsidR="00E879DD">
        <w:rPr>
          <w:rStyle w:val="default"/>
          <w:rFonts w:cs="FrankRuehl" w:hint="cs"/>
          <w:rtl/>
        </w:rPr>
        <w:t>ג)</w:t>
      </w:r>
      <w:r w:rsidR="00E879DD">
        <w:rPr>
          <w:rStyle w:val="default"/>
          <w:rFonts w:cs="FrankRuehl"/>
          <w:rtl/>
        </w:rPr>
        <w:tab/>
      </w:r>
      <w:r w:rsidR="00E879DD">
        <w:rPr>
          <w:rStyle w:val="default"/>
          <w:rFonts w:cs="FrankRuehl" w:hint="cs"/>
          <w:rtl/>
        </w:rPr>
        <w:t>עניינים מינהליים</w:t>
      </w:r>
    </w:p>
    <w:p w14:paraId="2306FDCF" w14:textId="77777777" w:rsidR="00E879DD" w:rsidRDefault="00FF1BAA" w:rsidP="00E879DD">
      <w:pPr>
        <w:pStyle w:val="P00"/>
        <w:spacing w:before="72"/>
        <w:ind w:left="1021" w:right="1134"/>
        <w:rPr>
          <w:rStyle w:val="default"/>
          <w:rFonts w:cs="FrankRuehl"/>
          <w:rtl/>
        </w:rPr>
      </w:pPr>
      <w:r>
        <w:rPr>
          <w:rStyle w:val="default"/>
          <w:rFonts w:cs="FrankRuehl" w:hint="cs"/>
          <w:rtl/>
        </w:rPr>
        <w:t>כלל העניינים המינהליים, לרבות עתירות לפי חוק שחרור על תנאי ממאסר, התשס"א-2001, ולמעט עתירות אסיר שאינן בענייני החזקה בהפרדה</w:t>
      </w:r>
      <w:r w:rsidR="00E879DD">
        <w:rPr>
          <w:rStyle w:val="default"/>
          <w:rFonts w:cs="FrankRuehl" w:hint="cs"/>
          <w:rtl/>
        </w:rPr>
        <w:t>.</w:t>
      </w:r>
    </w:p>
    <w:p w14:paraId="5E43A592" w14:textId="77777777" w:rsidR="00E879DD" w:rsidRDefault="00E879DD"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הדין לימאות</w:t>
      </w:r>
    </w:p>
    <w:p w14:paraId="6433B4CB" w14:textId="77777777" w:rsidR="00E879DD" w:rsidRDefault="00FF1BAA" w:rsidP="00E879DD">
      <w:pPr>
        <w:pStyle w:val="P00"/>
        <w:spacing w:before="72"/>
        <w:ind w:left="1021" w:right="1134"/>
        <w:rPr>
          <w:rStyle w:val="default"/>
          <w:rFonts w:cs="FrankRuehl"/>
          <w:rtl/>
        </w:rPr>
      </w:pPr>
      <w:r>
        <w:rPr>
          <w:rStyle w:val="default"/>
          <w:rFonts w:cs="FrankRuehl" w:hint="cs"/>
          <w:rtl/>
        </w:rPr>
        <w:t>כלל העניינים שבסמכות בית הדין לימאות לפי דין</w:t>
      </w:r>
      <w:r w:rsidR="00E879DD">
        <w:rPr>
          <w:rStyle w:val="default"/>
          <w:rFonts w:cs="FrankRuehl" w:hint="cs"/>
          <w:rtl/>
        </w:rPr>
        <w:t>.</w:t>
      </w:r>
    </w:p>
    <w:p w14:paraId="2EABB906" w14:textId="77777777" w:rsidR="00055D49" w:rsidRDefault="00055D49" w:rsidP="00172AD8">
      <w:pPr>
        <w:pStyle w:val="P00"/>
        <w:spacing w:before="72"/>
        <w:ind w:left="0" w:right="1134"/>
        <w:rPr>
          <w:rStyle w:val="default"/>
          <w:rFonts w:cs="FrankRuehl"/>
          <w:rtl/>
        </w:rPr>
      </w:pPr>
      <w:bookmarkStart w:id="2" w:name="Seif3"/>
      <w:bookmarkEnd w:id="2"/>
      <w:r>
        <w:rPr>
          <w:lang w:val="he-IL"/>
        </w:rPr>
        <w:pict w14:anchorId="0C26844C">
          <v:rect id="_x0000_s1028" style="position:absolute;left:0;text-align:left;margin-left:464.5pt;margin-top:8.05pt;width:75.05pt;height:60.85pt;z-index:251658752" o:allowincell="f" filled="f" stroked="f" strokecolor="lime" strokeweight=".25pt">
            <v:textbox style="mso-next-textbox:#_x0000_s1028" inset="0,0,0,0">
              <w:txbxContent>
                <w:p w14:paraId="38FAB379" w14:textId="77777777" w:rsidR="00055D49" w:rsidRDefault="00E879DD" w:rsidP="00172AD8">
                  <w:pPr>
                    <w:spacing w:line="160" w:lineRule="exact"/>
                    <w:jc w:val="left"/>
                    <w:rPr>
                      <w:rFonts w:cs="Miriam"/>
                      <w:noProof/>
                      <w:szCs w:val="18"/>
                      <w:rtl/>
                    </w:rPr>
                  </w:pPr>
                  <w:r>
                    <w:rPr>
                      <w:rFonts w:cs="Miriam" w:hint="cs"/>
                      <w:szCs w:val="18"/>
                      <w:rtl/>
                    </w:rPr>
                    <w:t>בתי משפט שלום, לרבות בתי משפט שלום לנוער, בתי משפט לתעבורה, בתי משפט לענייני משפחה ובתי משפט לעניינים מקומיים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879DD">
        <w:rPr>
          <w:rStyle w:val="default"/>
          <w:rFonts w:cs="FrankRuehl" w:hint="cs"/>
          <w:rtl/>
        </w:rPr>
        <w:t>עניינים פליליים</w:t>
      </w:r>
    </w:p>
    <w:p w14:paraId="0CE5D687" w14:textId="77777777" w:rsidR="006A4600" w:rsidRDefault="006A4600" w:rsidP="00E879DD">
      <w:pPr>
        <w:pStyle w:val="P00"/>
        <w:spacing w:before="72"/>
        <w:ind w:left="1021" w:right="1134"/>
        <w:rPr>
          <w:rStyle w:val="default"/>
          <w:rFonts w:cs="FrankRuehl"/>
          <w:rtl/>
        </w:rPr>
      </w:pPr>
      <w:r>
        <w:rPr>
          <w:rStyle w:val="default"/>
          <w:rFonts w:cs="FrankRuehl" w:hint="cs"/>
          <w:rtl/>
        </w:rPr>
        <w:t>כלל העניינים הפליליים, למעט העניינים האלה:</w:t>
      </w:r>
    </w:p>
    <w:p w14:paraId="6863A71F" w14:textId="77777777" w:rsidR="00E879DD" w:rsidRDefault="00E879DD" w:rsidP="00E879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A4600">
        <w:rPr>
          <w:rStyle w:val="default"/>
          <w:rFonts w:cs="FrankRuehl" w:hint="cs"/>
          <w:rtl/>
        </w:rPr>
        <w:t>דיונים פליליים בעניינם של נאשמים עצורים (שאינם עצורים בפיקוח אלקטרוני) (או אסירים לפי פרק ה', סימן ה' לחוק סדר הדין הפלילי, אך לרבות דיונים לפי סעיפים 169 ו-170(א) רישה</w:t>
      </w:r>
      <w:r>
        <w:rPr>
          <w:rStyle w:val="default"/>
          <w:rFonts w:cs="FrankRuehl" w:hint="cs"/>
          <w:rtl/>
        </w:rPr>
        <w:t>;</w:t>
      </w:r>
    </w:p>
    <w:p w14:paraId="520F454D" w14:textId="77777777" w:rsidR="006A4600" w:rsidRDefault="006A4600" w:rsidP="00E879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בכתבי אישום שהוגשו לאחר יום כ"ד בטבת התשע"ט (1 בינואר 2019) </w:t>
      </w:r>
      <w:r>
        <w:rPr>
          <w:rStyle w:val="default"/>
          <w:rFonts w:cs="FrankRuehl"/>
          <w:rtl/>
        </w:rPr>
        <w:t>–</w:t>
      </w:r>
      <w:r>
        <w:rPr>
          <w:rStyle w:val="default"/>
          <w:rFonts w:cs="FrankRuehl" w:hint="cs"/>
          <w:rtl/>
        </w:rPr>
        <w:t xml:space="preserve"> דיונים פליליים שאינם הכרעת דין, שמיעת טענות לעניין העונש וגזר דין בעניינם של נאשמים שאינם עצורים, אצורים בפיקוח אלקטרוני או משוחררים בתנאים מגבילים, לרבות מעצר בית.</w:t>
      </w:r>
    </w:p>
    <w:p w14:paraId="2EE26A2C" w14:textId="77777777" w:rsidR="00E879DD" w:rsidRDefault="00E879DD"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עניינים אזרחיים</w:t>
      </w:r>
    </w:p>
    <w:p w14:paraId="3F0FF399" w14:textId="77777777" w:rsidR="00E879DD" w:rsidRDefault="00E879DD" w:rsidP="00E879D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בקשות לסעדים זמניים, לרבות עיכוב הליכים ובכלל זה עיכוב הליכי הוצאה לפועל, ולביטולם;</w:t>
      </w:r>
    </w:p>
    <w:p w14:paraId="620117B6" w14:textId="77777777" w:rsidR="00E879DD" w:rsidRDefault="00E879DD" w:rsidP="00E879D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גביית עדות מוקדמת וכן גביית עדות לפי תקנות עזרה משפטית בין מדינות, התשנ"ט-1999;</w:t>
      </w:r>
    </w:p>
    <w:p w14:paraId="5EF786DE" w14:textId="77777777" w:rsidR="00E879DD" w:rsidRDefault="00E879DD" w:rsidP="00E879D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הליכים לפי החוק למניעת הטרדה מאיימת, התשס"ב-2001;</w:t>
      </w:r>
    </w:p>
    <w:p w14:paraId="58FDE61D" w14:textId="77777777" w:rsidR="00E879DD" w:rsidRDefault="00E879DD" w:rsidP="00E879D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הליכים לפי החוק למניעת אלימות במשפחה, התשנ"א-1991</w:t>
      </w:r>
      <w:r w:rsidR="00873134">
        <w:rPr>
          <w:rStyle w:val="default"/>
          <w:rFonts w:cs="FrankRuehl" w:hint="cs"/>
          <w:rtl/>
        </w:rPr>
        <w:t xml:space="preserve"> (להלן </w:t>
      </w:r>
      <w:r w:rsidR="00873134">
        <w:rPr>
          <w:rStyle w:val="default"/>
          <w:rFonts w:cs="FrankRuehl"/>
          <w:rtl/>
        </w:rPr>
        <w:t>–</w:t>
      </w:r>
      <w:r w:rsidR="00873134">
        <w:rPr>
          <w:rStyle w:val="default"/>
          <w:rFonts w:cs="FrankRuehl" w:hint="cs"/>
          <w:rtl/>
        </w:rPr>
        <w:t xml:space="preserve"> החוק למניעת אלימות במשפחה)</w:t>
      </w:r>
      <w:r>
        <w:rPr>
          <w:rStyle w:val="default"/>
          <w:rFonts w:cs="FrankRuehl" w:hint="cs"/>
          <w:rtl/>
        </w:rPr>
        <w:t>, לרבות צווי הגנה;</w:t>
      </w:r>
    </w:p>
    <w:p w14:paraId="1F71BCDB" w14:textId="77777777" w:rsidR="00E879DD" w:rsidRDefault="00E879DD" w:rsidP="00E879D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הליכים לפי חוק הסעד (טיפול באנשים עם מוגבלות שכלית-התפתחותית), </w:t>
      </w:r>
      <w:r>
        <w:rPr>
          <w:rStyle w:val="default"/>
          <w:rFonts w:cs="FrankRuehl" w:hint="cs"/>
          <w:rtl/>
        </w:rPr>
        <w:lastRenderedPageBreak/>
        <w:t>התשכ"ט-1969</w:t>
      </w:r>
      <w:r w:rsidR="00740718">
        <w:rPr>
          <w:rStyle w:val="default"/>
          <w:rFonts w:cs="FrankRuehl" w:hint="cs"/>
          <w:rtl/>
        </w:rPr>
        <w:t>;</w:t>
      </w:r>
    </w:p>
    <w:p w14:paraId="6966DA9F" w14:textId="77777777" w:rsidR="00873134" w:rsidRDefault="00873134" w:rsidP="00E879D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הליכים לפי חוק ההגנה על חוסים, התשכ"ו-1966;</w:t>
      </w:r>
    </w:p>
    <w:p w14:paraId="29DE0764" w14:textId="77777777" w:rsidR="00873134" w:rsidRDefault="00873134" w:rsidP="00E879D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הליכים לפי חוק ניהול מוסדות (מקרים מיוחדים), התשי"ב-1952;</w:t>
      </w:r>
    </w:p>
    <w:p w14:paraId="45CE43F2" w14:textId="77777777" w:rsidR="00873134" w:rsidRDefault="00873134" w:rsidP="00E879D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בהליכי חדלות פירעון של יחיד </w:t>
      </w:r>
      <w:r>
        <w:rPr>
          <w:rStyle w:val="default"/>
          <w:rFonts w:cs="FrankRuehl"/>
          <w:rtl/>
        </w:rPr>
        <w:t>–</w:t>
      </w:r>
      <w:r>
        <w:rPr>
          <w:rStyle w:val="default"/>
          <w:rFonts w:cs="FrankRuehl" w:hint="cs"/>
          <w:rtl/>
        </w:rPr>
        <w:t xml:space="preserve"> בקשה להבאת הסדר חוב לאישור בעלי העניין בו ובקשה לאישורו בבית המשפט, בקשת נושה למתן צו פתיחת הליכים, בקשה לצו הקפאת הליכים, בקשה לצו עיכוב הליכים ובקשה לקציבת מזונות;</w:t>
      </w:r>
    </w:p>
    <w:p w14:paraId="151172BC" w14:textId="77777777" w:rsidR="00873134" w:rsidRDefault="00873134" w:rsidP="00E879DD">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בקשות לתשלום תכוף לפי חוק פיצויים לנפגעי תאונות דרכים, התשל"ה-1975;</w:t>
      </w:r>
    </w:p>
    <w:p w14:paraId="596B4547" w14:textId="77777777" w:rsidR="00873134" w:rsidRDefault="00873134" w:rsidP="00E879DD">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בקשות מנהל לפי סעיף 112א לחוק מס ערך מוסף, התשל"ו-1975;</w:t>
      </w:r>
    </w:p>
    <w:p w14:paraId="034D8A5D" w14:textId="77777777" w:rsidR="00873134" w:rsidRDefault="00873134" w:rsidP="00E879DD">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דיונים בהליכים אזרחיים שנפתחו עד ליום כ"ג בטבת התשע"ט (31 בדצמבר 2018);</w:t>
      </w:r>
    </w:p>
    <w:p w14:paraId="50C1D5E5" w14:textId="77777777" w:rsidR="00873134" w:rsidRDefault="00873134" w:rsidP="00E879DD">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תביעות קטנות אף אם הוגשו לאחר יום כ"ג בטבת התשע"ט (31 בדצמבר 2018).</w:t>
      </w:r>
    </w:p>
    <w:p w14:paraId="3737904E" w14:textId="77777777" w:rsidR="00E879DD" w:rsidRDefault="00E879DD"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ענייני תעבורה</w:t>
      </w:r>
    </w:p>
    <w:p w14:paraId="69A7D035" w14:textId="77777777" w:rsidR="00E879DD" w:rsidRDefault="00873134" w:rsidP="00740718">
      <w:pPr>
        <w:pStyle w:val="P00"/>
        <w:spacing w:before="72"/>
        <w:ind w:left="1021" w:right="1134"/>
        <w:rPr>
          <w:rStyle w:val="default"/>
          <w:rFonts w:cs="FrankRuehl"/>
          <w:rtl/>
        </w:rPr>
      </w:pPr>
      <w:r>
        <w:rPr>
          <w:rStyle w:val="default"/>
          <w:rFonts w:cs="FrankRuehl" w:hint="cs"/>
          <w:rtl/>
        </w:rPr>
        <w:t>כלל ענייני התעבורה, למעט העניינים המפורטים בפסקאות (1) ו-(2) לסעיף קטן (א) לעיל.</w:t>
      </w:r>
    </w:p>
    <w:p w14:paraId="65EB7338" w14:textId="77777777" w:rsidR="00E879DD" w:rsidRDefault="00E879DD"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ענייני משפחה</w:t>
      </w:r>
    </w:p>
    <w:p w14:paraId="14B00FC0" w14:textId="77777777" w:rsidR="00E879DD" w:rsidRDefault="00873134" w:rsidP="00286003">
      <w:pPr>
        <w:pStyle w:val="P00"/>
        <w:spacing w:before="72"/>
        <w:ind w:left="1021" w:right="1134"/>
        <w:rPr>
          <w:rStyle w:val="default"/>
          <w:rFonts w:cs="FrankRuehl"/>
          <w:rtl/>
        </w:rPr>
      </w:pPr>
      <w:r>
        <w:rPr>
          <w:rStyle w:val="default"/>
          <w:rFonts w:cs="FrankRuehl" w:hint="cs"/>
          <w:rtl/>
        </w:rPr>
        <w:t>כלל ענייני המשפחה.</w:t>
      </w:r>
    </w:p>
    <w:p w14:paraId="4158FB83" w14:textId="77777777" w:rsidR="00286003" w:rsidRDefault="00286003"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ענייני נוער</w:t>
      </w:r>
    </w:p>
    <w:p w14:paraId="0DB5A45D" w14:textId="77777777" w:rsidR="00286003" w:rsidRDefault="00F51A24" w:rsidP="00F51A24">
      <w:pPr>
        <w:pStyle w:val="P00"/>
        <w:spacing w:before="72"/>
        <w:ind w:left="1021" w:right="1134"/>
        <w:rPr>
          <w:rStyle w:val="default"/>
          <w:rFonts w:cs="FrankRuehl"/>
          <w:rtl/>
        </w:rPr>
      </w:pPr>
      <w:r>
        <w:rPr>
          <w:rStyle w:val="default"/>
          <w:rFonts w:cs="FrankRuehl" w:hint="cs"/>
          <w:rtl/>
        </w:rPr>
        <w:t>(</w:t>
      </w:r>
      <w:r w:rsidR="00286003">
        <w:rPr>
          <w:rStyle w:val="default"/>
          <w:rFonts w:cs="FrankRuehl" w:hint="cs"/>
          <w:rtl/>
        </w:rPr>
        <w:t>1)</w:t>
      </w:r>
      <w:r w:rsidR="00286003">
        <w:rPr>
          <w:rStyle w:val="default"/>
          <w:rFonts w:cs="FrankRuehl"/>
          <w:rtl/>
        </w:rPr>
        <w:tab/>
      </w:r>
      <w:r w:rsidR="00286003">
        <w:rPr>
          <w:rStyle w:val="default"/>
          <w:rFonts w:cs="FrankRuehl" w:hint="cs"/>
          <w:rtl/>
        </w:rPr>
        <w:t xml:space="preserve">עניינים פליליים כאמור בסעיף </w:t>
      </w:r>
      <w:r>
        <w:rPr>
          <w:rStyle w:val="default"/>
          <w:rFonts w:cs="FrankRuehl" w:hint="cs"/>
          <w:rtl/>
        </w:rPr>
        <w:t xml:space="preserve">קטן </w:t>
      </w:r>
      <w:r w:rsidR="00286003">
        <w:rPr>
          <w:rStyle w:val="default"/>
          <w:rFonts w:cs="FrankRuehl" w:hint="cs"/>
          <w:rtl/>
        </w:rPr>
        <w:t>(</w:t>
      </w:r>
      <w:r>
        <w:rPr>
          <w:rStyle w:val="default"/>
          <w:rFonts w:cs="FrankRuehl" w:hint="cs"/>
          <w:rtl/>
        </w:rPr>
        <w:t>א</w:t>
      </w:r>
      <w:r w:rsidR="00286003">
        <w:rPr>
          <w:rStyle w:val="default"/>
          <w:rFonts w:cs="FrankRuehl" w:hint="cs"/>
          <w:rtl/>
        </w:rPr>
        <w:t>) לעיל;</w:t>
      </w:r>
    </w:p>
    <w:p w14:paraId="0C6F3A1D" w14:textId="77777777" w:rsidR="00286003" w:rsidRDefault="00286003" w:rsidP="002860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בקשות המוגשות על ידי עובדת סוציאלית לחוק נוער, לאישור צו חירום, לביצוע בדיקה פסיכיאטרית או לאשפוזים פסיכיאטריים, לנקיטה באמצעים זמניים דחופים וזאת לפי חוק הנוער (טיפול והשגחה), התש"ך-1960</w:t>
      </w:r>
      <w:r w:rsidR="00327F6C">
        <w:rPr>
          <w:rStyle w:val="default"/>
          <w:rFonts w:cs="FrankRuehl" w:hint="cs"/>
          <w:rtl/>
        </w:rPr>
        <w:t xml:space="preserve"> (להלן </w:t>
      </w:r>
      <w:r w:rsidR="00327F6C">
        <w:rPr>
          <w:rStyle w:val="default"/>
          <w:rFonts w:cs="FrankRuehl"/>
          <w:rtl/>
        </w:rPr>
        <w:t>–</w:t>
      </w:r>
      <w:r w:rsidR="00327F6C">
        <w:rPr>
          <w:rStyle w:val="default"/>
          <w:rFonts w:cs="FrankRuehl" w:hint="cs"/>
          <w:rtl/>
        </w:rPr>
        <w:t xml:space="preserve"> חוק הנוער (טיפול והשגחה))</w:t>
      </w:r>
      <w:r>
        <w:rPr>
          <w:rStyle w:val="default"/>
          <w:rFonts w:cs="FrankRuehl" w:hint="cs"/>
          <w:rtl/>
        </w:rPr>
        <w:t>, או להארכתם;</w:t>
      </w:r>
    </w:p>
    <w:p w14:paraId="22151219" w14:textId="77777777" w:rsidR="00286003" w:rsidRDefault="00286003" w:rsidP="002860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דיונים בתיקי נזקקות לפי חוק הנוער (טיפול והשגחה</w:t>
      </w:r>
      <w:r w:rsidR="00327F6C">
        <w:rPr>
          <w:rStyle w:val="default"/>
          <w:rFonts w:cs="FrankRuehl" w:hint="cs"/>
          <w:rtl/>
        </w:rPr>
        <w:t>)</w:t>
      </w:r>
      <w:r w:rsidR="00F51A24">
        <w:rPr>
          <w:rStyle w:val="default"/>
          <w:rFonts w:cs="FrankRuehl" w:hint="cs"/>
          <w:rtl/>
        </w:rPr>
        <w:t>;</w:t>
      </w:r>
    </w:p>
    <w:p w14:paraId="1D641F54" w14:textId="77777777" w:rsidR="00F51A24" w:rsidRDefault="00F51A24" w:rsidP="00F51A24">
      <w:pPr>
        <w:pStyle w:val="P00"/>
        <w:spacing w:before="72"/>
        <w:ind w:left="1021" w:right="1134"/>
        <w:rPr>
          <w:rStyle w:val="default"/>
          <w:rFonts w:cs="FrankRuehl"/>
          <w:rtl/>
        </w:rPr>
      </w:pPr>
      <w:r>
        <w:rPr>
          <w:rStyle w:val="default"/>
          <w:rFonts w:cs="FrankRuehl" w:hint="cs"/>
          <w:rtl/>
        </w:rPr>
        <w:t>(</w:t>
      </w:r>
      <w:r w:rsidRPr="00F51A24">
        <w:rPr>
          <w:rStyle w:val="default"/>
          <w:rFonts w:cs="FrankRuehl" w:hint="cs"/>
          <w:rtl/>
        </w:rPr>
        <w:t>4)</w:t>
      </w:r>
      <w:r w:rsidRPr="00F51A24">
        <w:rPr>
          <w:rStyle w:val="default"/>
          <w:rFonts w:cs="FrankRuehl"/>
          <w:rtl/>
        </w:rPr>
        <w:tab/>
      </w:r>
      <w:r w:rsidRPr="00F51A24">
        <w:rPr>
          <w:rStyle w:val="default"/>
          <w:rFonts w:cs="FrankRuehl" w:hint="cs"/>
          <w:rtl/>
        </w:rPr>
        <w:t>בקשת הממונה על המעונות להמיר צו החזקת קטין במעון נעול למאסר לפי סעיף 25א לחוק הנוער (שפיטה, ענישה ודרכי טיפול), התשל"א-1971.</w:t>
      </w:r>
    </w:p>
    <w:p w14:paraId="25128F9E" w14:textId="77777777" w:rsidR="00286003" w:rsidRDefault="00286003" w:rsidP="00172AD8">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עניינים מקומיים</w:t>
      </w:r>
    </w:p>
    <w:p w14:paraId="541C596B" w14:textId="77777777" w:rsidR="00286003" w:rsidRDefault="00327F6C" w:rsidP="00286003">
      <w:pPr>
        <w:pStyle w:val="P00"/>
        <w:spacing w:before="72"/>
        <w:ind w:left="1021" w:right="1134"/>
        <w:rPr>
          <w:rStyle w:val="default"/>
          <w:rFonts w:cs="FrankRuehl"/>
          <w:rtl/>
        </w:rPr>
      </w:pPr>
      <w:r>
        <w:rPr>
          <w:rStyle w:val="default"/>
          <w:rFonts w:cs="FrankRuehl" w:hint="cs"/>
          <w:rtl/>
        </w:rPr>
        <w:t>עניינים פליליים כאמור בסעיף קטן (א) לעיל ונוסף על כך העניינים האלה:</w:t>
      </w:r>
    </w:p>
    <w:p w14:paraId="5E9F407A" w14:textId="77777777" w:rsidR="00327F6C" w:rsidRDefault="00327F6C" w:rsidP="0028600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הליכים לפי פרק י' סימן ד' לחוק התכנון והבנייה, התשכ"ה-1965 (להלן </w:t>
      </w:r>
      <w:r>
        <w:rPr>
          <w:rStyle w:val="default"/>
          <w:rFonts w:cs="FrankRuehl"/>
          <w:rtl/>
        </w:rPr>
        <w:t>–</w:t>
      </w:r>
      <w:r>
        <w:rPr>
          <w:rStyle w:val="default"/>
          <w:rFonts w:cs="FrankRuehl" w:hint="cs"/>
          <w:rtl/>
        </w:rPr>
        <w:t xml:space="preserve"> חוק התכנון והבנייה);</w:t>
      </w:r>
    </w:p>
    <w:p w14:paraId="1E7963A9" w14:textId="77777777" w:rsidR="00327F6C" w:rsidRDefault="00327F6C" w:rsidP="0028600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הליכים לפי סעיף 239 לחוק התכנון והבנייה;</w:t>
      </w:r>
    </w:p>
    <w:p w14:paraId="31F10DFB" w14:textId="77777777" w:rsidR="00327F6C" w:rsidRDefault="00327F6C" w:rsidP="0028600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הליכים לפי פרק י' סימן ח' לחוק התכנון והבנייה.</w:t>
      </w:r>
    </w:p>
    <w:p w14:paraId="07B229E2" w14:textId="77777777" w:rsidR="00FF1BD2" w:rsidRDefault="00FF1BD2" w:rsidP="00286003">
      <w:pPr>
        <w:pStyle w:val="P00"/>
        <w:spacing w:before="72"/>
        <w:ind w:left="0" w:right="1134"/>
        <w:rPr>
          <w:rStyle w:val="default"/>
          <w:rFonts w:cs="FrankRuehl"/>
          <w:rtl/>
        </w:rPr>
      </w:pPr>
    </w:p>
    <w:p w14:paraId="58FD7274" w14:textId="77777777" w:rsidR="00286003" w:rsidRDefault="00286003" w:rsidP="002860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אין באמור בהודעה זו כדי לגרוע מסמכות נשיא בית משפט, לרבות שופט אחר של אותו בית משפט שהנשיא קבע, להורות מטעמים שיירשמו כי הליך מסוים הנמנה עם העניינים המפורטים בתקנות ובהודעה זו לא יידון, או שהליך מסוים שאינו נמנה עמהם </w:t>
      </w:r>
      <w:r>
        <w:rPr>
          <w:rStyle w:val="default"/>
          <w:rFonts w:cs="FrankRuehl"/>
          <w:rtl/>
        </w:rPr>
        <w:t>–</w:t>
      </w:r>
      <w:r>
        <w:rPr>
          <w:rStyle w:val="default"/>
          <w:rFonts w:cs="FrankRuehl" w:hint="cs"/>
          <w:rtl/>
        </w:rPr>
        <w:t xml:space="preserve"> יידון.</w:t>
      </w:r>
    </w:p>
    <w:p w14:paraId="0E1CC48E" w14:textId="77777777" w:rsidR="00327F6C" w:rsidRDefault="00327F6C" w:rsidP="00286003">
      <w:pPr>
        <w:pStyle w:val="P00"/>
        <w:spacing w:before="72"/>
        <w:ind w:left="0" w:right="1134"/>
        <w:rPr>
          <w:rStyle w:val="default"/>
          <w:rFonts w:cs="FrankRuehl"/>
          <w:rtl/>
        </w:rPr>
      </w:pPr>
      <w:r>
        <w:rPr>
          <w:rStyle w:val="default"/>
          <w:rFonts w:cs="FrankRuehl"/>
          <w:rtl/>
        </w:rPr>
        <w:tab/>
      </w:r>
      <w:r>
        <w:rPr>
          <w:rStyle w:val="default"/>
          <w:rFonts w:cs="FrankRuehl" w:hint="cs"/>
          <w:rtl/>
        </w:rPr>
        <w:t>תחילת תוקפה של הודעה זו ביום י"ח באייר התש"ף (12 במאי 2020).</w:t>
      </w:r>
    </w:p>
    <w:p w14:paraId="00AD2B18" w14:textId="77777777" w:rsidR="00327F6C" w:rsidRDefault="00327F6C" w:rsidP="0028600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ההודעות הקודמות בדבר סוגי עניינים שיידונו בבתי המשפט </w:t>
      </w:r>
      <w:r>
        <w:rPr>
          <w:rStyle w:val="default"/>
          <w:rFonts w:cs="FrankRuehl"/>
          <w:rtl/>
        </w:rPr>
        <w:t>–</w:t>
      </w:r>
      <w:r>
        <w:rPr>
          <w:rStyle w:val="default"/>
          <w:rFonts w:cs="FrankRuehl" w:hint="cs"/>
          <w:rtl/>
        </w:rPr>
        <w:t xml:space="preserve"> בטלות.</w:t>
      </w:r>
    </w:p>
    <w:p w14:paraId="0E5AF158" w14:textId="77777777" w:rsidR="00FF1BD2" w:rsidRDefault="00FF1BD2">
      <w:pPr>
        <w:pStyle w:val="P00"/>
        <w:spacing w:before="72"/>
        <w:ind w:left="0" w:right="1134"/>
        <w:rPr>
          <w:rStyle w:val="default"/>
          <w:rFonts w:cs="FrankRuehl"/>
          <w:rtl/>
        </w:rPr>
      </w:pPr>
    </w:p>
    <w:p w14:paraId="51E9643B" w14:textId="77777777" w:rsidR="000400F3" w:rsidRDefault="000400F3">
      <w:pPr>
        <w:pStyle w:val="P00"/>
        <w:spacing w:before="72"/>
        <w:ind w:left="0" w:right="1134"/>
        <w:rPr>
          <w:rStyle w:val="default"/>
          <w:rFonts w:cs="FrankRuehl"/>
          <w:rtl/>
        </w:rPr>
      </w:pPr>
    </w:p>
    <w:p w14:paraId="01B717AC" w14:textId="77777777" w:rsidR="00055D49" w:rsidRDefault="00327F6C" w:rsidP="00286003">
      <w:pPr>
        <w:pStyle w:val="sig-0"/>
        <w:tabs>
          <w:tab w:val="clear" w:pos="4820"/>
          <w:tab w:val="center" w:pos="5670"/>
        </w:tabs>
        <w:spacing w:before="72"/>
        <w:ind w:left="0" w:right="1134"/>
        <w:rPr>
          <w:rtl/>
        </w:rPr>
      </w:pPr>
      <w:r>
        <w:rPr>
          <w:rFonts w:hint="cs"/>
          <w:rtl/>
        </w:rPr>
        <w:t>ט"ז</w:t>
      </w:r>
      <w:r w:rsidR="00286003">
        <w:rPr>
          <w:rFonts w:hint="cs"/>
          <w:rtl/>
        </w:rPr>
        <w:t xml:space="preserve"> בא</w:t>
      </w:r>
      <w:r>
        <w:rPr>
          <w:rFonts w:hint="cs"/>
          <w:rtl/>
        </w:rPr>
        <w:t>יי</w:t>
      </w:r>
      <w:r w:rsidR="00286003">
        <w:rPr>
          <w:rFonts w:hint="cs"/>
          <w:rtl/>
        </w:rPr>
        <w:t>ר התש"ף (</w:t>
      </w:r>
      <w:r>
        <w:rPr>
          <w:rFonts w:hint="cs"/>
          <w:rtl/>
        </w:rPr>
        <w:t>10 במאי</w:t>
      </w:r>
      <w:r w:rsidR="00286003">
        <w:rPr>
          <w:rFonts w:hint="cs"/>
          <w:rtl/>
        </w:rPr>
        <w:t xml:space="preserve"> 2020</w:t>
      </w:r>
      <w:r w:rsidR="00055D49">
        <w:rPr>
          <w:rFonts w:hint="cs"/>
          <w:rtl/>
        </w:rPr>
        <w:t>)</w:t>
      </w:r>
      <w:r w:rsidR="00055D49">
        <w:rPr>
          <w:rtl/>
        </w:rPr>
        <w:tab/>
      </w:r>
      <w:r w:rsidR="00286003">
        <w:rPr>
          <w:rFonts w:hint="cs"/>
          <w:rtl/>
        </w:rPr>
        <w:t>יגאל מרזל</w:t>
      </w:r>
    </w:p>
    <w:p w14:paraId="6813D063" w14:textId="77777777" w:rsidR="00055D49" w:rsidRDefault="00055D49" w:rsidP="00286003">
      <w:pPr>
        <w:pStyle w:val="sig-1"/>
        <w:widowControl/>
        <w:tabs>
          <w:tab w:val="clear" w:pos="851"/>
          <w:tab w:val="clear" w:pos="2835"/>
          <w:tab w:val="clear" w:pos="4820"/>
          <w:tab w:val="center" w:pos="5670"/>
        </w:tabs>
        <w:ind w:left="0" w:right="1134"/>
        <w:rPr>
          <w:rFonts w:hint="cs"/>
          <w:rtl/>
        </w:rPr>
      </w:pPr>
      <w:r>
        <w:rPr>
          <w:rtl/>
        </w:rPr>
        <w:tab/>
      </w:r>
      <w:r w:rsidR="00286003">
        <w:rPr>
          <w:rFonts w:hint="cs"/>
          <w:rtl/>
        </w:rPr>
        <w:t>מנהל בתי המשפט</w:t>
      </w:r>
    </w:p>
    <w:p w14:paraId="5B2E5AEE" w14:textId="77777777" w:rsidR="00FF1BD2" w:rsidRPr="00172AD8" w:rsidRDefault="00FF1BD2" w:rsidP="00172AD8">
      <w:pPr>
        <w:pStyle w:val="P00"/>
        <w:spacing w:before="72"/>
        <w:ind w:left="0" w:right="1134"/>
        <w:rPr>
          <w:rStyle w:val="default"/>
          <w:rFonts w:cs="FrankRuehl" w:hint="cs"/>
          <w:rtl/>
        </w:rPr>
      </w:pPr>
    </w:p>
    <w:p w14:paraId="1C633BB3" w14:textId="77777777" w:rsidR="00172AD8" w:rsidRPr="00172AD8" w:rsidRDefault="00172AD8" w:rsidP="00172AD8">
      <w:pPr>
        <w:pStyle w:val="P00"/>
        <w:spacing w:before="72"/>
        <w:ind w:left="0" w:right="1134"/>
        <w:rPr>
          <w:rStyle w:val="default"/>
          <w:rFonts w:cs="FrankRuehl"/>
          <w:rtl/>
        </w:rPr>
      </w:pPr>
    </w:p>
    <w:p w14:paraId="25F5F056" w14:textId="77777777" w:rsidR="00055D49" w:rsidRPr="00172AD8" w:rsidRDefault="00055D49" w:rsidP="00172AD8">
      <w:pPr>
        <w:pStyle w:val="P00"/>
        <w:spacing w:before="72"/>
        <w:ind w:left="0" w:right="1134"/>
        <w:rPr>
          <w:rStyle w:val="default"/>
          <w:rFonts w:cs="FrankRuehl"/>
          <w:rtl/>
        </w:rPr>
      </w:pPr>
      <w:bookmarkStart w:id="3" w:name="LawPartEnd"/>
    </w:p>
    <w:bookmarkEnd w:id="3"/>
    <w:p w14:paraId="6711D075" w14:textId="77777777" w:rsidR="00CF1910" w:rsidRDefault="00CF1910" w:rsidP="00172AD8">
      <w:pPr>
        <w:pStyle w:val="P00"/>
        <w:spacing w:before="72"/>
        <w:ind w:left="0" w:right="1134"/>
        <w:rPr>
          <w:rStyle w:val="default"/>
          <w:rFonts w:cs="FrankRuehl"/>
          <w:rtl/>
        </w:rPr>
      </w:pPr>
    </w:p>
    <w:p w14:paraId="317701B4" w14:textId="77777777" w:rsidR="00CF1910" w:rsidRDefault="00CF1910" w:rsidP="00172AD8">
      <w:pPr>
        <w:pStyle w:val="P00"/>
        <w:spacing w:before="72"/>
        <w:ind w:left="0" w:right="1134"/>
        <w:rPr>
          <w:rStyle w:val="default"/>
          <w:rFonts w:cs="FrankRuehl"/>
          <w:rtl/>
        </w:rPr>
      </w:pPr>
    </w:p>
    <w:p w14:paraId="3D893121" w14:textId="77777777" w:rsidR="00CF1910" w:rsidRDefault="00CF1910" w:rsidP="00CF1910">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532E978D" w14:textId="77777777" w:rsidR="004B15A0" w:rsidRPr="00CF1910" w:rsidRDefault="004B15A0" w:rsidP="00CF1910">
      <w:pPr>
        <w:pStyle w:val="P00"/>
        <w:spacing w:before="72"/>
        <w:ind w:left="0" w:right="1134"/>
        <w:jc w:val="center"/>
        <w:rPr>
          <w:rStyle w:val="default"/>
          <w:rFonts w:cs="David"/>
          <w:color w:val="0000FF"/>
          <w:szCs w:val="24"/>
          <w:u w:val="single"/>
          <w:rtl/>
        </w:rPr>
      </w:pPr>
    </w:p>
    <w:sectPr w:rsidR="004B15A0" w:rsidRPr="00CF1910">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7F31" w14:textId="77777777" w:rsidR="00B379B8" w:rsidRDefault="00B379B8">
      <w:r>
        <w:separator/>
      </w:r>
    </w:p>
  </w:endnote>
  <w:endnote w:type="continuationSeparator" w:id="0">
    <w:p w14:paraId="654E0C6D" w14:textId="77777777" w:rsidR="00B379B8" w:rsidRDefault="00B3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878E" w14:textId="77777777" w:rsidR="00055D49" w:rsidRDefault="00055D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F22409" w14:textId="77777777" w:rsidR="00055D49" w:rsidRDefault="00055D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65D31C2" w14:textId="77777777" w:rsidR="00055D49" w:rsidRDefault="00055D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2AD8">
      <w:rPr>
        <w:rFonts w:cs="TopType Jerushalmi"/>
        <w:noProof/>
        <w:color w:val="000000"/>
        <w:sz w:val="14"/>
        <w:szCs w:val="14"/>
      </w:rPr>
      <w:t>C:\Yael\hakika\Revadim\055_272.doc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2B06" w14:textId="77777777" w:rsidR="00055D49" w:rsidRDefault="00055D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1910">
      <w:rPr>
        <w:rFonts w:hAnsi="FrankRuehl" w:cs="FrankRuehl"/>
        <w:noProof/>
        <w:sz w:val="24"/>
        <w:szCs w:val="24"/>
        <w:rtl/>
      </w:rPr>
      <w:t>3</w:t>
    </w:r>
    <w:r>
      <w:rPr>
        <w:rFonts w:hAnsi="FrankRuehl" w:cs="FrankRuehl"/>
        <w:sz w:val="24"/>
        <w:szCs w:val="24"/>
        <w:rtl/>
      </w:rPr>
      <w:fldChar w:fldCharType="end"/>
    </w:r>
  </w:p>
  <w:p w14:paraId="15AC355D" w14:textId="77777777" w:rsidR="00055D49" w:rsidRDefault="00055D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87DC66" w14:textId="77777777" w:rsidR="00055D49" w:rsidRDefault="00055D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72AD8">
      <w:rPr>
        <w:rFonts w:cs="TopType Jerushalmi"/>
        <w:noProof/>
        <w:color w:val="000000"/>
        <w:sz w:val="14"/>
        <w:szCs w:val="14"/>
      </w:rPr>
      <w:t>C:\Yael\hakika\Revadim\055_272.doc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1281" w14:textId="77777777" w:rsidR="00B379B8" w:rsidRDefault="00B379B8" w:rsidP="00172AD8">
      <w:pPr>
        <w:spacing w:before="60" w:line="240" w:lineRule="auto"/>
        <w:ind w:right="1134"/>
      </w:pPr>
      <w:r>
        <w:separator/>
      </w:r>
    </w:p>
  </w:footnote>
  <w:footnote w:type="continuationSeparator" w:id="0">
    <w:p w14:paraId="514F7252" w14:textId="77777777" w:rsidR="00B379B8" w:rsidRDefault="00B379B8">
      <w:r>
        <w:continuationSeparator/>
      </w:r>
    </w:p>
  </w:footnote>
  <w:footnote w:id="1">
    <w:p w14:paraId="2215239F" w14:textId="77777777" w:rsidR="00D15290" w:rsidRPr="00210C0A" w:rsidRDefault="00172AD8" w:rsidP="00D15290">
      <w:pPr>
        <w:pStyle w:val="footnote"/>
        <w:tabs>
          <w:tab w:val="left" w:pos="624"/>
          <w:tab w:val="left" w:pos="1021"/>
          <w:tab w:val="left" w:pos="1474"/>
          <w:tab w:val="left" w:pos="1928"/>
          <w:tab w:val="left" w:pos="2381"/>
          <w:tab w:val="left" w:pos="2835"/>
          <w:tab w:val="right" w:leader="dot" w:pos="6259"/>
        </w:tabs>
        <w:spacing w:before="72"/>
        <w:ind w:left="0" w:right="1134"/>
      </w:pPr>
      <w:r w:rsidRPr="00172AD8">
        <w:rPr>
          <w:sz w:val="20"/>
          <w:rtl/>
        </w:rPr>
        <w:t xml:space="preserve">* </w:t>
      </w:r>
      <w:r>
        <w:rPr>
          <w:sz w:val="20"/>
          <w:rtl/>
        </w:rPr>
        <w:t>פ</w:t>
      </w:r>
      <w:r>
        <w:rPr>
          <w:rFonts w:hint="cs"/>
          <w:sz w:val="20"/>
          <w:rtl/>
        </w:rPr>
        <w:t>ורסמ</w:t>
      </w:r>
      <w:r w:rsidR="000400F3">
        <w:rPr>
          <w:rFonts w:hint="cs"/>
          <w:sz w:val="20"/>
          <w:rtl/>
        </w:rPr>
        <w:t>ה</w:t>
      </w:r>
      <w:r>
        <w:rPr>
          <w:rFonts w:hint="cs"/>
          <w:sz w:val="20"/>
          <w:rtl/>
        </w:rPr>
        <w:t xml:space="preserve"> </w:t>
      </w:r>
      <w:hyperlink r:id="rId1" w:history="1">
        <w:r w:rsidR="00642977" w:rsidRPr="00D15290">
          <w:rPr>
            <w:rStyle w:val="Hyperlink"/>
            <w:rFonts w:hint="cs"/>
            <w:rtl/>
          </w:rPr>
          <w:t>י"פ תש"ף מס' 8851</w:t>
        </w:r>
      </w:hyperlink>
      <w:r w:rsidR="00642977">
        <w:rPr>
          <w:rFonts w:hint="cs"/>
          <w:rtl/>
        </w:rPr>
        <w:t xml:space="preserve"> מיום 10.5.2020 עמ' 5797.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B8B64" w14:textId="77777777" w:rsidR="00055D49" w:rsidRDefault="00055D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בתי המשפט ולשכות ההוצאה לפועל (סדרי דין במצב חירום מיוחד), תשנ"א–1991</w:t>
    </w:r>
  </w:p>
  <w:p w14:paraId="1DEF6428" w14:textId="77777777" w:rsidR="00055D49" w:rsidRDefault="00055D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E20A6F" w14:textId="77777777" w:rsidR="00055D49" w:rsidRDefault="00055D4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25FF" w14:textId="77777777" w:rsidR="00055D49" w:rsidRDefault="000400F3" w:rsidP="00172AD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הודעת מנהל בתי המשפט בדבר סוגי עניינים שיידונו בבתי המשפט</w:t>
    </w:r>
  </w:p>
  <w:p w14:paraId="4C85659A" w14:textId="77777777" w:rsidR="00055D49" w:rsidRDefault="00055D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97A71A" w14:textId="77777777" w:rsidR="00055D49" w:rsidRDefault="00055D4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2F3D"/>
    <w:rsid w:val="000400F3"/>
    <w:rsid w:val="00052DDC"/>
    <w:rsid w:val="00055D49"/>
    <w:rsid w:val="000671B8"/>
    <w:rsid w:val="000C6A11"/>
    <w:rsid w:val="001713D1"/>
    <w:rsid w:val="00172AD8"/>
    <w:rsid w:val="00210C0A"/>
    <w:rsid w:val="002249A4"/>
    <w:rsid w:val="00286003"/>
    <w:rsid w:val="0028785D"/>
    <w:rsid w:val="002B31C2"/>
    <w:rsid w:val="002B7AB2"/>
    <w:rsid w:val="002C45A6"/>
    <w:rsid w:val="00316F70"/>
    <w:rsid w:val="00327F6C"/>
    <w:rsid w:val="00342F91"/>
    <w:rsid w:val="003C0F3A"/>
    <w:rsid w:val="004778D8"/>
    <w:rsid w:val="004A5620"/>
    <w:rsid w:val="004B15A0"/>
    <w:rsid w:val="004E717A"/>
    <w:rsid w:val="0059573C"/>
    <w:rsid w:val="005D64EF"/>
    <w:rsid w:val="00634C61"/>
    <w:rsid w:val="00642977"/>
    <w:rsid w:val="006A4600"/>
    <w:rsid w:val="007038B6"/>
    <w:rsid w:val="007077C6"/>
    <w:rsid w:val="007403BE"/>
    <w:rsid w:val="00740718"/>
    <w:rsid w:val="007A7F34"/>
    <w:rsid w:val="007B599C"/>
    <w:rsid w:val="007D42F5"/>
    <w:rsid w:val="0084494F"/>
    <w:rsid w:val="00845158"/>
    <w:rsid w:val="00873134"/>
    <w:rsid w:val="00913023"/>
    <w:rsid w:val="009A261D"/>
    <w:rsid w:val="00A1214F"/>
    <w:rsid w:val="00B379B8"/>
    <w:rsid w:val="00BD5D36"/>
    <w:rsid w:val="00C31237"/>
    <w:rsid w:val="00C751D3"/>
    <w:rsid w:val="00CD3828"/>
    <w:rsid w:val="00CF1910"/>
    <w:rsid w:val="00D15290"/>
    <w:rsid w:val="00D62F3D"/>
    <w:rsid w:val="00D85541"/>
    <w:rsid w:val="00D95261"/>
    <w:rsid w:val="00DF6412"/>
    <w:rsid w:val="00E60259"/>
    <w:rsid w:val="00E879DD"/>
    <w:rsid w:val="00E92009"/>
    <w:rsid w:val="00ED5BFD"/>
    <w:rsid w:val="00F2370F"/>
    <w:rsid w:val="00F5135A"/>
    <w:rsid w:val="00F51A24"/>
    <w:rsid w:val="00F717DA"/>
    <w:rsid w:val="00FF1BAA"/>
    <w:rsid w:val="00FF1BD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CDBF6B2"/>
  <w15:chartTrackingRefBased/>
  <w15:docId w15:val="{F92BB813-7C30-443B-86C3-D506BB2B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172AD8"/>
    <w:rPr>
      <w:sz w:val="20"/>
      <w:szCs w:val="20"/>
    </w:rPr>
  </w:style>
  <w:style w:type="character" w:styleId="a6">
    <w:name w:val="footnote reference"/>
    <w:semiHidden/>
    <w:rsid w:val="00172AD8"/>
    <w:rPr>
      <w:vertAlign w:val="superscript"/>
    </w:rPr>
  </w:style>
  <w:style w:type="character" w:customStyle="1" w:styleId="UnresolvedMention">
    <w:name w:val="Unresolved Mention"/>
    <w:uiPriority w:val="99"/>
    <w:semiHidden/>
    <w:unhideWhenUsed/>
    <w:rsid w:val="00E92009"/>
    <w:rPr>
      <w:color w:val="605E5C"/>
      <w:shd w:val="clear" w:color="auto" w:fill="E1DFDD"/>
    </w:rPr>
  </w:style>
  <w:style w:type="paragraph" w:customStyle="1" w:styleId="P11">
    <w:name w:val="P11"/>
    <w:basedOn w:val="a"/>
    <w:rsid w:val="00E92009"/>
    <w:pPr>
      <w:widowControl w:val="0"/>
      <w:tabs>
        <w:tab w:val="left" w:pos="1021"/>
        <w:tab w:val="left" w:pos="1474"/>
        <w:tab w:val="left" w:pos="1928"/>
        <w:tab w:val="left" w:pos="2381"/>
        <w:tab w:val="left" w:pos="2835"/>
        <w:tab w:val="right" w:leader="dot" w:pos="6259"/>
      </w:tabs>
      <w:suppressAutoHyphens/>
      <w:spacing w:before="60" w:line="240" w:lineRule="auto"/>
      <w:ind w:left="2835" w:right="624"/>
    </w:pPr>
    <w:rPr>
      <w:rFonts w:cs="Times New Roman"/>
      <w:noProof/>
      <w:sz w:val="20"/>
      <w:szCs w:val="26"/>
    </w:rPr>
  </w:style>
  <w:style w:type="character" w:styleId="FollowedHyperlink">
    <w:name w:val="FollowedHyperlink"/>
    <w:rsid w:val="00F717D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10/yalkut-88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4858</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1310837</vt:i4>
      </vt:variant>
      <vt:variant>
        <vt:i4>0</vt:i4>
      </vt:variant>
      <vt:variant>
        <vt:i4>0</vt:i4>
      </vt:variant>
      <vt:variant>
        <vt:i4>5</vt:i4>
      </vt:variant>
      <vt:variant>
        <vt:lpwstr>https://www.nevo.co.il/law_word/law10/yalkut-8851.pdf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בתי משפט</vt:lpwstr>
  </property>
  <property fmtid="{D5CDD505-2E9C-101B-9397-08002B2CF9AE}" pid="4" name="LAWNAME">
    <vt:lpwstr>הודעת מנהל בתי המשפט בדבר סוגי עניינים שיידונו בבתי המשפט</vt:lpwstr>
  </property>
  <property fmtid="{D5CDD505-2E9C-101B-9397-08002B2CF9AE}" pid="5" name="LAWNUMBER">
    <vt:lpwstr>0291</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הוצאה לפועל</vt:lpwstr>
  </property>
  <property fmtid="{D5CDD505-2E9C-101B-9397-08002B2CF9AE}" pid="21" name="NOSE34">
    <vt:lpwstr/>
  </property>
  <property fmtid="{D5CDD505-2E9C-101B-9397-08002B2CF9AE}" pid="22" name="NOSE44">
    <vt:lpwstr/>
  </property>
  <property fmtid="{D5CDD505-2E9C-101B-9397-08002B2CF9AE}" pid="23" name="NOSE15">
    <vt:lpwstr>בטחון</vt:lpwstr>
  </property>
  <property fmtid="{D5CDD505-2E9C-101B-9397-08002B2CF9AE}" pid="24" name="NOSE25">
    <vt:lpwstr>שעת חירום</vt:lpwstr>
  </property>
  <property fmtid="{D5CDD505-2E9C-101B-9397-08002B2CF9AE}" pid="25" name="NOSE35">
    <vt:lpwstr>שיפוט ועזרה משפטית</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5">
    <vt:lpwstr/>
  </property>
  <property fmtid="{D5CDD505-2E9C-101B-9397-08002B2CF9AE}" pid="49" name="LINKK6">
    <vt:lpwstr/>
  </property>
  <property fmtid="{D5CDD505-2E9C-101B-9397-08002B2CF9AE}" pid="50" name="LINKK7">
    <vt:lpwstr/>
  </property>
  <property fmtid="{D5CDD505-2E9C-101B-9397-08002B2CF9AE}" pid="51" name="LINKK8">
    <vt:lpwstr/>
  </property>
  <property fmtid="{D5CDD505-2E9C-101B-9397-08002B2CF9AE}" pid="52" name="LINKK9">
    <vt:lpwstr/>
  </property>
  <property fmtid="{D5CDD505-2E9C-101B-9397-08002B2CF9AE}" pid="53" name="LINKK10">
    <vt:lpwstr/>
  </property>
  <property fmtid="{D5CDD505-2E9C-101B-9397-08002B2CF9AE}" pid="54" name="LINKI1">
    <vt:lpwstr/>
  </property>
  <property fmtid="{D5CDD505-2E9C-101B-9397-08002B2CF9AE}" pid="55" name="LINKI2">
    <vt:lpwstr/>
  </property>
  <property fmtid="{D5CDD505-2E9C-101B-9397-08002B2CF9AE}" pid="56" name="LINKI3">
    <vt:lpwstr/>
  </property>
  <property fmtid="{D5CDD505-2E9C-101B-9397-08002B2CF9AE}" pid="57" name="LINKI4">
    <vt:lpwstr/>
  </property>
  <property fmtid="{D5CDD505-2E9C-101B-9397-08002B2CF9AE}" pid="58" name="LINKI5">
    <vt:lpwstr/>
  </property>
  <property fmtid="{D5CDD505-2E9C-101B-9397-08002B2CF9AE}" pid="59" name="LINKK1">
    <vt:lpwstr>https://www.nevo.co.il/law_word/law10/yalkut-8851.pdf;‎רשומות - ילקוט פרסומים#פורסמה י"פ ‏תש"ף מס' 8851 #מיום 10.5.2020 עמ' 5797‏</vt:lpwstr>
  </property>
  <property fmtid="{D5CDD505-2E9C-101B-9397-08002B2CF9AE}" pid="60" name="LINKK2">
    <vt:lpwstr/>
  </property>
  <property fmtid="{D5CDD505-2E9C-101B-9397-08002B2CF9AE}" pid="61" name="LINKK3">
    <vt:lpwstr/>
  </property>
  <property fmtid="{D5CDD505-2E9C-101B-9397-08002B2CF9AE}" pid="62" name="LINKK4">
    <vt:lpwstr/>
  </property>
</Properties>
</file>