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CCA6" w14:textId="77777777" w:rsidR="00E02585" w:rsidRDefault="00E02585">
      <w:pPr>
        <w:pStyle w:val="big-header"/>
        <w:ind w:left="0" w:right="1134"/>
        <w:rPr>
          <w:rStyle w:val="super"/>
          <w:rFonts w:cs="Miriam"/>
          <w:noProof w:val="0"/>
        </w:rPr>
      </w:pPr>
      <w:r>
        <w:rPr>
          <w:rtl/>
        </w:rPr>
        <w:t>ה</w:t>
      </w:r>
      <w:r>
        <w:rPr>
          <w:rFonts w:hint="cs"/>
          <w:rtl/>
        </w:rPr>
        <w:t>וראה בדבר הסמכת פקידי משרד רשם החברות לעשות פעולות מסויימות</w:t>
      </w:r>
      <w:r w:rsidR="000545E6">
        <w:rPr>
          <w:rFonts w:hint="cs"/>
          <w:rtl/>
        </w:rPr>
        <w:t>, תש"י-1950</w:t>
      </w:r>
      <w:r>
        <w:rPr>
          <w:rStyle w:val="super"/>
          <w:rFonts w:cs="Miriam"/>
          <w:noProof w:val="0"/>
          <w:rtl/>
        </w:rPr>
        <w:t>(10)</w:t>
      </w:r>
    </w:p>
    <w:p w14:paraId="2812BCAB" w14:textId="77777777" w:rsidR="0051083D" w:rsidRDefault="0051083D">
      <w:pPr>
        <w:pStyle w:val="big-header"/>
        <w:ind w:left="0" w:right="1134"/>
        <w:rPr>
          <w:rStyle w:val="super"/>
          <w:rFonts w:cs="Miriam"/>
          <w:noProof w:val="0"/>
        </w:rPr>
      </w:pPr>
    </w:p>
    <w:p w14:paraId="71DCC715" w14:textId="77777777" w:rsidR="0051083D" w:rsidRDefault="0051083D" w:rsidP="0051083D">
      <w:pPr>
        <w:spacing w:line="320" w:lineRule="auto"/>
        <w:jc w:val="left"/>
        <w:rPr>
          <w:rStyle w:val="super"/>
          <w:rFonts w:cs="Miriam"/>
          <w:rtl/>
        </w:rPr>
      </w:pPr>
    </w:p>
    <w:p w14:paraId="3DCE5E19" w14:textId="77777777" w:rsidR="0051083D" w:rsidRPr="0051083D" w:rsidRDefault="0051083D" w:rsidP="0051083D">
      <w:pPr>
        <w:spacing w:line="320" w:lineRule="auto"/>
        <w:jc w:val="left"/>
        <w:rPr>
          <w:rStyle w:val="super"/>
          <w:rFonts w:cs="Miriam"/>
          <w:szCs w:val="22"/>
        </w:rPr>
      </w:pPr>
      <w:r w:rsidRPr="0051083D">
        <w:rPr>
          <w:rStyle w:val="super"/>
          <w:rFonts w:cs="Miriam"/>
          <w:szCs w:val="22"/>
          <w:rtl/>
        </w:rPr>
        <w:t>משפט פרטי וכלכלה</w:t>
      </w:r>
      <w:r w:rsidRPr="0051083D">
        <w:rPr>
          <w:rStyle w:val="super"/>
          <w:rFonts w:cs="FrankRuehl"/>
          <w:szCs w:val="26"/>
          <w:rtl/>
        </w:rPr>
        <w:t xml:space="preserve"> – תאגידים וניירות ערך – חברות – רשם החברות</w:t>
      </w:r>
    </w:p>
    <w:p w14:paraId="30FCCD75" w14:textId="77777777" w:rsidR="0051083D" w:rsidRDefault="0051083D">
      <w:pPr>
        <w:pStyle w:val="big-header"/>
        <w:ind w:left="0" w:right="1134"/>
        <w:rPr>
          <w:rStyle w:val="default"/>
          <w:rFonts w:cs="FrankRuehl"/>
          <w:rtl/>
        </w:rPr>
      </w:pPr>
    </w:p>
    <w:p w14:paraId="6D62DC51" w14:textId="77777777" w:rsidR="00E02585" w:rsidRDefault="00E025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243(5) לפקודת החברות (להלן </w:t>
      </w:r>
      <w:r>
        <w:rPr>
          <w:rStyle w:val="default"/>
          <w:rFonts w:cs="FrankRuehl"/>
          <w:rtl/>
        </w:rPr>
        <w:t>—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הפקודה"), והסעיפים 14(א) ו-2(ד) לפקודת סדרי השלטון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והמשפט, תש"ח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1948, אני מורה שכל פעולה מהפעולות שעשיתן על פי הסעיפים 25(2), 50(4), 92(2), 127(8) ו-243(3) לפקודה היא בידי רושם החברות תהיה חוקית גם אם תיעשה בידי פקיד במשרד הרושם שייבחר לכך על ידיו ותקפה כתוקף פעולה שנעשתה על ידי הרושם עצמו.</w:t>
      </w:r>
    </w:p>
    <w:p w14:paraId="04AAEEF7" w14:textId="77777777" w:rsidR="00E02585" w:rsidRDefault="00E025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9E1D9F" w14:textId="77777777" w:rsidR="00E02585" w:rsidRDefault="00E02585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"ח בתמוז תש"</w:t>
      </w:r>
      <w:r>
        <w:rPr>
          <w:rtl/>
        </w:rPr>
        <w:t>י</w:t>
      </w:r>
      <w:r>
        <w:rPr>
          <w:rFonts w:hint="cs"/>
          <w:rtl/>
        </w:rPr>
        <w:t xml:space="preserve"> (13 ביולי 1950)</w:t>
      </w:r>
      <w:r>
        <w:rPr>
          <w:rtl/>
        </w:rPr>
        <w:tab/>
      </w:r>
      <w:r>
        <w:rPr>
          <w:rFonts w:hint="cs"/>
          <w:rtl/>
        </w:rPr>
        <w:t>פנחס רוזן</w:t>
      </w:r>
    </w:p>
    <w:p w14:paraId="48E336D3" w14:textId="77777777" w:rsidR="00E02585" w:rsidRDefault="00E02585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4FBB233B" w14:textId="77777777" w:rsidR="00E02585" w:rsidRDefault="00E02585">
      <w:pPr>
        <w:ind w:right="1134"/>
        <w:rPr>
          <w:rtl/>
        </w:rPr>
      </w:pPr>
      <w:bookmarkStart w:id="0" w:name="LawPartEnd"/>
    </w:p>
    <w:bookmarkEnd w:id="0"/>
    <w:p w14:paraId="59435B75" w14:textId="77777777" w:rsidR="00E02585" w:rsidRDefault="00E025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(10)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ורסמה ק"ת מס' 102 מיום י"ד באב תש"י (28.7.1950) עמ' 1171.</w:t>
      </w:r>
    </w:p>
    <w:p w14:paraId="08188D38" w14:textId="77777777" w:rsidR="00E02585" w:rsidRDefault="00E02585">
      <w:pPr>
        <w:ind w:right="1134"/>
        <w:rPr>
          <w:rtl/>
        </w:rPr>
      </w:pPr>
    </w:p>
    <w:sectPr w:rsidR="00E025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BCBE" w14:textId="77777777" w:rsidR="00B570B9" w:rsidRDefault="00B570B9">
      <w:r>
        <w:separator/>
      </w:r>
    </w:p>
  </w:endnote>
  <w:endnote w:type="continuationSeparator" w:id="0">
    <w:p w14:paraId="53F952E9" w14:textId="77777777" w:rsidR="00B570B9" w:rsidRDefault="00B5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3546" w14:textId="77777777" w:rsidR="00E02585" w:rsidRDefault="00E025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B88850" w14:textId="77777777" w:rsidR="00E02585" w:rsidRDefault="00E025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521C48" w14:textId="77777777" w:rsidR="00E02585" w:rsidRDefault="00E025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M:\0a-lishca\law\gideon-03-02-13\law01\139_004.doc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E61C1" w14:textId="77777777" w:rsidR="00E02585" w:rsidRDefault="00E025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2AC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99306F" w14:textId="77777777" w:rsidR="00E02585" w:rsidRDefault="00E025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E3EDF6" w14:textId="77777777" w:rsidR="00E02585" w:rsidRDefault="00E025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M:\0a-lishca\law\gideon-03-02-13\law01\139_004.doc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5E88" w14:textId="77777777" w:rsidR="00B570B9" w:rsidRDefault="00B570B9">
      <w:r>
        <w:separator/>
      </w:r>
    </w:p>
  </w:footnote>
  <w:footnote w:type="continuationSeparator" w:id="0">
    <w:p w14:paraId="6DA0BDBF" w14:textId="77777777" w:rsidR="00B570B9" w:rsidRDefault="00B5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E4DE" w14:textId="77777777" w:rsidR="00E02585" w:rsidRDefault="00E025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הוראה בדבר הסמכת פקידי משרד רשם החברות לעשות פעולות מסויימות</w:t>
    </w:r>
  </w:p>
  <w:p w14:paraId="5583E91F" w14:textId="77777777" w:rsidR="00E02585" w:rsidRDefault="00E025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93273F" w14:textId="77777777" w:rsidR="00E02585" w:rsidRDefault="00E025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76B2" w14:textId="77777777" w:rsidR="00E02585" w:rsidRDefault="00E0258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הוראה בדבר הסמכת פקידי משרד רשם החברות לעשות פעולות מסויימות</w:t>
    </w:r>
    <w:r w:rsidR="000545E6">
      <w:rPr>
        <w:rFonts w:hAnsi="FrankRuehl" w:cs="FrankRuehl" w:hint="cs"/>
        <w:color w:val="000000"/>
        <w:sz w:val="28"/>
        <w:szCs w:val="28"/>
        <w:rtl/>
      </w:rPr>
      <w:t>, תש"י-1950</w:t>
    </w:r>
  </w:p>
  <w:p w14:paraId="113468A1" w14:textId="77777777" w:rsidR="00E02585" w:rsidRDefault="00E025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9E936D" w14:textId="77777777" w:rsidR="00E02585" w:rsidRDefault="00E025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585"/>
    <w:rsid w:val="000545E6"/>
    <w:rsid w:val="00095741"/>
    <w:rsid w:val="0024579F"/>
    <w:rsid w:val="00473F54"/>
    <w:rsid w:val="0051083D"/>
    <w:rsid w:val="0066351F"/>
    <w:rsid w:val="006E799F"/>
    <w:rsid w:val="008373BD"/>
    <w:rsid w:val="00876617"/>
    <w:rsid w:val="00A52ACB"/>
    <w:rsid w:val="00AA2B3C"/>
    <w:rsid w:val="00AF1850"/>
    <w:rsid w:val="00B40C6E"/>
    <w:rsid w:val="00B570B9"/>
    <w:rsid w:val="00BE0D2D"/>
    <w:rsid w:val="00E009DD"/>
    <w:rsid w:val="00E02585"/>
    <w:rsid w:val="00F8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C413B7"/>
  <w15:chartTrackingRefBased/>
  <w15:docId w15:val="{C7E15216-0EF2-4F06-9245-17877E2D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139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139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0139</vt:lpwstr>
  </property>
  <property fmtid="{D5CDD505-2E9C-101B-9397-08002B2CF9AE}" pid="3" name="CHNAME">
    <vt:lpwstr>חברות</vt:lpwstr>
  </property>
  <property fmtid="{D5CDD505-2E9C-101B-9397-08002B2CF9AE}" pid="4" name="LAWNAME">
    <vt:lpwstr>הוראה בדבר הסמכת פקידי משרד רשם החברות לעשות פעולות מסויימות, תש"י-1950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פקודת החברות</vt:lpwstr>
  </property>
  <property fmtid="{D5CDD505-2E9C-101B-9397-08002B2CF9AE}" pid="8" name="MEKOR_SAIF1">
    <vt:lpwstr>243X5X;25X2X;50X4X;92X2X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MEKOR_NAME3">
    <vt:lpwstr>פקודת החברות</vt:lpwstr>
  </property>
  <property fmtid="{D5CDD505-2E9C-101B-9397-08002B2CF9AE}" pid="12" name="MEKOR_SAIF3">
    <vt:lpwstr>127X8X;243X3X</vt:lpwstr>
  </property>
  <property fmtid="{D5CDD505-2E9C-101B-9397-08002B2CF9AE}" pid="13" name="NOSE11">
    <vt:lpwstr>משפט פרטי וכלכלה</vt:lpwstr>
  </property>
  <property fmtid="{D5CDD505-2E9C-101B-9397-08002B2CF9AE}" pid="14" name="NOSE21">
    <vt:lpwstr>תאגידים וניירות ערך</vt:lpwstr>
  </property>
  <property fmtid="{D5CDD505-2E9C-101B-9397-08002B2CF9AE}" pid="15" name="NOSE31">
    <vt:lpwstr>חברות</vt:lpwstr>
  </property>
  <property fmtid="{D5CDD505-2E9C-101B-9397-08002B2CF9AE}" pid="16" name="NOSE41">
    <vt:lpwstr>רשם החברות</vt:lpwstr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MEKORSAMCHUT">
    <vt:lpwstr/>
  </property>
  <property fmtid="{D5CDD505-2E9C-101B-9397-08002B2CF9AE}" pid="54" name="LINKK1">
    <vt:lpwstr/>
  </property>
  <property fmtid="{D5CDD505-2E9C-101B-9397-08002B2CF9AE}" pid="55" name="LINKK2">
    <vt:lpwstr/>
  </property>
  <property fmtid="{D5CDD505-2E9C-101B-9397-08002B2CF9AE}" pid="56" name="LINKK3">
    <vt:lpwstr/>
  </property>
  <property fmtid="{D5CDD505-2E9C-101B-9397-08002B2CF9AE}" pid="57" name="LINKK4">
    <vt:lpwstr/>
  </property>
  <property fmtid="{D5CDD505-2E9C-101B-9397-08002B2CF9AE}" pid="58" name="LINKK5">
    <vt:lpwstr/>
  </property>
  <property fmtid="{D5CDD505-2E9C-101B-9397-08002B2CF9AE}" pid="59" name="LINKK6">
    <vt:lpwstr/>
  </property>
  <property fmtid="{D5CDD505-2E9C-101B-9397-08002B2CF9AE}" pid="60" name="LINKK7">
    <vt:lpwstr/>
  </property>
  <property fmtid="{D5CDD505-2E9C-101B-9397-08002B2CF9AE}" pid="61" name="LINKK8">
    <vt:lpwstr/>
  </property>
  <property fmtid="{D5CDD505-2E9C-101B-9397-08002B2CF9AE}" pid="62" name="LINKK9">
    <vt:lpwstr/>
  </property>
  <property fmtid="{D5CDD505-2E9C-101B-9397-08002B2CF9AE}" pid="63" name="LINKK10">
    <vt:lpwstr/>
  </property>
  <property fmtid="{D5CDD505-2E9C-101B-9397-08002B2CF9AE}" pid="64" name="LINKI1">
    <vt:lpwstr/>
  </property>
  <property fmtid="{D5CDD505-2E9C-101B-9397-08002B2CF9AE}" pid="65" name="LINKI2">
    <vt:lpwstr/>
  </property>
  <property fmtid="{D5CDD505-2E9C-101B-9397-08002B2CF9AE}" pid="66" name="LINKI3">
    <vt:lpwstr/>
  </property>
  <property fmtid="{D5CDD505-2E9C-101B-9397-08002B2CF9AE}" pid="67" name="LINKI4">
    <vt:lpwstr/>
  </property>
  <property fmtid="{D5CDD505-2E9C-101B-9397-08002B2CF9AE}" pid="68" name="LINKI5">
    <vt:lpwstr/>
  </property>
</Properties>
</file>