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B1B5" w14:textId="77777777" w:rsidR="008150FC" w:rsidRPr="00D54B4E" w:rsidRDefault="008150FC" w:rsidP="008150FC">
      <w:pPr>
        <w:pStyle w:val="big-header"/>
        <w:ind w:left="0" w:right="1134"/>
        <w:rPr>
          <w:rStyle w:val="default"/>
          <w:rFonts w:cs="FrankRuehl" w:hint="cs"/>
          <w:rtl/>
        </w:rPr>
      </w:pPr>
      <w:r w:rsidRPr="00D54B4E">
        <w:rPr>
          <w:rtl/>
        </w:rPr>
        <w:t>ה</w:t>
      </w:r>
      <w:r w:rsidRPr="00D54B4E">
        <w:rPr>
          <w:rFonts w:hint="cs"/>
          <w:rtl/>
        </w:rPr>
        <w:t>וראות בדבר ניהול הליכים פליליים, על ידי פרקליטים, תש"ן-1990</w:t>
      </w:r>
      <w:r>
        <w:rPr>
          <w:rStyle w:val="a6"/>
          <w:rtl/>
        </w:rPr>
        <w:footnoteReference w:customMarkFollows="1" w:id="1"/>
        <w:t>*</w:t>
      </w:r>
    </w:p>
    <w:p w14:paraId="440055A7" w14:textId="77777777" w:rsidR="008150FC" w:rsidRPr="00D54B4E" w:rsidRDefault="008150FC" w:rsidP="008150FC">
      <w:pPr>
        <w:pStyle w:val="P00"/>
        <w:spacing w:before="72"/>
        <w:ind w:left="0" w:right="1134"/>
        <w:jc w:val="center"/>
        <w:rPr>
          <w:rStyle w:val="default"/>
          <w:rFonts w:cs="FrankRuehl"/>
          <w:rtl/>
        </w:rPr>
      </w:pPr>
      <w:r w:rsidRPr="00D54B4E">
        <w:rPr>
          <w:rStyle w:val="default"/>
          <w:rFonts w:cs="FrankRuehl"/>
          <w:rtl/>
        </w:rPr>
        <w:t>ל</w:t>
      </w:r>
      <w:r w:rsidRPr="00D54B4E">
        <w:rPr>
          <w:rStyle w:val="default"/>
          <w:rFonts w:cs="FrankRuehl" w:hint="cs"/>
          <w:rtl/>
        </w:rPr>
        <w:t>פי חוק סדר הדין הפלילי [נוסח משולב], תשמ"ב-1982</w:t>
      </w:r>
    </w:p>
    <w:p w14:paraId="5BE2CCE5" w14:textId="77777777" w:rsidR="00975397" w:rsidRDefault="00975397" w:rsidP="00975397">
      <w:pPr>
        <w:keepNext/>
        <w:keepLines/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before="440" w:after="120" w:line="240" w:lineRule="auto"/>
        <w:ind w:right="1134"/>
        <w:jc w:val="center"/>
        <w:rPr>
          <w:rFonts w:cs="FrankRuehl"/>
          <w:noProof/>
          <w:color w:val="008000"/>
          <w:sz w:val="20"/>
          <w:szCs w:val="32"/>
        </w:rPr>
      </w:pPr>
      <w:r w:rsidRPr="00975397">
        <w:rPr>
          <w:rFonts w:cs="FrankRuehl" w:hint="cs"/>
          <w:noProof/>
          <w:color w:val="008000"/>
          <w:sz w:val="20"/>
          <w:szCs w:val="32"/>
          <w:rtl/>
        </w:rPr>
        <w:t>רבדים בחקיקה</w:t>
      </w:r>
    </w:p>
    <w:p w14:paraId="26DB563E" w14:textId="77777777" w:rsidR="00693E1A" w:rsidRDefault="00693E1A" w:rsidP="00693E1A">
      <w:pPr>
        <w:spacing w:line="320" w:lineRule="auto"/>
        <w:jc w:val="left"/>
        <w:rPr>
          <w:noProof/>
          <w:rtl/>
        </w:rPr>
      </w:pPr>
    </w:p>
    <w:p w14:paraId="47885553" w14:textId="77777777" w:rsidR="00693E1A" w:rsidRDefault="00693E1A" w:rsidP="00693E1A">
      <w:pPr>
        <w:spacing w:line="320" w:lineRule="auto"/>
        <w:jc w:val="left"/>
        <w:rPr>
          <w:rFonts w:cs="FrankRuehl"/>
          <w:noProof/>
          <w:szCs w:val="26"/>
          <w:rtl/>
        </w:rPr>
      </w:pPr>
      <w:r w:rsidRPr="00693E1A">
        <w:rPr>
          <w:rFonts w:cs="Miriam"/>
          <w:noProof/>
          <w:szCs w:val="22"/>
          <w:rtl/>
        </w:rPr>
        <w:t>בתי משפט וסדרי דין</w:t>
      </w:r>
      <w:r w:rsidRPr="00693E1A">
        <w:rPr>
          <w:rFonts w:cs="FrankRuehl"/>
          <w:noProof/>
          <w:szCs w:val="26"/>
          <w:rtl/>
        </w:rPr>
        <w:t xml:space="preserve"> – סדר דין פלילי – ניהול ההליך הפלילי</w:t>
      </w:r>
    </w:p>
    <w:p w14:paraId="543E31F5" w14:textId="77777777" w:rsidR="0059469E" w:rsidRPr="00693E1A" w:rsidRDefault="00693E1A" w:rsidP="00693E1A">
      <w:pPr>
        <w:spacing w:line="320" w:lineRule="auto"/>
        <w:jc w:val="left"/>
        <w:rPr>
          <w:rFonts w:cs="Miriam"/>
          <w:noProof/>
          <w:szCs w:val="22"/>
          <w:rtl/>
        </w:rPr>
      </w:pPr>
      <w:r w:rsidRPr="00693E1A">
        <w:rPr>
          <w:rFonts w:cs="Miriam"/>
          <w:noProof/>
          <w:szCs w:val="22"/>
          <w:rtl/>
        </w:rPr>
        <w:t>עונשין ומשפט פלילי</w:t>
      </w:r>
      <w:r w:rsidRPr="00693E1A">
        <w:rPr>
          <w:rFonts w:cs="FrankRuehl"/>
          <w:noProof/>
          <w:szCs w:val="26"/>
          <w:rtl/>
        </w:rPr>
        <w:t xml:space="preserve"> – סדר דין פלילי</w:t>
      </w:r>
    </w:p>
    <w:p w14:paraId="710F77EA" w14:textId="77777777" w:rsidR="0059469E" w:rsidRPr="00D54B4E" w:rsidRDefault="0059469E" w:rsidP="00975397">
      <w:pPr>
        <w:keepNext/>
        <w:keepLines/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before="440" w:after="120" w:line="240" w:lineRule="auto"/>
        <w:ind w:right="1134"/>
        <w:jc w:val="center"/>
        <w:rPr>
          <w:rFonts w:cs="FrankRuehl"/>
          <w:noProof/>
          <w:color w:val="008000"/>
          <w:sz w:val="20"/>
          <w:szCs w:val="32"/>
          <w:rtl/>
        </w:rPr>
      </w:pPr>
    </w:p>
    <w:p w14:paraId="79784C22" w14:textId="77777777" w:rsidR="00A12DEF" w:rsidRPr="00D54B4E" w:rsidRDefault="00A12DEF" w:rsidP="00815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D54B4E">
        <w:rPr>
          <w:rStyle w:val="default"/>
          <w:rFonts w:cs="FrankRuehl"/>
          <w:rtl/>
        </w:rPr>
        <w:t>ב</w:t>
      </w:r>
      <w:r w:rsidRPr="00D54B4E">
        <w:rPr>
          <w:rStyle w:val="default"/>
          <w:rFonts w:cs="FrankRuehl" w:hint="cs"/>
          <w:rtl/>
        </w:rPr>
        <w:t>תוקף סמכותי לפי סעיף 12(ב) לחוק סדר הדין הפלילי [נוסח משולב], תשמ"ב</w:t>
      </w:r>
      <w:r w:rsidR="008150FC">
        <w:rPr>
          <w:rStyle w:val="default"/>
          <w:rFonts w:cs="FrankRuehl" w:hint="cs"/>
          <w:rtl/>
        </w:rPr>
        <w:t>-</w:t>
      </w:r>
      <w:r w:rsidRPr="00D54B4E">
        <w:rPr>
          <w:rStyle w:val="default"/>
          <w:rFonts w:cs="FrankRuehl" w:hint="cs"/>
          <w:rtl/>
        </w:rPr>
        <w:t>1982, אני מורה בזה לאמור:</w:t>
      </w:r>
    </w:p>
    <w:p w14:paraId="170DA592" w14:textId="77777777" w:rsidR="00A12DEF" w:rsidRPr="00D54B4E" w:rsidRDefault="00A12DEF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D54B4E">
        <w:rPr>
          <w:rtl/>
        </w:rPr>
        <w:t>1.</w:t>
      </w:r>
      <w:r w:rsidRPr="00D54B4E">
        <w:rPr>
          <w:rtl/>
        </w:rPr>
        <w:tab/>
      </w:r>
      <w:r w:rsidRPr="00D54B4E">
        <w:rPr>
          <w:rStyle w:val="default"/>
          <w:rFonts w:cs="FrankRuehl"/>
          <w:rtl/>
        </w:rPr>
        <w:t>מ</w:t>
      </w:r>
      <w:r w:rsidRPr="00D54B4E">
        <w:rPr>
          <w:rStyle w:val="default"/>
          <w:rFonts w:cs="FrankRuehl" w:hint="cs"/>
          <w:rtl/>
        </w:rPr>
        <w:t>שפטים</w:t>
      </w:r>
      <w:r w:rsidRPr="00D54B4E">
        <w:rPr>
          <w:rStyle w:val="default"/>
          <w:rFonts w:cs="FrankRuehl"/>
          <w:rtl/>
        </w:rPr>
        <w:t xml:space="preserve"> </w:t>
      </w:r>
      <w:r w:rsidRPr="00D54B4E">
        <w:rPr>
          <w:rStyle w:val="default"/>
          <w:rFonts w:cs="FrankRuehl" w:hint="cs"/>
          <w:rtl/>
        </w:rPr>
        <w:t>בעבירות המנויות להלן ינוהלו על ידי פרקליט מפרקליטות המדינה, ואלה העבירות:</w:t>
      </w:r>
    </w:p>
    <w:p w14:paraId="01959734" w14:textId="77777777" w:rsidR="00A12DEF" w:rsidRPr="00D54B4E" w:rsidRDefault="00A12DEF" w:rsidP="008150FC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 w:rsidRPr="00D54B4E">
        <w:rPr>
          <w:rtl/>
        </w:rPr>
        <w:tab/>
      </w:r>
      <w:r w:rsidRPr="00D54B4E">
        <w:rPr>
          <w:rStyle w:val="default"/>
          <w:rFonts w:cs="FrankRuehl"/>
          <w:rtl/>
        </w:rPr>
        <w:t>(1)</w:t>
      </w:r>
      <w:r w:rsidRPr="00D54B4E">
        <w:rPr>
          <w:rStyle w:val="default"/>
          <w:rFonts w:cs="FrankRuehl"/>
          <w:rtl/>
        </w:rPr>
        <w:tab/>
      </w:r>
      <w:r w:rsidRPr="00D54B4E">
        <w:rPr>
          <w:rStyle w:val="default"/>
          <w:rFonts w:cs="FrankRuehl" w:hint="cs"/>
          <w:rtl/>
        </w:rPr>
        <w:t>גרימת מוות בהתרשלות לפי סעיף 304 לחוק העונשין, תשל"ז</w:t>
      </w:r>
      <w:r w:rsidR="008150FC">
        <w:rPr>
          <w:rStyle w:val="default"/>
          <w:rFonts w:cs="FrankRuehl" w:hint="cs"/>
          <w:rtl/>
        </w:rPr>
        <w:t>-</w:t>
      </w:r>
      <w:r w:rsidRPr="00D54B4E">
        <w:rPr>
          <w:rStyle w:val="default"/>
          <w:rFonts w:cs="FrankRuehl" w:hint="cs"/>
          <w:rtl/>
        </w:rPr>
        <w:t xml:space="preserve">1977 (להלן </w:t>
      </w:r>
      <w:r w:rsidR="008150FC">
        <w:rPr>
          <w:rStyle w:val="default"/>
          <w:rFonts w:cs="FrankRuehl" w:hint="cs"/>
          <w:rtl/>
        </w:rPr>
        <w:t>-</w:t>
      </w:r>
      <w:r w:rsidRPr="00D54B4E">
        <w:rPr>
          <w:rStyle w:val="default"/>
          <w:rFonts w:cs="FrankRuehl" w:hint="cs"/>
          <w:rtl/>
        </w:rPr>
        <w:t xml:space="preserve"> החוק);</w:t>
      </w:r>
    </w:p>
    <w:p w14:paraId="62D64C1A" w14:textId="77777777" w:rsidR="00A12DEF" w:rsidRPr="00D54B4E" w:rsidRDefault="00A12D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D54B4E">
        <w:rPr>
          <w:rtl/>
          <w:lang w:val="he-IL"/>
        </w:rPr>
        <w:pict w14:anchorId="35EBFC6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2pt;margin-top:7.1pt;width:80.25pt;height:11.2pt;z-index:251657728" filled="f" stroked="f">
            <v:textbox inset="1mm,0,1mm,0">
              <w:txbxContent>
                <w:p w14:paraId="34265569" w14:textId="77777777" w:rsidR="00A12DEF" w:rsidRDefault="008150FC">
                  <w:pPr>
                    <w:autoSpaceDE/>
                    <w:autoSpaceDN/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הוראות</w:t>
                  </w:r>
                  <w:r w:rsidR="00A12DE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תשס"ד-2004</w:t>
                  </w:r>
                </w:p>
              </w:txbxContent>
            </v:textbox>
            <w10:anchorlock/>
          </v:shape>
        </w:pict>
      </w:r>
      <w:r w:rsidRPr="00D54B4E">
        <w:rPr>
          <w:rtl/>
        </w:rPr>
        <w:tab/>
      </w:r>
      <w:r w:rsidRPr="00D54B4E">
        <w:rPr>
          <w:rStyle w:val="default"/>
          <w:rFonts w:cs="FrankRuehl"/>
          <w:rtl/>
        </w:rPr>
        <w:t>(2)</w:t>
      </w:r>
      <w:r w:rsidRPr="00D54B4E">
        <w:rPr>
          <w:rStyle w:val="default"/>
          <w:rFonts w:cs="FrankRuehl"/>
          <w:rtl/>
        </w:rPr>
        <w:tab/>
      </w:r>
      <w:r w:rsidRPr="00D54B4E">
        <w:rPr>
          <w:rStyle w:val="default"/>
          <w:rFonts w:cs="FrankRuehl" w:hint="cs"/>
          <w:rtl/>
        </w:rPr>
        <w:t>עוונות של קבלת דבר במרמה לפי סעיף 415 לחוק בתיקים מורכבים בהתאם להנחיית פרקליט המדינה, למעט קבלת מצרכים או שירותים בבית אוכל, בבית מלון או ב</w:t>
      </w:r>
      <w:r w:rsidRPr="00D54B4E">
        <w:rPr>
          <w:rStyle w:val="default"/>
          <w:rFonts w:cs="FrankRuehl"/>
          <w:rtl/>
        </w:rPr>
        <w:t>כ</w:t>
      </w:r>
      <w:r w:rsidRPr="00D54B4E">
        <w:rPr>
          <w:rStyle w:val="default"/>
          <w:rFonts w:cs="FrankRuehl" w:hint="cs"/>
          <w:rtl/>
        </w:rPr>
        <w:t xml:space="preserve">יוצא באלה כאמור בסעיף 437(1) לחוק, וכן עוונות של זיוף בידי עובד הציבור לפי סעיף 421 לחוק. </w:t>
      </w:r>
    </w:p>
    <w:p w14:paraId="523273B6" w14:textId="77777777" w:rsidR="00F51BBE" w:rsidRPr="008150FC" w:rsidRDefault="00F51BBE" w:rsidP="00F51BB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line="240" w:lineRule="auto"/>
        <w:ind w:right="1134"/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</w:pPr>
      <w:bookmarkStart w:id="0" w:name="Rov2"/>
      <w:r w:rsidRPr="008150FC">
        <w:rPr>
          <w:rFonts w:cs="FrankRuehl" w:hint="cs"/>
          <w:noProof/>
          <w:vanish/>
          <w:color w:val="FF0000"/>
          <w:sz w:val="20"/>
          <w:szCs w:val="20"/>
          <w:shd w:val="clear" w:color="auto" w:fill="FFFF99"/>
          <w:rtl/>
        </w:rPr>
        <w:t>מיום 1.1.2004</w:t>
      </w:r>
    </w:p>
    <w:p w14:paraId="748DF27E" w14:textId="77777777" w:rsidR="00F51BBE" w:rsidRPr="008150FC" w:rsidRDefault="00F51BBE" w:rsidP="00F51BB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line="240" w:lineRule="auto"/>
        <w:ind w:right="1134"/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</w:pPr>
      <w:r w:rsidRPr="008150FC"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  <w:t>הוראות תשס"ד-2004</w:t>
      </w:r>
    </w:p>
    <w:p w14:paraId="049CC2C3" w14:textId="77777777" w:rsidR="00F51BBE" w:rsidRPr="008150FC" w:rsidRDefault="00D54B4E" w:rsidP="00D54B4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line="240" w:lineRule="auto"/>
        <w:ind w:right="1134"/>
        <w:rPr>
          <w:rStyle w:val="default"/>
          <w:rFonts w:cs="FrankRuehl" w:hint="cs"/>
          <w:noProof/>
          <w:vanish/>
          <w:szCs w:val="20"/>
          <w:shd w:val="clear" w:color="auto" w:fill="FFFF99"/>
          <w:rtl/>
        </w:rPr>
      </w:pPr>
      <w:r w:rsidRPr="008150FC">
        <w:rPr>
          <w:rFonts w:cs="FrankRuehl" w:hint="cs"/>
          <w:noProof/>
          <w:vanish/>
          <w:color w:val="0000FF"/>
          <w:sz w:val="20"/>
          <w:szCs w:val="20"/>
          <w:u w:val="single"/>
          <w:shd w:val="clear" w:color="auto" w:fill="FFFF99"/>
          <w:rtl/>
        </w:rPr>
        <w:t>י"פ</w:t>
      </w:r>
      <w:r w:rsidR="00F51BBE" w:rsidRPr="008150FC">
        <w:rPr>
          <w:rFonts w:cs="FrankRuehl" w:hint="cs"/>
          <w:noProof/>
          <w:vanish/>
          <w:color w:val="0000FF"/>
          <w:sz w:val="20"/>
          <w:szCs w:val="20"/>
          <w:u w:val="single"/>
          <w:shd w:val="clear" w:color="auto" w:fill="FFFF99"/>
          <w:rtl/>
        </w:rPr>
        <w:t xml:space="preserve"> תשס"ד מס' </w:t>
      </w:r>
      <w:r w:rsidRPr="008150FC">
        <w:rPr>
          <w:rFonts w:cs="FrankRuehl" w:hint="cs"/>
          <w:noProof/>
          <w:vanish/>
          <w:color w:val="0000FF"/>
          <w:sz w:val="20"/>
          <w:szCs w:val="20"/>
          <w:u w:val="single"/>
          <w:shd w:val="clear" w:color="auto" w:fill="FFFF99"/>
          <w:rtl/>
        </w:rPr>
        <w:t>5294</w:t>
      </w:r>
      <w:r w:rsidR="00F51BBE" w:rsidRPr="008150FC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 xml:space="preserve"> מיום </w:t>
      </w:r>
      <w:r w:rsidRPr="008150FC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>3</w:t>
      </w:r>
      <w:r w:rsidR="00F51BBE" w:rsidRPr="008150FC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>.5.</w:t>
      </w:r>
      <w:r w:rsidRPr="008150FC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>2004</w:t>
      </w:r>
      <w:r w:rsidR="00F51BBE" w:rsidRPr="008150FC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 xml:space="preserve"> עמ' </w:t>
      </w:r>
      <w:r w:rsidRPr="008150FC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>2775</w:t>
      </w:r>
    </w:p>
    <w:p w14:paraId="0CE87767" w14:textId="77777777" w:rsidR="00D54B4E" w:rsidRPr="00D54B4E" w:rsidRDefault="00D54B4E" w:rsidP="00D54B4E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8150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8150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8150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150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עוונות של קבלת דבר במרמה לפי סעיף 415 לחוק </w:t>
      </w:r>
      <w:r w:rsidRPr="008150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בתיקים מורכבים בהתאם להנחיית פרקליט המדינה</w:t>
      </w:r>
      <w:r w:rsidRPr="008150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למעט קבלת מצרכים או שירותים בבית אוכל, בבית מלון או ב</w:t>
      </w:r>
      <w:r w:rsidRPr="008150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8150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יוצא באלה כאמור בסעיף 437(1) לחוק, וכן עוונות של זיוף בידי עובד הציבור לפי סעיף 421 לחוק. </w:t>
      </w:r>
      <w:bookmarkEnd w:id="0"/>
    </w:p>
    <w:p w14:paraId="4D39659C" w14:textId="77777777" w:rsidR="00A12DEF" w:rsidRPr="00D54B4E" w:rsidRDefault="00A12DEF" w:rsidP="008150FC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D54B4E">
        <w:rPr>
          <w:rStyle w:val="default"/>
          <w:rFonts w:cs="FrankRuehl"/>
          <w:rtl/>
        </w:rPr>
        <w:t>2.</w:t>
      </w:r>
      <w:r w:rsidRPr="00D54B4E">
        <w:rPr>
          <w:rStyle w:val="default"/>
          <w:rFonts w:cs="FrankRuehl"/>
          <w:rtl/>
        </w:rPr>
        <w:tab/>
      </w:r>
      <w:r w:rsidRPr="00D54B4E">
        <w:rPr>
          <w:rStyle w:val="default"/>
          <w:rFonts w:cs="FrankRuehl" w:hint="cs"/>
          <w:rtl/>
        </w:rPr>
        <w:t xml:space="preserve">ההוראות בדבר ניהול הליכים פליליים על ידי פרקליטים </w:t>
      </w:r>
      <w:r w:rsidR="008150FC">
        <w:rPr>
          <w:rStyle w:val="default"/>
          <w:rFonts w:cs="FrankRuehl" w:hint="cs"/>
          <w:rtl/>
        </w:rPr>
        <w:t>-</w:t>
      </w:r>
      <w:r w:rsidRPr="00D54B4E">
        <w:rPr>
          <w:rStyle w:val="default"/>
          <w:rFonts w:cs="FrankRuehl" w:hint="cs"/>
          <w:rtl/>
        </w:rPr>
        <w:t xml:space="preserve"> בטלות.</w:t>
      </w:r>
    </w:p>
    <w:p w14:paraId="2DFBFE8B" w14:textId="77777777" w:rsidR="00A12DEF" w:rsidRPr="00D54B4E" w:rsidRDefault="00A12DEF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D54B4E">
        <w:rPr>
          <w:rStyle w:val="default"/>
          <w:rFonts w:cs="FrankRuehl"/>
          <w:rtl/>
        </w:rPr>
        <w:t>3.</w:t>
      </w:r>
      <w:r w:rsidRPr="00D54B4E">
        <w:rPr>
          <w:rStyle w:val="default"/>
          <w:rFonts w:cs="FrankRuehl"/>
          <w:rtl/>
        </w:rPr>
        <w:tab/>
      </w:r>
      <w:r w:rsidRPr="00D54B4E">
        <w:rPr>
          <w:rStyle w:val="default"/>
          <w:rFonts w:cs="FrankRuehl" w:hint="cs"/>
          <w:rtl/>
        </w:rPr>
        <w:t>תחילתן של הוראות אלה ביום ח' בסיון תש"ן (1 ביוני 1990).</w:t>
      </w:r>
    </w:p>
    <w:p w14:paraId="3760F16A" w14:textId="77777777" w:rsidR="00A12DEF" w:rsidRDefault="00A12DEF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</w:p>
    <w:p w14:paraId="1D1A3DF6" w14:textId="77777777" w:rsidR="008150FC" w:rsidRPr="00D54B4E" w:rsidRDefault="008150FC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</w:p>
    <w:p w14:paraId="12C7C0AA" w14:textId="77777777" w:rsidR="00A12DEF" w:rsidRPr="00D54B4E" w:rsidRDefault="00A12DEF" w:rsidP="008150FC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D54B4E">
        <w:rPr>
          <w:sz w:val="26"/>
          <w:szCs w:val="26"/>
          <w:rtl/>
        </w:rPr>
        <w:t>א</w:t>
      </w:r>
      <w:r w:rsidRPr="00D54B4E">
        <w:rPr>
          <w:rFonts w:hint="cs"/>
          <w:sz w:val="26"/>
          <w:szCs w:val="26"/>
          <w:rtl/>
        </w:rPr>
        <w:t>' בסיון תש"ן (25 במאי 1990)</w:t>
      </w:r>
      <w:r w:rsidRPr="00D54B4E">
        <w:rPr>
          <w:sz w:val="26"/>
          <w:szCs w:val="26"/>
          <w:rtl/>
        </w:rPr>
        <w:tab/>
      </w:r>
      <w:r w:rsidRPr="00D54B4E">
        <w:rPr>
          <w:rFonts w:hint="cs"/>
          <w:sz w:val="26"/>
          <w:szCs w:val="26"/>
          <w:rtl/>
        </w:rPr>
        <w:t>יוסף חריש</w:t>
      </w:r>
    </w:p>
    <w:p w14:paraId="1436F960" w14:textId="77777777" w:rsidR="00A12DEF" w:rsidRDefault="00A12DEF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 w:rsidRPr="00D54B4E">
        <w:rPr>
          <w:rtl/>
        </w:rPr>
        <w:tab/>
      </w:r>
      <w:r w:rsidRPr="00D54B4E">
        <w:rPr>
          <w:rtl/>
        </w:rPr>
        <w:tab/>
      </w:r>
      <w:r w:rsidRPr="00D54B4E">
        <w:rPr>
          <w:rFonts w:hint="cs"/>
          <w:rtl/>
        </w:rPr>
        <w:t>היועץ המשפטי לממשלה</w:t>
      </w:r>
    </w:p>
    <w:p w14:paraId="1C099385" w14:textId="77777777" w:rsidR="00A12DEF" w:rsidRPr="008150FC" w:rsidRDefault="00A12DEF" w:rsidP="008150FC">
      <w:pPr>
        <w:pStyle w:val="P01"/>
        <w:spacing w:before="72"/>
        <w:ind w:left="624" w:right="1134"/>
        <w:rPr>
          <w:rStyle w:val="default"/>
          <w:rFonts w:cs="FrankRuehl"/>
          <w:rtl/>
        </w:rPr>
      </w:pPr>
    </w:p>
    <w:p w14:paraId="366D1F46" w14:textId="77777777" w:rsidR="00A12DEF" w:rsidRPr="008150FC" w:rsidRDefault="00A12DEF" w:rsidP="008150FC">
      <w:pPr>
        <w:pStyle w:val="P01"/>
        <w:spacing w:before="72"/>
        <w:ind w:left="624" w:right="1134"/>
        <w:rPr>
          <w:rStyle w:val="default"/>
          <w:rFonts w:cs="FrankRuehl"/>
          <w:rtl/>
        </w:rPr>
      </w:pPr>
    </w:p>
    <w:p w14:paraId="13557EA0" w14:textId="77777777" w:rsidR="00A12DEF" w:rsidRPr="008150FC" w:rsidRDefault="00A12DEF" w:rsidP="008150FC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51E76A75" w14:textId="77777777" w:rsidR="00A12DEF" w:rsidRPr="008150FC" w:rsidRDefault="00A12DEF" w:rsidP="008150FC">
      <w:pPr>
        <w:pStyle w:val="P01"/>
        <w:spacing w:before="72"/>
        <w:ind w:left="624" w:right="1134"/>
        <w:rPr>
          <w:rStyle w:val="default"/>
          <w:rFonts w:cs="FrankRuehl"/>
          <w:rtl/>
        </w:rPr>
      </w:pPr>
    </w:p>
    <w:sectPr w:rsidR="00A12DEF" w:rsidRPr="008150F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8DF71" w14:textId="77777777" w:rsidR="0060424F" w:rsidRDefault="0060424F">
      <w:pPr>
        <w:spacing w:line="240" w:lineRule="auto"/>
      </w:pPr>
      <w:r>
        <w:separator/>
      </w:r>
    </w:p>
  </w:endnote>
  <w:endnote w:type="continuationSeparator" w:id="0">
    <w:p w14:paraId="7468E4F0" w14:textId="77777777" w:rsidR="0060424F" w:rsidRDefault="006042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E7DD4" w14:textId="77777777" w:rsidR="00A12DEF" w:rsidRDefault="00A12DE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B3E0336" w14:textId="77777777" w:rsidR="00A12DEF" w:rsidRDefault="00A12DE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50DF641" w14:textId="77777777" w:rsidR="00A12DEF" w:rsidRDefault="00A12DE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150FC">
      <w:rPr>
        <w:rFonts w:cs="TopType Jerushalmi"/>
        <w:noProof/>
        <w:color w:val="000000"/>
        <w:sz w:val="14"/>
        <w:szCs w:val="14"/>
      </w:rPr>
      <w:t>D:\Yael\hakika\Revadim\055_184.doc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0E4F" w14:textId="77777777" w:rsidR="00A12DEF" w:rsidRDefault="00A12DE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93E1A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90DAC9D" w14:textId="77777777" w:rsidR="00A12DEF" w:rsidRDefault="00A12DE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CA3DA8D" w14:textId="77777777" w:rsidR="00A12DEF" w:rsidRDefault="00A12DE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150FC">
      <w:rPr>
        <w:rFonts w:cs="TopType Jerushalmi"/>
        <w:noProof/>
        <w:color w:val="000000"/>
        <w:sz w:val="14"/>
        <w:szCs w:val="14"/>
      </w:rPr>
      <w:t>D:\Yael\hakika\Revadim\055_184.doc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E8C21" w14:textId="77777777" w:rsidR="0060424F" w:rsidRDefault="0060424F" w:rsidP="008150F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5660269" w14:textId="77777777" w:rsidR="0060424F" w:rsidRDefault="0060424F">
      <w:pPr>
        <w:spacing w:line="240" w:lineRule="auto"/>
      </w:pPr>
      <w:r>
        <w:continuationSeparator/>
      </w:r>
    </w:p>
  </w:footnote>
  <w:footnote w:id="1">
    <w:p w14:paraId="5051D5B0" w14:textId="77777777" w:rsidR="008150FC" w:rsidRPr="00D54B4E" w:rsidRDefault="008150FC" w:rsidP="008150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8150FC">
        <w:rPr>
          <w:sz w:val="20"/>
          <w:rtl/>
        </w:rPr>
        <w:t xml:space="preserve">* </w:t>
      </w:r>
      <w:r w:rsidRPr="00D54B4E">
        <w:rPr>
          <w:sz w:val="20"/>
          <w:rtl/>
        </w:rPr>
        <w:t>פ</w:t>
      </w:r>
      <w:r w:rsidRPr="00D54B4E">
        <w:rPr>
          <w:rFonts w:hint="cs"/>
          <w:sz w:val="20"/>
          <w:rtl/>
        </w:rPr>
        <w:t xml:space="preserve">ורסמו </w:t>
      </w:r>
      <w:hyperlink r:id="rId1" w:history="1">
        <w:r w:rsidRPr="00D54B4E">
          <w:rPr>
            <w:rStyle w:val="Hyperlink"/>
            <w:rFonts w:hint="cs"/>
            <w:sz w:val="20"/>
            <w:rtl/>
          </w:rPr>
          <w:t>י"פ תש"ן מס' 3769</w:t>
        </w:r>
      </w:hyperlink>
      <w:r w:rsidRPr="00D54B4E">
        <w:rPr>
          <w:rFonts w:hint="cs"/>
          <w:sz w:val="20"/>
          <w:rtl/>
        </w:rPr>
        <w:t xml:space="preserve"> מיום 27.5.1990 עמ' 2858.</w:t>
      </w:r>
    </w:p>
    <w:p w14:paraId="6E7FAD22" w14:textId="77777777" w:rsidR="008150FC" w:rsidRPr="008150FC" w:rsidRDefault="008150FC" w:rsidP="008150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D54B4E">
        <w:rPr>
          <w:rFonts w:hint="cs"/>
          <w:sz w:val="20"/>
          <w:rtl/>
        </w:rPr>
        <w:t xml:space="preserve">תוקנו </w:t>
      </w:r>
      <w:hyperlink r:id="rId2" w:history="1">
        <w:r w:rsidRPr="00D54B4E">
          <w:rPr>
            <w:rStyle w:val="Hyperlink"/>
            <w:rFonts w:hint="cs"/>
            <w:sz w:val="20"/>
            <w:rtl/>
          </w:rPr>
          <w:t>י"פ תשס"ד מס' 5294</w:t>
        </w:r>
      </w:hyperlink>
      <w:r w:rsidRPr="00D54B4E">
        <w:rPr>
          <w:rFonts w:hint="cs"/>
          <w:sz w:val="20"/>
          <w:rtl/>
        </w:rPr>
        <w:t xml:space="preserve"> מיום 3.5.2004 עמ' 2775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הוראות תשס"ד-2004</w:t>
      </w:r>
      <w:r w:rsidRPr="00D54B4E">
        <w:rPr>
          <w:rFonts w:hint="cs"/>
          <w:sz w:val="20"/>
          <w:rtl/>
        </w:rPr>
        <w:t>; תחילתן ביום 1.1.2004.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47841" w14:textId="77777777" w:rsidR="00A12DEF" w:rsidRDefault="00A12DE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בדבר ניהול הליכים פליליים, על ידי פרקליטים, תש"ן–1990</w:t>
    </w:r>
  </w:p>
  <w:p w14:paraId="07C615FB" w14:textId="77777777" w:rsidR="00A12DEF" w:rsidRDefault="00A12D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45F2C8" w14:textId="77777777" w:rsidR="00A12DEF" w:rsidRDefault="00A12D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43EC" w14:textId="77777777" w:rsidR="00A12DEF" w:rsidRDefault="00A12DE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בדבר ניהול הליכים פליליים, על ידי פרקליטים, תש"ן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1990</w:t>
    </w:r>
  </w:p>
  <w:p w14:paraId="711AAEF1" w14:textId="77777777" w:rsidR="00A12DEF" w:rsidRDefault="00A12D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7B63748" w14:textId="77777777" w:rsidR="00A12DEF" w:rsidRDefault="00A12D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5397"/>
    <w:rsid w:val="001A69C4"/>
    <w:rsid w:val="003D483E"/>
    <w:rsid w:val="004D57B4"/>
    <w:rsid w:val="0059469E"/>
    <w:rsid w:val="0060424F"/>
    <w:rsid w:val="00693E1A"/>
    <w:rsid w:val="008150FC"/>
    <w:rsid w:val="008462F1"/>
    <w:rsid w:val="008E4461"/>
    <w:rsid w:val="00975397"/>
    <w:rsid w:val="00A116D1"/>
    <w:rsid w:val="00A12DEF"/>
    <w:rsid w:val="00D54B4E"/>
    <w:rsid w:val="00EF0F34"/>
    <w:rsid w:val="00F5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2EA92E3"/>
  <w15:chartTrackingRefBased/>
  <w15:docId w15:val="{D91C48A8-ABF6-4D02-BA26-816B0EBD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uiPriority w:val="99"/>
    <w:unhideWhenUsed/>
    <w:rsid w:val="008462F1"/>
    <w:rPr>
      <w:color w:val="0000FF"/>
      <w:u w:val="single"/>
    </w:rPr>
  </w:style>
  <w:style w:type="paragraph" w:styleId="a5">
    <w:name w:val="footnote text"/>
    <w:basedOn w:val="a"/>
    <w:semiHidden/>
    <w:rsid w:val="008150FC"/>
    <w:rPr>
      <w:sz w:val="20"/>
      <w:szCs w:val="20"/>
    </w:rPr>
  </w:style>
  <w:style w:type="character" w:styleId="a6">
    <w:name w:val="footnote reference"/>
    <w:basedOn w:val="a0"/>
    <w:semiHidden/>
    <w:rsid w:val="008150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0/YALKUT-5294.pdf" TargetMode="External"/><Relationship Id="rId1" Type="http://schemas.openxmlformats.org/officeDocument/2006/relationships/hyperlink" Target="http://www.nevo.co.il/Law_word/law10/YALKUT-37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1209</CharactersWithSpaces>
  <SharedDoc>false</SharedDoc>
  <HLinks>
    <vt:vector size="12" baseType="variant">
      <vt:variant>
        <vt:i4>7798797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http://www.nevo.co.il/Law_word/law10/YALKUT-5294.pdf</vt:lpwstr>
      </vt:variant>
      <vt:variant>
        <vt:lpwstr/>
      </vt:variant>
      <vt:variant>
        <vt:i4>8323076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http://www.nevo.co.il/Law_word/law10/YALKUT-3769.pdf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הוראות בדבר ניהול הליכים פליליים, על ידי פרקליטים, תש"ן-1990 - רבדים</vt:lpwstr>
  </property>
  <property fmtid="{D5CDD505-2E9C-101B-9397-08002B2CF9AE}" pid="5" name="LAWNUMBER">
    <vt:lpwstr>0184</vt:lpwstr>
  </property>
  <property fmtid="{D5CDD505-2E9C-101B-9397-08002B2CF9AE}" pid="6" name="TYPE">
    <vt:lpwstr>01</vt:lpwstr>
  </property>
  <property fmtid="{D5CDD505-2E9C-101B-9397-08002B2CF9AE}" pid="7" name="MEKOR_NAME1">
    <vt:lpwstr>חוק סדר הדין הפלילי [נוסח משולב]</vt:lpwstr>
  </property>
  <property fmtid="{D5CDD505-2E9C-101B-9397-08002B2CF9AE}" pid="8" name="MEKOR_SAIF1">
    <vt:lpwstr>12XבX</vt:lpwstr>
  </property>
  <property fmtid="{D5CDD505-2E9C-101B-9397-08002B2CF9AE}" pid="9" name="NOSE11">
    <vt:lpwstr>בתי משפט וסדרי דין</vt:lpwstr>
  </property>
  <property fmtid="{D5CDD505-2E9C-101B-9397-08002B2CF9AE}" pid="10" name="NOSE21">
    <vt:lpwstr>סדר דין פלילי</vt:lpwstr>
  </property>
  <property fmtid="{D5CDD505-2E9C-101B-9397-08002B2CF9AE}" pid="11" name="NOSE31">
    <vt:lpwstr>ניהול ההליך הפלילי</vt:lpwstr>
  </property>
  <property fmtid="{D5CDD505-2E9C-101B-9397-08002B2CF9AE}" pid="12" name="NOSE41">
    <vt:lpwstr/>
  </property>
  <property fmtid="{D5CDD505-2E9C-101B-9397-08002B2CF9AE}" pid="13" name="NOSE12">
    <vt:lpwstr>עונשין ומשפט פלילי</vt:lpwstr>
  </property>
  <property fmtid="{D5CDD505-2E9C-101B-9397-08002B2CF9AE}" pid="14" name="NOSE22">
    <vt:lpwstr>סדר דין פלילי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