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D2B" w:rsidRDefault="003C2D2B">
      <w:pPr>
        <w:pStyle w:val="big-header"/>
        <w:ind w:left="0" w:right="1134"/>
      </w:pPr>
      <w:r>
        <w:rPr>
          <w:rtl/>
        </w:rPr>
        <w:t>הוראות הבנקאות (הצגת דו"ח כספי שנתי ופרסומו), תשנ"ב-1991</w:t>
      </w:r>
    </w:p>
    <w:p w:rsidR="007014CD" w:rsidRPr="007014CD" w:rsidRDefault="007014CD" w:rsidP="007014CD">
      <w:pPr>
        <w:spacing w:line="320" w:lineRule="auto"/>
        <w:jc w:val="left"/>
        <w:rPr>
          <w:rFonts w:cs="FrankRuehl"/>
          <w:szCs w:val="26"/>
          <w:rtl/>
        </w:rPr>
      </w:pPr>
    </w:p>
    <w:p w:rsidR="004A37FE" w:rsidRPr="004A37FE" w:rsidRDefault="004A37FE" w:rsidP="004A37FE">
      <w:pPr>
        <w:spacing w:line="320" w:lineRule="auto"/>
        <w:jc w:val="left"/>
        <w:rPr>
          <w:rFonts w:cs="FrankRuehl"/>
          <w:szCs w:val="26"/>
          <w:rtl/>
        </w:rPr>
      </w:pPr>
    </w:p>
    <w:p w:rsidR="004A37FE" w:rsidRDefault="004A37FE" w:rsidP="004A37FE">
      <w:pPr>
        <w:spacing w:line="320" w:lineRule="auto"/>
        <w:jc w:val="left"/>
        <w:rPr>
          <w:rtl/>
        </w:rPr>
      </w:pPr>
    </w:p>
    <w:p w:rsidR="004A37FE" w:rsidRDefault="004A37FE" w:rsidP="004A37FE">
      <w:pPr>
        <w:spacing w:line="320" w:lineRule="auto"/>
        <w:jc w:val="left"/>
        <w:rPr>
          <w:rFonts w:cs="FrankRuehl"/>
          <w:szCs w:val="26"/>
          <w:rtl/>
        </w:rPr>
      </w:pPr>
      <w:r w:rsidRPr="004A37FE">
        <w:rPr>
          <w:rFonts w:cs="Miriam"/>
          <w:szCs w:val="22"/>
          <w:rtl/>
        </w:rPr>
        <w:t>משפט פרטי וכלכלה</w:t>
      </w:r>
      <w:r w:rsidRPr="004A37FE">
        <w:rPr>
          <w:rFonts w:cs="FrankRuehl"/>
          <w:szCs w:val="26"/>
          <w:rtl/>
        </w:rPr>
        <w:t xml:space="preserve"> – כספים – בנקאות – הוראות בנק ישראל</w:t>
      </w:r>
    </w:p>
    <w:p w:rsidR="007014CD" w:rsidRPr="004A37FE" w:rsidRDefault="004A37FE" w:rsidP="004A37FE">
      <w:pPr>
        <w:spacing w:line="320" w:lineRule="auto"/>
        <w:jc w:val="left"/>
        <w:rPr>
          <w:rFonts w:cs="Miriam"/>
          <w:szCs w:val="22"/>
          <w:rtl/>
        </w:rPr>
      </w:pPr>
      <w:r w:rsidRPr="004A37FE">
        <w:rPr>
          <w:rFonts w:cs="Miriam"/>
          <w:szCs w:val="22"/>
          <w:rtl/>
        </w:rPr>
        <w:t>משפט פרטי וכלכלה</w:t>
      </w:r>
      <w:r w:rsidRPr="004A37FE">
        <w:rPr>
          <w:rFonts w:cs="FrankRuehl"/>
          <w:szCs w:val="26"/>
          <w:rtl/>
        </w:rPr>
        <w:t xml:space="preserve"> – כספים – בנק ישראל – הוראות ודרישות</w:t>
      </w:r>
    </w:p>
    <w:p w:rsidR="003C2D2B" w:rsidRDefault="003C2D2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C2D2B">
        <w:tblPrEx>
          <w:tblCellMar>
            <w:top w:w="0" w:type="dxa"/>
            <w:bottom w:w="0" w:type="dxa"/>
          </w:tblCellMar>
        </w:tblPrEx>
        <w:tc>
          <w:tcPr>
            <w:tcW w:w="850" w:type="dxa"/>
          </w:tcPr>
          <w:p w:rsidR="003C2D2B" w:rsidRDefault="003C2D2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C2D2B" w:rsidRDefault="003C2D2B">
            <w:pPr>
              <w:spacing w:line="240" w:lineRule="auto"/>
              <w:rPr>
                <w:sz w:val="24"/>
              </w:rPr>
            </w:pPr>
            <w:hyperlink w:anchor="Seif0" w:tooltip="הצגה" w:history="1">
              <w:r>
                <w:rPr>
                  <w:rStyle w:val="Hyperlink"/>
                </w:rPr>
                <w:t>Go</w:t>
              </w:r>
            </w:hyperlink>
          </w:p>
        </w:tc>
        <w:tc>
          <w:tcPr>
            <w:tcW w:w="5669" w:type="dxa"/>
          </w:tcPr>
          <w:p w:rsidR="003C2D2B" w:rsidRDefault="003C2D2B">
            <w:pPr>
              <w:spacing w:line="240" w:lineRule="auto"/>
              <w:rPr>
                <w:sz w:val="24"/>
                <w:rtl/>
              </w:rPr>
            </w:pPr>
            <w:r>
              <w:rPr>
                <w:sz w:val="24"/>
                <w:rtl/>
              </w:rPr>
              <w:t>הצגה</w:t>
            </w:r>
          </w:p>
        </w:tc>
        <w:tc>
          <w:tcPr>
            <w:tcW w:w="1247" w:type="dxa"/>
          </w:tcPr>
          <w:p w:rsidR="003C2D2B" w:rsidRDefault="003C2D2B">
            <w:pPr>
              <w:spacing w:line="240" w:lineRule="auto"/>
              <w:rPr>
                <w:sz w:val="24"/>
              </w:rPr>
            </w:pPr>
            <w:r>
              <w:rPr>
                <w:sz w:val="24"/>
                <w:rtl/>
              </w:rPr>
              <w:t xml:space="preserve">סעיף 1 </w:t>
            </w:r>
          </w:p>
        </w:tc>
      </w:tr>
      <w:tr w:rsidR="003C2D2B">
        <w:tblPrEx>
          <w:tblCellMar>
            <w:top w:w="0" w:type="dxa"/>
            <w:bottom w:w="0" w:type="dxa"/>
          </w:tblCellMar>
        </w:tblPrEx>
        <w:tc>
          <w:tcPr>
            <w:tcW w:w="850" w:type="dxa"/>
          </w:tcPr>
          <w:p w:rsidR="003C2D2B" w:rsidRDefault="003C2D2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C2D2B" w:rsidRDefault="003C2D2B">
            <w:pPr>
              <w:spacing w:line="240" w:lineRule="auto"/>
              <w:rPr>
                <w:sz w:val="24"/>
              </w:rPr>
            </w:pPr>
            <w:hyperlink w:anchor="Seif1" w:tooltip="פרסום" w:history="1">
              <w:r>
                <w:rPr>
                  <w:rStyle w:val="Hyperlink"/>
                </w:rPr>
                <w:t>Go</w:t>
              </w:r>
            </w:hyperlink>
          </w:p>
        </w:tc>
        <w:tc>
          <w:tcPr>
            <w:tcW w:w="5669" w:type="dxa"/>
          </w:tcPr>
          <w:p w:rsidR="003C2D2B" w:rsidRDefault="003C2D2B">
            <w:pPr>
              <w:spacing w:line="240" w:lineRule="auto"/>
              <w:rPr>
                <w:sz w:val="24"/>
                <w:rtl/>
              </w:rPr>
            </w:pPr>
            <w:r>
              <w:rPr>
                <w:sz w:val="24"/>
                <w:rtl/>
              </w:rPr>
              <w:t>פרסום</w:t>
            </w:r>
          </w:p>
        </w:tc>
        <w:tc>
          <w:tcPr>
            <w:tcW w:w="1247" w:type="dxa"/>
          </w:tcPr>
          <w:p w:rsidR="003C2D2B" w:rsidRDefault="003C2D2B">
            <w:pPr>
              <w:spacing w:line="240" w:lineRule="auto"/>
              <w:rPr>
                <w:sz w:val="24"/>
              </w:rPr>
            </w:pPr>
            <w:r>
              <w:rPr>
                <w:sz w:val="24"/>
                <w:rtl/>
              </w:rPr>
              <w:t xml:space="preserve">סעיף 2 </w:t>
            </w:r>
          </w:p>
        </w:tc>
      </w:tr>
      <w:tr w:rsidR="003C2D2B">
        <w:tblPrEx>
          <w:tblCellMar>
            <w:top w:w="0" w:type="dxa"/>
            <w:bottom w:w="0" w:type="dxa"/>
          </w:tblCellMar>
        </w:tblPrEx>
        <w:tc>
          <w:tcPr>
            <w:tcW w:w="850" w:type="dxa"/>
          </w:tcPr>
          <w:p w:rsidR="003C2D2B" w:rsidRDefault="003C2D2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C2D2B" w:rsidRDefault="003C2D2B">
            <w:pPr>
              <w:spacing w:line="240" w:lineRule="auto"/>
              <w:rPr>
                <w:sz w:val="24"/>
              </w:rPr>
            </w:pPr>
            <w:hyperlink w:anchor="Seif2" w:tooltip="דוח כספי של חברת שירותים משותפת" w:history="1">
              <w:r>
                <w:rPr>
                  <w:rStyle w:val="Hyperlink"/>
                </w:rPr>
                <w:t>Go</w:t>
              </w:r>
            </w:hyperlink>
          </w:p>
        </w:tc>
        <w:tc>
          <w:tcPr>
            <w:tcW w:w="5669" w:type="dxa"/>
          </w:tcPr>
          <w:p w:rsidR="003C2D2B" w:rsidRDefault="003C2D2B">
            <w:pPr>
              <w:spacing w:line="240" w:lineRule="auto"/>
              <w:rPr>
                <w:sz w:val="24"/>
                <w:rtl/>
              </w:rPr>
            </w:pPr>
            <w:r>
              <w:rPr>
                <w:sz w:val="24"/>
                <w:rtl/>
              </w:rPr>
              <w:t>דוח כספי של חברת שירותים משותפת</w:t>
            </w:r>
          </w:p>
        </w:tc>
        <w:tc>
          <w:tcPr>
            <w:tcW w:w="1247" w:type="dxa"/>
          </w:tcPr>
          <w:p w:rsidR="003C2D2B" w:rsidRDefault="003C2D2B">
            <w:pPr>
              <w:spacing w:line="240" w:lineRule="auto"/>
              <w:rPr>
                <w:sz w:val="24"/>
              </w:rPr>
            </w:pPr>
            <w:r>
              <w:rPr>
                <w:sz w:val="24"/>
                <w:rtl/>
              </w:rPr>
              <w:t xml:space="preserve">סעיף 3 </w:t>
            </w:r>
          </w:p>
        </w:tc>
      </w:tr>
      <w:tr w:rsidR="003C2D2B">
        <w:tblPrEx>
          <w:tblCellMar>
            <w:top w:w="0" w:type="dxa"/>
            <w:bottom w:w="0" w:type="dxa"/>
          </w:tblCellMar>
        </w:tblPrEx>
        <w:tc>
          <w:tcPr>
            <w:tcW w:w="850" w:type="dxa"/>
          </w:tcPr>
          <w:p w:rsidR="003C2D2B" w:rsidRDefault="003C2D2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C2D2B" w:rsidRDefault="003C2D2B">
            <w:pPr>
              <w:spacing w:line="240" w:lineRule="auto"/>
              <w:rPr>
                <w:sz w:val="24"/>
              </w:rPr>
            </w:pPr>
            <w:hyperlink w:anchor="Seif3" w:tooltip="מועד הפרסום" w:history="1">
              <w:r>
                <w:rPr>
                  <w:rStyle w:val="Hyperlink"/>
                </w:rPr>
                <w:t>Go</w:t>
              </w:r>
            </w:hyperlink>
          </w:p>
        </w:tc>
        <w:tc>
          <w:tcPr>
            <w:tcW w:w="5669" w:type="dxa"/>
          </w:tcPr>
          <w:p w:rsidR="003C2D2B" w:rsidRDefault="003C2D2B">
            <w:pPr>
              <w:spacing w:line="240" w:lineRule="auto"/>
              <w:rPr>
                <w:sz w:val="24"/>
                <w:rtl/>
              </w:rPr>
            </w:pPr>
            <w:r>
              <w:rPr>
                <w:sz w:val="24"/>
                <w:rtl/>
              </w:rPr>
              <w:t>מועד הפרסום</w:t>
            </w:r>
          </w:p>
        </w:tc>
        <w:tc>
          <w:tcPr>
            <w:tcW w:w="1247" w:type="dxa"/>
          </w:tcPr>
          <w:p w:rsidR="003C2D2B" w:rsidRDefault="003C2D2B">
            <w:pPr>
              <w:spacing w:line="240" w:lineRule="auto"/>
              <w:rPr>
                <w:sz w:val="24"/>
              </w:rPr>
            </w:pPr>
            <w:r>
              <w:rPr>
                <w:sz w:val="24"/>
                <w:rtl/>
              </w:rPr>
              <w:t xml:space="preserve">סעיף 4 </w:t>
            </w:r>
          </w:p>
        </w:tc>
      </w:tr>
      <w:tr w:rsidR="003C2D2B">
        <w:tblPrEx>
          <w:tblCellMar>
            <w:top w:w="0" w:type="dxa"/>
            <w:bottom w:w="0" w:type="dxa"/>
          </w:tblCellMar>
        </w:tblPrEx>
        <w:tc>
          <w:tcPr>
            <w:tcW w:w="850" w:type="dxa"/>
          </w:tcPr>
          <w:p w:rsidR="003C2D2B" w:rsidRDefault="003C2D2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C2D2B" w:rsidRDefault="003C2D2B">
            <w:pPr>
              <w:spacing w:line="240" w:lineRule="auto"/>
              <w:rPr>
                <w:sz w:val="24"/>
              </w:rPr>
            </w:pPr>
            <w:hyperlink w:anchor="Seif4" w:tooltip="ביטול" w:history="1">
              <w:r>
                <w:rPr>
                  <w:rStyle w:val="Hyperlink"/>
                </w:rPr>
                <w:t>Go</w:t>
              </w:r>
            </w:hyperlink>
          </w:p>
        </w:tc>
        <w:tc>
          <w:tcPr>
            <w:tcW w:w="5669" w:type="dxa"/>
          </w:tcPr>
          <w:p w:rsidR="003C2D2B" w:rsidRDefault="003C2D2B">
            <w:pPr>
              <w:spacing w:line="240" w:lineRule="auto"/>
              <w:rPr>
                <w:sz w:val="24"/>
                <w:rtl/>
              </w:rPr>
            </w:pPr>
            <w:r>
              <w:rPr>
                <w:sz w:val="24"/>
                <w:rtl/>
              </w:rPr>
              <w:t>ביטול</w:t>
            </w:r>
          </w:p>
        </w:tc>
        <w:tc>
          <w:tcPr>
            <w:tcW w:w="1247" w:type="dxa"/>
          </w:tcPr>
          <w:p w:rsidR="003C2D2B" w:rsidRDefault="003C2D2B">
            <w:pPr>
              <w:spacing w:line="240" w:lineRule="auto"/>
              <w:rPr>
                <w:sz w:val="24"/>
              </w:rPr>
            </w:pPr>
            <w:r>
              <w:rPr>
                <w:sz w:val="24"/>
                <w:rtl/>
              </w:rPr>
              <w:t xml:space="preserve">סעיף 5 </w:t>
            </w:r>
          </w:p>
        </w:tc>
      </w:tr>
    </w:tbl>
    <w:p w:rsidR="003C2D2B" w:rsidRDefault="003C2D2B">
      <w:pPr>
        <w:pStyle w:val="big-header"/>
        <w:ind w:left="0" w:right="1134"/>
        <w:rPr>
          <w:rtl/>
        </w:rPr>
      </w:pPr>
    </w:p>
    <w:p w:rsidR="003C2D2B" w:rsidRDefault="003C2D2B" w:rsidP="004A37FE">
      <w:pPr>
        <w:pStyle w:val="big-header"/>
        <w:ind w:left="0" w:right="1134"/>
        <w:rPr>
          <w:rStyle w:val="default"/>
          <w:rFonts w:cs="FrankRuehl" w:hint="cs"/>
          <w:rtl/>
        </w:rPr>
      </w:pPr>
      <w:r>
        <w:rPr>
          <w:rtl/>
        </w:rPr>
        <w:br w:type="page"/>
      </w:r>
      <w:r>
        <w:rPr>
          <w:rtl/>
        </w:rPr>
        <w:lastRenderedPageBreak/>
        <w:t>ה</w:t>
      </w:r>
      <w:r>
        <w:rPr>
          <w:rFonts w:hint="cs"/>
          <w:rtl/>
        </w:rPr>
        <w:t>וראות הבנקאות (הצגת דו"ח כספי שנתי ופרסומו), תשנ"ב-1991</w:t>
      </w:r>
      <w:r>
        <w:rPr>
          <w:rStyle w:val="default"/>
          <w:rtl/>
        </w:rPr>
        <w:footnoteReference w:customMarkFollows="1" w:id="1"/>
        <w:t>*</w:t>
      </w:r>
    </w:p>
    <w:p w:rsidR="003C2D2B" w:rsidRDefault="003C2D2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10(1) לפקודת הבנקאות, 1941, אני מורה לאמור: </w:t>
      </w:r>
    </w:p>
    <w:p w:rsidR="003C2D2B" w:rsidRDefault="003C2D2B">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55680" o:allowincell="f" filled="f" stroked="f" strokecolor="lime" strokeweight=".25pt">
            <v:textbox style="mso-next-textbox:#_x0000_s1026" inset="0,0,0,0">
              <w:txbxContent>
                <w:p w:rsidR="003C2D2B" w:rsidRDefault="003C2D2B">
                  <w:pPr>
                    <w:spacing w:line="160" w:lineRule="exact"/>
                    <w:jc w:val="left"/>
                    <w:rPr>
                      <w:rFonts w:cs="Miriam"/>
                      <w:noProof/>
                      <w:szCs w:val="18"/>
                      <w:rtl/>
                    </w:rPr>
                  </w:pPr>
                  <w:r>
                    <w:rPr>
                      <w:rFonts w:cs="Miriam"/>
                      <w:szCs w:val="18"/>
                      <w:rtl/>
                    </w:rPr>
                    <w:t>ה</w:t>
                  </w:r>
                  <w:r>
                    <w:rPr>
                      <w:rFonts w:cs="Miriam" w:hint="cs"/>
                      <w:szCs w:val="18"/>
                      <w:rtl/>
                    </w:rPr>
                    <w:t>צגה</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דין וחשבון הכספי השנתי המבוקר של תאגיד בנקאי יימצא לעיון בכל</w:t>
      </w:r>
      <w:r>
        <w:rPr>
          <w:rStyle w:val="default"/>
          <w:rFonts w:cs="FrankRuehl"/>
          <w:rtl/>
        </w:rPr>
        <w:t xml:space="preserve"> </w:t>
      </w:r>
      <w:r>
        <w:rPr>
          <w:rStyle w:val="default"/>
          <w:rFonts w:cs="FrankRuehl" w:hint="cs"/>
          <w:rtl/>
        </w:rPr>
        <w:t xml:space="preserve">משרד או סניף שלו. </w:t>
      </w:r>
    </w:p>
    <w:p w:rsidR="003C2D2B" w:rsidRDefault="003C2D2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56704" o:allowincell="f" filled="f" stroked="f" strokecolor="lime" strokeweight=".25pt">
            <v:textbox style="mso-next-textbox:#_x0000_s1027" inset="0,0,0,0">
              <w:txbxContent>
                <w:p w:rsidR="003C2D2B" w:rsidRDefault="003C2D2B">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נוסף לאמור בסעיף 1, יעשה תאגיד בנקאי אחת מאלה:</w:t>
      </w:r>
    </w:p>
    <w:p w:rsidR="003C2D2B" w:rsidRDefault="003C2D2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יפרסם בעיתון יומי אחד לפחות היוצא לאור בישראל את הדין וחשבון הכספי השנתי המבוקר שלו;</w:t>
      </w:r>
    </w:p>
    <w:p w:rsidR="003C2D2B" w:rsidRDefault="003C2D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יפרסם בעיתון יומי אחד לפחות היוצא לאור בישראל, בצורה שאישר המפקח על הבנקים, תמצית ה</w:t>
      </w:r>
      <w:r>
        <w:rPr>
          <w:rStyle w:val="default"/>
          <w:rFonts w:cs="FrankRuehl"/>
          <w:rtl/>
        </w:rPr>
        <w:t>ד</w:t>
      </w:r>
      <w:r>
        <w:rPr>
          <w:rStyle w:val="default"/>
          <w:rFonts w:cs="FrankRuehl" w:hint="cs"/>
          <w:rtl/>
        </w:rPr>
        <w:t xml:space="preserve">ין וחשבון הכספי השנתי המבוקר שלו וימסור העתק הדין וחשבון המלא לכל דורש. </w:t>
      </w:r>
    </w:p>
    <w:p w:rsidR="003C2D2B" w:rsidRDefault="003C2D2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8.25pt;z-index:251657728" o:allowincell="f" filled="f" stroked="f" strokecolor="lime" strokeweight=".25pt">
            <v:textbox style="mso-next-textbox:#_x0000_s1028" inset="0,0,0,0">
              <w:txbxContent>
                <w:p w:rsidR="003C2D2B" w:rsidRDefault="003C2D2B">
                  <w:pPr>
                    <w:spacing w:line="160" w:lineRule="exact"/>
                    <w:jc w:val="left"/>
                    <w:rPr>
                      <w:rFonts w:cs="Miriam"/>
                      <w:noProof/>
                      <w:szCs w:val="18"/>
                      <w:rtl/>
                    </w:rPr>
                  </w:pPr>
                  <w:r>
                    <w:rPr>
                      <w:rFonts w:cs="Miriam"/>
                      <w:szCs w:val="18"/>
                      <w:rtl/>
                    </w:rPr>
                    <w:t>ד</w:t>
                  </w:r>
                  <w:r>
                    <w:rPr>
                      <w:rFonts w:cs="Miriam" w:hint="cs"/>
                      <w:szCs w:val="18"/>
                      <w:rtl/>
                    </w:rPr>
                    <w:t xml:space="preserve">ו"ח כספי </w:t>
                  </w:r>
                  <w:r>
                    <w:rPr>
                      <w:rFonts w:cs="Miriam"/>
                      <w:szCs w:val="18"/>
                      <w:rtl/>
                    </w:rPr>
                    <w:t>ש</w:t>
                  </w:r>
                  <w:r>
                    <w:rPr>
                      <w:rFonts w:cs="Miriam" w:hint="cs"/>
                      <w:szCs w:val="18"/>
                      <w:rtl/>
                    </w:rPr>
                    <w:t xml:space="preserve">ל חברת </w:t>
                  </w:r>
                  <w:r>
                    <w:rPr>
                      <w:rFonts w:cs="Miriam"/>
                      <w:szCs w:val="18"/>
                      <w:rtl/>
                    </w:rPr>
                    <w:t>ש</w:t>
                  </w:r>
                  <w:r>
                    <w:rPr>
                      <w:rFonts w:cs="Miriam" w:hint="cs"/>
                      <w:szCs w:val="18"/>
                      <w:rtl/>
                    </w:rPr>
                    <w:t>ירותים משותפת</w:t>
                  </w:r>
                </w:p>
              </w:txbxContent>
            </v:textbox>
            <w10:anchorlock/>
          </v:rect>
        </w:pict>
      </w:r>
      <w:r>
        <w:rPr>
          <w:rStyle w:val="big-number"/>
          <w:rtl/>
        </w:rPr>
        <w:t>3.</w:t>
      </w:r>
      <w:r>
        <w:rPr>
          <w:rStyle w:val="big-number"/>
          <w:rtl/>
        </w:rPr>
        <w:tab/>
      </w:r>
      <w:r>
        <w:rPr>
          <w:rStyle w:val="default"/>
          <w:rFonts w:cs="FrankRuehl"/>
          <w:rtl/>
        </w:rPr>
        <w:t>ע</w:t>
      </w:r>
      <w:r>
        <w:rPr>
          <w:rStyle w:val="default"/>
          <w:rFonts w:cs="FrankRuehl" w:hint="cs"/>
          <w:rtl/>
        </w:rPr>
        <w:t>ל אף האמור בסעיפים 1 ו-2, תאגיד בנקאי שהוא חברת שירותים משותפת יפרסם בעתון יומי אחד לפחות, תמצית הדין וחשבון הכספי השנתי המבוקר שלו בצורה שאי</w:t>
      </w:r>
      <w:r>
        <w:rPr>
          <w:rStyle w:val="default"/>
          <w:rFonts w:cs="FrankRuehl"/>
          <w:rtl/>
        </w:rPr>
        <w:t>ש</w:t>
      </w:r>
      <w:r>
        <w:rPr>
          <w:rStyle w:val="default"/>
          <w:rFonts w:cs="FrankRuehl" w:hint="cs"/>
          <w:rtl/>
        </w:rPr>
        <w:t xml:space="preserve">ר המפקח. </w:t>
      </w:r>
    </w:p>
    <w:p w:rsidR="003C2D2B" w:rsidRDefault="003C2D2B">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58752" o:allowincell="f" filled="f" stroked="f" strokecolor="lime" strokeweight=".25pt">
            <v:textbox style="mso-next-textbox:#_x0000_s1029" inset="0,0,0,0">
              <w:txbxContent>
                <w:p w:rsidR="003C2D2B" w:rsidRDefault="003C2D2B">
                  <w:pPr>
                    <w:spacing w:line="160" w:lineRule="exact"/>
                    <w:jc w:val="left"/>
                    <w:rPr>
                      <w:rFonts w:cs="Miriam"/>
                      <w:noProof/>
                      <w:szCs w:val="18"/>
                      <w:rtl/>
                    </w:rPr>
                  </w:pPr>
                  <w:r>
                    <w:rPr>
                      <w:rFonts w:cs="Miriam"/>
                      <w:szCs w:val="18"/>
                      <w:rtl/>
                    </w:rPr>
                    <w:t>מ</w:t>
                  </w:r>
                  <w:r>
                    <w:rPr>
                      <w:rFonts w:cs="Miriam" w:hint="cs"/>
                      <w:szCs w:val="18"/>
                      <w:rtl/>
                    </w:rPr>
                    <w:t>ועד הפרסום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הדין וחשבון הכספי או תמציתו יפורסמו סמוך לתאריך חתימת חוות דעתו של רואה החשבון של תאגיד בנקאי, אך לא יאוחר משבוע לפני מועד האסיפה הכללית שבה יוגש הדין וחשבון הכספי או מתום חודשיים מתאריך המאזן, לפי המוקדם. </w:t>
      </w:r>
    </w:p>
    <w:p w:rsidR="003C2D2B" w:rsidRDefault="003C2D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w:t>
      </w:r>
      <w:r>
        <w:rPr>
          <w:rStyle w:val="default"/>
          <w:rFonts w:cs="FrankRuehl"/>
          <w:rtl/>
        </w:rPr>
        <w:t xml:space="preserve"> </w:t>
      </w:r>
      <w:r>
        <w:rPr>
          <w:rStyle w:val="default"/>
          <w:rFonts w:cs="FrankRuehl" w:hint="cs"/>
          <w:rtl/>
        </w:rPr>
        <w:t xml:space="preserve">בסעיף קטן (א), בנק העומד בראש קבוצה בנקאית הכוללת חברות בת שהן בנקים למשכנתאות, בנקים למימון השקעות או בנקים מחוץ לישראל, רשאי לפרסם את הדין וחשבון הכספי או תמציתו לא יאוחר מתום שלושה חדשים מתאריך המאזן. </w:t>
      </w:r>
    </w:p>
    <w:p w:rsidR="003C2D2B" w:rsidRDefault="003C2D2B">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pt;z-index:251659776" o:allowincell="f" filled="f" stroked="f" strokecolor="lime" strokeweight=".25pt">
            <v:textbox style="mso-next-textbox:#_x0000_s1030" inset="0,0,0,0">
              <w:txbxContent>
                <w:p w:rsidR="003C2D2B" w:rsidRDefault="003C2D2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וראות הבנקאות (הצגת דו"ח כספי שנתי ופ</w:t>
      </w:r>
      <w:r>
        <w:rPr>
          <w:rStyle w:val="default"/>
          <w:rFonts w:cs="FrankRuehl"/>
          <w:rtl/>
        </w:rPr>
        <w:t>ר</w:t>
      </w:r>
      <w:r>
        <w:rPr>
          <w:rStyle w:val="default"/>
          <w:rFonts w:cs="FrankRuehl" w:hint="cs"/>
          <w:rtl/>
        </w:rPr>
        <w:t>סומו), תשנ"א-1991 - בטלות.</w:t>
      </w:r>
    </w:p>
    <w:p w:rsidR="003C2D2B" w:rsidRDefault="003C2D2B">
      <w:pPr>
        <w:pStyle w:val="P00"/>
        <w:spacing w:before="72"/>
        <w:ind w:left="0" w:right="1134"/>
        <w:rPr>
          <w:rStyle w:val="default"/>
          <w:rFonts w:cs="FrankRuehl"/>
          <w:rtl/>
        </w:rPr>
      </w:pPr>
    </w:p>
    <w:p w:rsidR="003C2D2B" w:rsidRDefault="003C2D2B">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ג</w:t>
      </w:r>
      <w:r>
        <w:rPr>
          <w:rFonts w:hint="cs"/>
          <w:sz w:val="26"/>
          <w:szCs w:val="26"/>
          <w:rtl/>
        </w:rPr>
        <w:t>' בכסלו תשנ"ב (10 בנובמבר 1991)</w:t>
      </w:r>
      <w:r>
        <w:rPr>
          <w:sz w:val="26"/>
          <w:szCs w:val="26"/>
          <w:rtl/>
        </w:rPr>
        <w:tab/>
      </w:r>
      <w:r>
        <w:rPr>
          <w:rFonts w:hint="cs"/>
          <w:sz w:val="26"/>
          <w:szCs w:val="26"/>
          <w:rtl/>
        </w:rPr>
        <w:t>אמנון גולדשמידט</w:t>
      </w:r>
    </w:p>
    <w:p w:rsidR="003C2D2B" w:rsidRDefault="003C2D2B">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המפקח על הבנקים</w:t>
      </w:r>
    </w:p>
    <w:p w:rsidR="003C2D2B" w:rsidRDefault="003C2D2B">
      <w:pPr>
        <w:pStyle w:val="P00"/>
        <w:spacing w:before="72"/>
        <w:ind w:left="0" w:right="1134"/>
        <w:rPr>
          <w:rStyle w:val="default"/>
          <w:rFonts w:cs="FrankRuehl" w:hint="cs"/>
          <w:rtl/>
        </w:rPr>
      </w:pPr>
    </w:p>
    <w:p w:rsidR="003C2D2B" w:rsidRDefault="003C2D2B">
      <w:pPr>
        <w:pStyle w:val="P00"/>
        <w:spacing w:before="72"/>
        <w:ind w:left="0" w:right="1134"/>
        <w:rPr>
          <w:rStyle w:val="default"/>
          <w:rFonts w:cs="FrankRuehl"/>
          <w:rtl/>
        </w:rPr>
      </w:pPr>
    </w:p>
    <w:p w:rsidR="003C2D2B" w:rsidRDefault="003C2D2B">
      <w:pPr>
        <w:pStyle w:val="P00"/>
        <w:spacing w:before="72"/>
        <w:ind w:left="0" w:right="1134"/>
        <w:rPr>
          <w:rStyle w:val="default"/>
          <w:rFonts w:cs="FrankRuehl"/>
          <w:rtl/>
        </w:rPr>
      </w:pPr>
      <w:bookmarkStart w:id="5" w:name="LawPartEnd"/>
    </w:p>
    <w:bookmarkEnd w:id="5"/>
    <w:p w:rsidR="003C2D2B" w:rsidRDefault="003C2D2B">
      <w:pPr>
        <w:pStyle w:val="P00"/>
        <w:spacing w:before="72"/>
        <w:ind w:left="0" w:right="1134"/>
        <w:rPr>
          <w:rStyle w:val="default"/>
          <w:rFonts w:cs="FrankRuehl"/>
          <w:rtl/>
        </w:rPr>
      </w:pPr>
    </w:p>
    <w:sectPr w:rsidR="003C2D2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34F6" w:rsidRDefault="008F34F6">
      <w:r>
        <w:separator/>
      </w:r>
    </w:p>
  </w:endnote>
  <w:endnote w:type="continuationSeparator" w:id="0">
    <w:p w:rsidR="008F34F6" w:rsidRDefault="008F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D2B" w:rsidRDefault="003C2D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C2D2B" w:rsidRDefault="003C2D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2D2B" w:rsidRDefault="003C2D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D2B" w:rsidRDefault="003C2D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37FE">
      <w:rPr>
        <w:rFonts w:hAnsi="FrankRuehl" w:cs="FrankRuehl"/>
        <w:noProof/>
        <w:sz w:val="24"/>
        <w:szCs w:val="24"/>
        <w:rtl/>
      </w:rPr>
      <w:t>2</w:t>
    </w:r>
    <w:r>
      <w:rPr>
        <w:rFonts w:hAnsi="FrankRuehl" w:cs="FrankRuehl"/>
        <w:sz w:val="24"/>
        <w:szCs w:val="24"/>
        <w:rtl/>
      </w:rPr>
      <w:fldChar w:fldCharType="end"/>
    </w:r>
  </w:p>
  <w:p w:rsidR="003C2D2B" w:rsidRDefault="003C2D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C2D2B" w:rsidRDefault="003C2D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34F6" w:rsidRDefault="008F34F6">
      <w:pPr>
        <w:spacing w:before="60" w:line="240" w:lineRule="auto"/>
        <w:ind w:right="1134"/>
      </w:pPr>
      <w:r>
        <w:separator/>
      </w:r>
    </w:p>
  </w:footnote>
  <w:footnote w:type="continuationSeparator" w:id="0">
    <w:p w:rsidR="008F34F6" w:rsidRDefault="008F34F6">
      <w:r>
        <w:continuationSeparator/>
      </w:r>
    </w:p>
  </w:footnote>
  <w:footnote w:id="1">
    <w:p w:rsidR="003C2D2B" w:rsidRDefault="003C2D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תשנ"ב מס' 5400</w:t>
        </w:r>
      </w:hyperlink>
      <w:r>
        <w:rPr>
          <w:rFonts w:hint="cs"/>
          <w:sz w:val="20"/>
          <w:rtl/>
        </w:rPr>
        <w:t xml:space="preserve"> מיום 28.11.1991 עמ' 468.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D2B" w:rsidRDefault="003C2D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הבנקאות (הצגת דו"ח כספי שנתי ופרסומו), תשנ"ב- 1991</w:t>
    </w:r>
  </w:p>
  <w:p w:rsidR="003C2D2B" w:rsidRDefault="003C2D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2D2B" w:rsidRDefault="003C2D2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2D2B" w:rsidRDefault="003C2D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הבנקאות (הצגת דו"ח כספי שנתי ופרסומו), תשנ"ב-1991</w:t>
    </w:r>
  </w:p>
  <w:p w:rsidR="003C2D2B" w:rsidRDefault="003C2D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2D2B" w:rsidRDefault="003C2D2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2D2B"/>
    <w:rsid w:val="003C2D2B"/>
    <w:rsid w:val="004A37FE"/>
    <w:rsid w:val="004B2FBE"/>
    <w:rsid w:val="005A4188"/>
    <w:rsid w:val="007014CD"/>
    <w:rsid w:val="008F34F6"/>
    <w:rsid w:val="00BE76DC"/>
    <w:rsid w:val="00FF47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CC18014-3875-4C97-9EFE-FC602135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4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1869</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8126476</vt:i4>
      </vt:variant>
      <vt:variant>
        <vt:i4>0</vt:i4>
      </vt:variant>
      <vt:variant>
        <vt:i4>0</vt:i4>
      </vt:variant>
      <vt:variant>
        <vt:i4>5</vt:i4>
      </vt:variant>
      <vt:variant>
        <vt:lpwstr>http://www.nevo.co.il/Law_word/law06/TAK-5400.pdf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47</dc:title>
  <dc:subject/>
  <dc:creator>eli</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הוראות הבנקאות (הצגת דו"ח כספי שנתי ופרסומו), תשנ"ב-1991</vt:lpwstr>
  </property>
  <property fmtid="{D5CDD505-2E9C-101B-9397-08002B2CF9AE}" pid="5" name="LAWNUMBER">
    <vt:lpwstr>0026</vt:lpwstr>
  </property>
  <property fmtid="{D5CDD505-2E9C-101B-9397-08002B2CF9AE}" pid="6" name="TYPE">
    <vt:lpwstr>01</vt:lpwstr>
  </property>
  <property fmtid="{D5CDD505-2E9C-101B-9397-08002B2CF9AE}" pid="7" name="MEKOR_NAME1">
    <vt:lpwstr>פקודת הבנקאות</vt:lpwstr>
  </property>
  <property fmtid="{D5CDD505-2E9C-101B-9397-08002B2CF9AE}" pid="8" name="MEKOR_SAIF1">
    <vt:lpwstr>10X1X</vt:lpwstr>
  </property>
  <property fmtid="{D5CDD505-2E9C-101B-9397-08002B2CF9AE}" pid="9" name="NOSE11">
    <vt:lpwstr>משפט פרטי וכלכלה</vt:lpwstr>
  </property>
  <property fmtid="{D5CDD505-2E9C-101B-9397-08002B2CF9AE}" pid="10" name="NOSE21">
    <vt:lpwstr>כספים</vt:lpwstr>
  </property>
  <property fmtid="{D5CDD505-2E9C-101B-9397-08002B2CF9AE}" pid="11" name="NOSE31">
    <vt:lpwstr>בנקאות</vt:lpwstr>
  </property>
  <property fmtid="{D5CDD505-2E9C-101B-9397-08002B2CF9AE}" pid="12" name="NOSE41">
    <vt:lpwstr>הוראות בנק ישראל</vt:lpwstr>
  </property>
  <property fmtid="{D5CDD505-2E9C-101B-9397-08002B2CF9AE}" pid="13" name="NOSE12">
    <vt:lpwstr>משפט פרטי וכלכלה</vt:lpwstr>
  </property>
  <property fmtid="{D5CDD505-2E9C-101B-9397-08002B2CF9AE}" pid="14" name="NOSE22">
    <vt:lpwstr>כספים</vt:lpwstr>
  </property>
  <property fmtid="{D5CDD505-2E9C-101B-9397-08002B2CF9AE}" pid="15" name="NOSE32">
    <vt:lpwstr>בנק ישראל</vt:lpwstr>
  </property>
  <property fmtid="{D5CDD505-2E9C-101B-9397-08002B2CF9AE}" pid="16" name="NOSE42">
    <vt:lpwstr>הוראות ודרישות</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