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B2137" w14:textId="77777777" w:rsidR="00EB6504" w:rsidRDefault="00EB6504" w:rsidP="007A2145">
      <w:pPr>
        <w:pStyle w:val="big-header"/>
        <w:ind w:left="0" w:right="1134"/>
        <w:rPr>
          <w:rFonts w:cs="FrankRuehl"/>
          <w:sz w:val="32"/>
        </w:rPr>
      </w:pPr>
      <w:r>
        <w:rPr>
          <w:rFonts w:cs="FrankRuehl"/>
          <w:sz w:val="32"/>
          <w:rtl/>
        </w:rPr>
        <w:t>הוראות מס הכנסה (ניהול פנקסי חשבונות על ידי מוסד), תשנ"ב</w:t>
      </w:r>
      <w:r w:rsidR="007A2145">
        <w:rPr>
          <w:rFonts w:cs="FrankRuehl" w:hint="cs"/>
          <w:sz w:val="32"/>
          <w:rtl/>
        </w:rPr>
        <w:t>-</w:t>
      </w:r>
      <w:r>
        <w:rPr>
          <w:rFonts w:cs="FrankRuehl"/>
          <w:sz w:val="32"/>
          <w:rtl/>
        </w:rPr>
        <w:t>1992</w:t>
      </w:r>
    </w:p>
    <w:p w14:paraId="41A62A06" w14:textId="77777777" w:rsidR="0005366B" w:rsidRPr="0005366B" w:rsidRDefault="0005366B" w:rsidP="0005366B">
      <w:pPr>
        <w:spacing w:line="320" w:lineRule="auto"/>
        <w:rPr>
          <w:rFonts w:cs="FrankRuehl"/>
          <w:szCs w:val="26"/>
          <w:rtl/>
        </w:rPr>
      </w:pPr>
    </w:p>
    <w:p w14:paraId="1EA70984" w14:textId="77777777" w:rsidR="0005366B" w:rsidRDefault="0005366B" w:rsidP="0005366B">
      <w:pPr>
        <w:spacing w:line="320" w:lineRule="auto"/>
        <w:rPr>
          <w:rtl/>
        </w:rPr>
      </w:pPr>
    </w:p>
    <w:p w14:paraId="0924BE8F" w14:textId="77777777" w:rsidR="0005366B" w:rsidRPr="0005366B" w:rsidRDefault="0005366B" w:rsidP="0005366B">
      <w:pPr>
        <w:spacing w:line="320" w:lineRule="auto"/>
        <w:rPr>
          <w:rFonts w:cs="Miriam"/>
          <w:szCs w:val="22"/>
          <w:rtl/>
        </w:rPr>
      </w:pPr>
      <w:r w:rsidRPr="0005366B">
        <w:rPr>
          <w:rFonts w:cs="Miriam"/>
          <w:szCs w:val="22"/>
          <w:rtl/>
        </w:rPr>
        <w:t>מסים</w:t>
      </w:r>
      <w:r w:rsidRPr="0005366B">
        <w:rPr>
          <w:rFonts w:cs="FrankRuehl"/>
          <w:szCs w:val="26"/>
          <w:rtl/>
        </w:rPr>
        <w:t xml:space="preserve"> – מס הכנסה – ניהול – פנקסי חשבונות</w:t>
      </w:r>
    </w:p>
    <w:p w14:paraId="61AF30DD" w14:textId="77777777" w:rsidR="00EB6504" w:rsidRDefault="00EB650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4FEB" w:rsidRPr="00424FEB" w14:paraId="08E26F21" w14:textId="77777777">
        <w:tblPrEx>
          <w:tblCellMar>
            <w:top w:w="0" w:type="dxa"/>
            <w:bottom w:w="0" w:type="dxa"/>
          </w:tblCellMar>
        </w:tblPrEx>
        <w:tc>
          <w:tcPr>
            <w:tcW w:w="1247" w:type="dxa"/>
          </w:tcPr>
          <w:p w14:paraId="18F281FA" w14:textId="77777777" w:rsidR="00424FEB" w:rsidRPr="00424FEB" w:rsidRDefault="00424FEB" w:rsidP="00424FEB">
            <w:pPr>
              <w:rPr>
                <w:rFonts w:cs="Frankruhel"/>
                <w:rtl/>
              </w:rPr>
            </w:pPr>
            <w:r>
              <w:rPr>
                <w:rtl/>
              </w:rPr>
              <w:t xml:space="preserve">סעיף 1 </w:t>
            </w:r>
          </w:p>
        </w:tc>
        <w:tc>
          <w:tcPr>
            <w:tcW w:w="5669" w:type="dxa"/>
          </w:tcPr>
          <w:p w14:paraId="2A7118AE" w14:textId="77777777" w:rsidR="00424FEB" w:rsidRPr="00424FEB" w:rsidRDefault="00424FEB" w:rsidP="00424FEB">
            <w:pPr>
              <w:rPr>
                <w:rFonts w:cs="Frankruhel"/>
                <w:rtl/>
              </w:rPr>
            </w:pPr>
            <w:r>
              <w:rPr>
                <w:rtl/>
              </w:rPr>
              <w:t>הגדרות</w:t>
            </w:r>
          </w:p>
        </w:tc>
        <w:tc>
          <w:tcPr>
            <w:tcW w:w="567" w:type="dxa"/>
          </w:tcPr>
          <w:p w14:paraId="4FCCA247" w14:textId="77777777" w:rsidR="00424FEB" w:rsidRPr="00424FEB" w:rsidRDefault="00424FEB" w:rsidP="00424FEB">
            <w:pPr>
              <w:rPr>
                <w:rStyle w:val="Hyperlink"/>
                <w:rtl/>
              </w:rPr>
            </w:pPr>
            <w:hyperlink w:anchor="Seif1" w:tooltip="הגדרות" w:history="1">
              <w:r w:rsidRPr="00424FEB">
                <w:rPr>
                  <w:rStyle w:val="Hyperlink"/>
                </w:rPr>
                <w:t>Go</w:t>
              </w:r>
            </w:hyperlink>
          </w:p>
        </w:tc>
        <w:tc>
          <w:tcPr>
            <w:tcW w:w="850" w:type="dxa"/>
          </w:tcPr>
          <w:p w14:paraId="787A5A2D" w14:textId="77777777" w:rsidR="00424FEB" w:rsidRPr="00424FEB" w:rsidRDefault="00424FEB" w:rsidP="00424FE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24FEB" w:rsidRPr="00424FEB" w14:paraId="2B71901A" w14:textId="77777777">
        <w:tblPrEx>
          <w:tblCellMar>
            <w:top w:w="0" w:type="dxa"/>
            <w:bottom w:w="0" w:type="dxa"/>
          </w:tblCellMar>
        </w:tblPrEx>
        <w:tc>
          <w:tcPr>
            <w:tcW w:w="1247" w:type="dxa"/>
          </w:tcPr>
          <w:p w14:paraId="71CE0559" w14:textId="77777777" w:rsidR="00424FEB" w:rsidRPr="00424FEB" w:rsidRDefault="00424FEB" w:rsidP="00424FEB">
            <w:pPr>
              <w:rPr>
                <w:rFonts w:cs="Frankruhel"/>
                <w:rtl/>
              </w:rPr>
            </w:pPr>
            <w:r>
              <w:rPr>
                <w:rtl/>
              </w:rPr>
              <w:t xml:space="preserve">סעיף 2 </w:t>
            </w:r>
          </w:p>
        </w:tc>
        <w:tc>
          <w:tcPr>
            <w:tcW w:w="5669" w:type="dxa"/>
          </w:tcPr>
          <w:p w14:paraId="07B028A9" w14:textId="77777777" w:rsidR="00424FEB" w:rsidRPr="00424FEB" w:rsidRDefault="00424FEB" w:rsidP="00424FEB">
            <w:pPr>
              <w:rPr>
                <w:rFonts w:cs="Frankruhel"/>
                <w:rtl/>
              </w:rPr>
            </w:pPr>
            <w:r>
              <w:rPr>
                <w:rtl/>
              </w:rPr>
              <w:t>חובת ניהול מערכת חשבונות</w:t>
            </w:r>
          </w:p>
        </w:tc>
        <w:tc>
          <w:tcPr>
            <w:tcW w:w="567" w:type="dxa"/>
          </w:tcPr>
          <w:p w14:paraId="0C14A2A8" w14:textId="77777777" w:rsidR="00424FEB" w:rsidRPr="00424FEB" w:rsidRDefault="00424FEB" w:rsidP="00424FEB">
            <w:pPr>
              <w:rPr>
                <w:rStyle w:val="Hyperlink"/>
                <w:rtl/>
              </w:rPr>
            </w:pPr>
            <w:hyperlink w:anchor="Seif2" w:tooltip="חובת ניהול מערכת חשבונות" w:history="1">
              <w:r w:rsidRPr="00424FEB">
                <w:rPr>
                  <w:rStyle w:val="Hyperlink"/>
                </w:rPr>
                <w:t>Go</w:t>
              </w:r>
            </w:hyperlink>
          </w:p>
        </w:tc>
        <w:tc>
          <w:tcPr>
            <w:tcW w:w="850" w:type="dxa"/>
          </w:tcPr>
          <w:p w14:paraId="0EB0B08B" w14:textId="77777777" w:rsidR="00424FEB" w:rsidRPr="00424FEB" w:rsidRDefault="00424FEB" w:rsidP="00424FE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24FEB" w:rsidRPr="00424FEB" w14:paraId="3E610A66" w14:textId="77777777">
        <w:tblPrEx>
          <w:tblCellMar>
            <w:top w:w="0" w:type="dxa"/>
            <w:bottom w:w="0" w:type="dxa"/>
          </w:tblCellMar>
        </w:tblPrEx>
        <w:tc>
          <w:tcPr>
            <w:tcW w:w="1247" w:type="dxa"/>
          </w:tcPr>
          <w:p w14:paraId="3EB1F37D" w14:textId="77777777" w:rsidR="00424FEB" w:rsidRPr="00424FEB" w:rsidRDefault="00424FEB" w:rsidP="00424FEB">
            <w:pPr>
              <w:rPr>
                <w:rFonts w:cs="Frankruhel"/>
                <w:rtl/>
              </w:rPr>
            </w:pPr>
            <w:r>
              <w:rPr>
                <w:rtl/>
              </w:rPr>
              <w:t xml:space="preserve">סעיף 3 </w:t>
            </w:r>
          </w:p>
        </w:tc>
        <w:tc>
          <w:tcPr>
            <w:tcW w:w="5669" w:type="dxa"/>
          </w:tcPr>
          <w:p w14:paraId="4BD6C52C" w14:textId="77777777" w:rsidR="00424FEB" w:rsidRPr="00424FEB" w:rsidRDefault="00424FEB" w:rsidP="00424FEB">
            <w:pPr>
              <w:rPr>
                <w:rFonts w:cs="Frankruhel"/>
                <w:rtl/>
              </w:rPr>
            </w:pPr>
            <w:r>
              <w:rPr>
                <w:rtl/>
              </w:rPr>
              <w:t>ציון שמות</w:t>
            </w:r>
          </w:p>
        </w:tc>
        <w:tc>
          <w:tcPr>
            <w:tcW w:w="567" w:type="dxa"/>
          </w:tcPr>
          <w:p w14:paraId="0956FCC2" w14:textId="77777777" w:rsidR="00424FEB" w:rsidRPr="00424FEB" w:rsidRDefault="00424FEB" w:rsidP="00424FEB">
            <w:pPr>
              <w:rPr>
                <w:rStyle w:val="Hyperlink"/>
                <w:rtl/>
              </w:rPr>
            </w:pPr>
            <w:hyperlink w:anchor="Seif3" w:tooltip="ציון שמות" w:history="1">
              <w:r w:rsidRPr="00424FEB">
                <w:rPr>
                  <w:rStyle w:val="Hyperlink"/>
                </w:rPr>
                <w:t>Go</w:t>
              </w:r>
            </w:hyperlink>
          </w:p>
        </w:tc>
        <w:tc>
          <w:tcPr>
            <w:tcW w:w="850" w:type="dxa"/>
          </w:tcPr>
          <w:p w14:paraId="692B54CC" w14:textId="77777777" w:rsidR="00424FEB" w:rsidRPr="00424FEB" w:rsidRDefault="00424FEB" w:rsidP="00424FE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424FEB" w:rsidRPr="00424FEB" w14:paraId="6C7CCEF1" w14:textId="77777777">
        <w:tblPrEx>
          <w:tblCellMar>
            <w:top w:w="0" w:type="dxa"/>
            <w:bottom w:w="0" w:type="dxa"/>
          </w:tblCellMar>
        </w:tblPrEx>
        <w:tc>
          <w:tcPr>
            <w:tcW w:w="1247" w:type="dxa"/>
          </w:tcPr>
          <w:p w14:paraId="2BD8C14C" w14:textId="77777777" w:rsidR="00424FEB" w:rsidRPr="00424FEB" w:rsidRDefault="00424FEB" w:rsidP="00424FEB">
            <w:pPr>
              <w:rPr>
                <w:rFonts w:cs="Frankruhel"/>
                <w:rtl/>
              </w:rPr>
            </w:pPr>
            <w:r>
              <w:rPr>
                <w:rtl/>
              </w:rPr>
              <w:t xml:space="preserve">סעיף 4 </w:t>
            </w:r>
          </w:p>
        </w:tc>
        <w:tc>
          <w:tcPr>
            <w:tcW w:w="5669" w:type="dxa"/>
          </w:tcPr>
          <w:p w14:paraId="357C5D12" w14:textId="77777777" w:rsidR="00424FEB" w:rsidRPr="00424FEB" w:rsidRDefault="00424FEB" w:rsidP="00424FEB">
            <w:pPr>
              <w:rPr>
                <w:rFonts w:cs="Frankruhel"/>
                <w:rtl/>
              </w:rPr>
            </w:pPr>
            <w:r>
              <w:rPr>
                <w:rtl/>
              </w:rPr>
              <w:t>הכנסות מעסק</w:t>
            </w:r>
          </w:p>
        </w:tc>
        <w:tc>
          <w:tcPr>
            <w:tcW w:w="567" w:type="dxa"/>
          </w:tcPr>
          <w:p w14:paraId="7F0B5AEB" w14:textId="77777777" w:rsidR="00424FEB" w:rsidRPr="00424FEB" w:rsidRDefault="00424FEB" w:rsidP="00424FEB">
            <w:pPr>
              <w:rPr>
                <w:rStyle w:val="Hyperlink"/>
                <w:rtl/>
              </w:rPr>
            </w:pPr>
            <w:hyperlink w:anchor="Seif4" w:tooltip="הכנסות מעסק" w:history="1">
              <w:r w:rsidRPr="00424FEB">
                <w:rPr>
                  <w:rStyle w:val="Hyperlink"/>
                </w:rPr>
                <w:t>Go</w:t>
              </w:r>
            </w:hyperlink>
          </w:p>
        </w:tc>
        <w:tc>
          <w:tcPr>
            <w:tcW w:w="850" w:type="dxa"/>
          </w:tcPr>
          <w:p w14:paraId="71ABF256" w14:textId="77777777" w:rsidR="00424FEB" w:rsidRPr="00424FEB" w:rsidRDefault="00424FEB" w:rsidP="00424FE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424FEB" w:rsidRPr="00424FEB" w14:paraId="3B2C413F" w14:textId="77777777">
        <w:tblPrEx>
          <w:tblCellMar>
            <w:top w:w="0" w:type="dxa"/>
            <w:bottom w:w="0" w:type="dxa"/>
          </w:tblCellMar>
        </w:tblPrEx>
        <w:tc>
          <w:tcPr>
            <w:tcW w:w="1247" w:type="dxa"/>
          </w:tcPr>
          <w:p w14:paraId="0B1BDD94" w14:textId="77777777" w:rsidR="00424FEB" w:rsidRPr="00424FEB" w:rsidRDefault="00424FEB" w:rsidP="00424FEB">
            <w:pPr>
              <w:rPr>
                <w:rFonts w:cs="Frankruhel"/>
                <w:rtl/>
              </w:rPr>
            </w:pPr>
            <w:r>
              <w:rPr>
                <w:rtl/>
              </w:rPr>
              <w:t xml:space="preserve">סעיף 5 </w:t>
            </w:r>
          </w:p>
        </w:tc>
        <w:tc>
          <w:tcPr>
            <w:tcW w:w="5669" w:type="dxa"/>
          </w:tcPr>
          <w:p w14:paraId="47102B24" w14:textId="77777777" w:rsidR="00424FEB" w:rsidRPr="00424FEB" w:rsidRDefault="00424FEB" w:rsidP="00424FEB">
            <w:pPr>
              <w:rPr>
                <w:rFonts w:cs="Frankruhel"/>
                <w:rtl/>
              </w:rPr>
            </w:pPr>
            <w:r>
              <w:rPr>
                <w:rtl/>
              </w:rPr>
              <w:t>החלת ההוראות</w:t>
            </w:r>
          </w:p>
        </w:tc>
        <w:tc>
          <w:tcPr>
            <w:tcW w:w="567" w:type="dxa"/>
          </w:tcPr>
          <w:p w14:paraId="5253DCA4" w14:textId="77777777" w:rsidR="00424FEB" w:rsidRPr="00424FEB" w:rsidRDefault="00424FEB" w:rsidP="00424FEB">
            <w:pPr>
              <w:rPr>
                <w:rStyle w:val="Hyperlink"/>
                <w:rtl/>
              </w:rPr>
            </w:pPr>
            <w:hyperlink w:anchor="Seif5" w:tooltip="החלת ההוראות" w:history="1">
              <w:r w:rsidRPr="00424FEB">
                <w:rPr>
                  <w:rStyle w:val="Hyperlink"/>
                </w:rPr>
                <w:t>Go</w:t>
              </w:r>
            </w:hyperlink>
          </w:p>
        </w:tc>
        <w:tc>
          <w:tcPr>
            <w:tcW w:w="850" w:type="dxa"/>
          </w:tcPr>
          <w:p w14:paraId="7644743D" w14:textId="77777777" w:rsidR="00424FEB" w:rsidRPr="00424FEB" w:rsidRDefault="00424FEB" w:rsidP="00424FE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424FEB" w:rsidRPr="00424FEB" w14:paraId="18C26AFE" w14:textId="77777777">
        <w:tblPrEx>
          <w:tblCellMar>
            <w:top w:w="0" w:type="dxa"/>
            <w:bottom w:w="0" w:type="dxa"/>
          </w:tblCellMar>
        </w:tblPrEx>
        <w:tc>
          <w:tcPr>
            <w:tcW w:w="1247" w:type="dxa"/>
          </w:tcPr>
          <w:p w14:paraId="2BCFD5BF" w14:textId="77777777" w:rsidR="00424FEB" w:rsidRPr="00424FEB" w:rsidRDefault="00424FEB" w:rsidP="00424FEB">
            <w:pPr>
              <w:rPr>
                <w:rFonts w:cs="Frankruhel"/>
                <w:rtl/>
              </w:rPr>
            </w:pPr>
            <w:r>
              <w:rPr>
                <w:rtl/>
              </w:rPr>
              <w:t xml:space="preserve">סעיף 6 </w:t>
            </w:r>
          </w:p>
        </w:tc>
        <w:tc>
          <w:tcPr>
            <w:tcW w:w="5669" w:type="dxa"/>
          </w:tcPr>
          <w:p w14:paraId="5F47BB47" w14:textId="77777777" w:rsidR="00424FEB" w:rsidRPr="00424FEB" w:rsidRDefault="00424FEB" w:rsidP="00424FEB">
            <w:pPr>
              <w:rPr>
                <w:rFonts w:cs="Frankruhel"/>
                <w:rtl/>
              </w:rPr>
            </w:pPr>
            <w:r>
              <w:rPr>
                <w:rtl/>
              </w:rPr>
              <w:t>תחולה</w:t>
            </w:r>
          </w:p>
        </w:tc>
        <w:tc>
          <w:tcPr>
            <w:tcW w:w="567" w:type="dxa"/>
          </w:tcPr>
          <w:p w14:paraId="5DE88A27" w14:textId="77777777" w:rsidR="00424FEB" w:rsidRPr="00424FEB" w:rsidRDefault="00424FEB" w:rsidP="00424FEB">
            <w:pPr>
              <w:rPr>
                <w:rStyle w:val="Hyperlink"/>
                <w:rtl/>
              </w:rPr>
            </w:pPr>
            <w:hyperlink w:anchor="Seif6" w:tooltip="תחולה" w:history="1">
              <w:r w:rsidRPr="00424FEB">
                <w:rPr>
                  <w:rStyle w:val="Hyperlink"/>
                </w:rPr>
                <w:t>Go</w:t>
              </w:r>
            </w:hyperlink>
          </w:p>
        </w:tc>
        <w:tc>
          <w:tcPr>
            <w:tcW w:w="850" w:type="dxa"/>
          </w:tcPr>
          <w:p w14:paraId="3D08E192" w14:textId="77777777" w:rsidR="00424FEB" w:rsidRPr="00424FEB" w:rsidRDefault="00424FEB" w:rsidP="00424FE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bl>
    <w:p w14:paraId="758F5AA7" w14:textId="77777777" w:rsidR="00EB6504" w:rsidRDefault="00EB6504">
      <w:pPr>
        <w:pStyle w:val="big-header"/>
        <w:ind w:left="0" w:right="1134"/>
        <w:rPr>
          <w:rFonts w:cs="FrankRuehl"/>
          <w:sz w:val="32"/>
          <w:rtl/>
        </w:rPr>
      </w:pPr>
    </w:p>
    <w:p w14:paraId="1795A458" w14:textId="77777777" w:rsidR="00EB6504" w:rsidRDefault="00EB6504" w:rsidP="0005366B">
      <w:pPr>
        <w:pStyle w:val="big-header"/>
        <w:ind w:left="0" w:right="1134"/>
        <w:rPr>
          <w:rStyle w:val="default"/>
          <w:rFonts w:hint="cs"/>
          <w:rtl/>
        </w:rPr>
      </w:pPr>
      <w:r>
        <w:rPr>
          <w:rtl/>
        </w:rPr>
        <w:br w:type="page"/>
      </w:r>
      <w:r>
        <w:rPr>
          <w:rFonts w:cs="FrankRuehl"/>
          <w:sz w:val="32"/>
          <w:rtl/>
        </w:rPr>
        <w:lastRenderedPageBreak/>
        <w:t>הו</w:t>
      </w:r>
      <w:r>
        <w:rPr>
          <w:rFonts w:cs="FrankRuehl" w:hint="cs"/>
          <w:sz w:val="32"/>
          <w:rtl/>
        </w:rPr>
        <w:t>ראות מס הכנסה (ניהול פנקסי חשבונות על ידי מוסד), תשנ"ב</w:t>
      </w:r>
      <w:r w:rsidR="007A2145">
        <w:rPr>
          <w:rFonts w:cs="FrankRuehl" w:hint="cs"/>
          <w:sz w:val="32"/>
          <w:rtl/>
        </w:rPr>
        <w:t>-</w:t>
      </w:r>
      <w:r>
        <w:rPr>
          <w:rFonts w:cs="FrankRuehl"/>
          <w:sz w:val="32"/>
          <w:rtl/>
        </w:rPr>
        <w:t>1992</w:t>
      </w:r>
      <w:r w:rsidR="007A2145">
        <w:rPr>
          <w:rStyle w:val="a6"/>
          <w:rFonts w:cs="FrankRuehl"/>
          <w:sz w:val="32"/>
          <w:rtl/>
        </w:rPr>
        <w:footnoteReference w:customMarkFollows="1" w:id="1"/>
        <w:t>*</w:t>
      </w:r>
    </w:p>
    <w:p w14:paraId="62CE7831" w14:textId="77777777" w:rsidR="00EB6504" w:rsidRPr="00550B67" w:rsidRDefault="00EB6504" w:rsidP="007A2145">
      <w:pPr>
        <w:pStyle w:val="P00"/>
        <w:spacing w:before="72"/>
        <w:ind w:left="0" w:right="1134"/>
        <w:rPr>
          <w:rStyle w:val="default"/>
          <w:rFonts w:cs="FrankRuehl"/>
          <w:rtl/>
        </w:rPr>
      </w:pPr>
      <w:r w:rsidRPr="00550B67">
        <w:rPr>
          <w:rFonts w:cs="FrankRuehl"/>
          <w:sz w:val="26"/>
          <w:rtl/>
        </w:rPr>
        <w:tab/>
      </w:r>
      <w:r w:rsidRPr="00550B67">
        <w:rPr>
          <w:rStyle w:val="default"/>
          <w:rFonts w:cs="FrankRuehl"/>
          <w:rtl/>
        </w:rPr>
        <w:t xml:space="preserve">בתוקף סמכותי לפי סעיף 130(א)(4) לפקודת מס הכנסה (להלן </w:t>
      </w:r>
      <w:r w:rsidR="007A2145">
        <w:rPr>
          <w:rStyle w:val="default"/>
          <w:rFonts w:cs="FrankRuehl" w:hint="cs"/>
          <w:rtl/>
        </w:rPr>
        <w:t>-</w:t>
      </w:r>
      <w:r w:rsidRPr="00550B67">
        <w:rPr>
          <w:rStyle w:val="default"/>
          <w:rFonts w:cs="FrankRuehl"/>
          <w:rtl/>
        </w:rPr>
        <w:t xml:space="preserve"> הפקודה), אני קובע לאמור:</w:t>
      </w:r>
    </w:p>
    <w:p w14:paraId="25E5E0CB" w14:textId="77777777" w:rsidR="00EB6504" w:rsidRDefault="00EB6504">
      <w:pPr>
        <w:pStyle w:val="P00"/>
        <w:spacing w:before="72"/>
        <w:ind w:left="0" w:right="1134"/>
        <w:rPr>
          <w:rStyle w:val="default"/>
          <w:rFonts w:cs="FrankRuehl" w:hint="cs"/>
          <w:rtl/>
        </w:rPr>
      </w:pPr>
      <w:bookmarkStart w:id="0" w:name="Seif1"/>
      <w:bookmarkEnd w:id="0"/>
      <w:r w:rsidRPr="00550B67">
        <w:rPr>
          <w:rFonts w:cs="Miriam"/>
          <w:lang w:val="he-IL"/>
        </w:rPr>
        <w:pict w14:anchorId="578C8B6F">
          <v:rect id="_x0000_s1026" style="position:absolute;left:0;text-align:left;margin-left:464.5pt;margin-top:8.05pt;width:75.05pt;height:12.25pt;z-index:251655168" o:allowincell="f" filled="f" stroked="f" strokecolor="lime" strokeweight=".25pt">
            <v:textbox style="mso-next-textbox:#_x0000_s1026" inset="0,0,0,0">
              <w:txbxContent>
                <w:p w14:paraId="238C9602" w14:textId="77777777" w:rsidR="00EB6504" w:rsidRDefault="00EB6504">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550B67">
        <w:rPr>
          <w:rStyle w:val="big-number"/>
          <w:rFonts w:cs="Miriam"/>
          <w:rtl/>
        </w:rPr>
        <w:t>1</w:t>
      </w:r>
      <w:r w:rsidRPr="007A2145">
        <w:rPr>
          <w:rStyle w:val="big-number"/>
          <w:rFonts w:cs="FrankRuehl"/>
          <w:sz w:val="26"/>
          <w:szCs w:val="26"/>
          <w:rtl/>
        </w:rPr>
        <w:t>.</w:t>
      </w:r>
      <w:r w:rsidRPr="007A2145">
        <w:rPr>
          <w:rStyle w:val="big-number"/>
          <w:rFonts w:cs="FrankRuehl"/>
          <w:sz w:val="26"/>
          <w:szCs w:val="26"/>
          <w:rtl/>
        </w:rPr>
        <w:tab/>
      </w:r>
      <w:r w:rsidR="007A2145">
        <w:rPr>
          <w:rStyle w:val="default"/>
          <w:rFonts w:cs="FrankRuehl"/>
          <w:rtl/>
        </w:rPr>
        <w:t>בהוראות אלה –</w:t>
      </w:r>
    </w:p>
    <w:p w14:paraId="7EEDA249" w14:textId="77777777" w:rsidR="00EB6504" w:rsidRPr="00550B67" w:rsidRDefault="00EB6504" w:rsidP="007A2145">
      <w:pPr>
        <w:pStyle w:val="P00"/>
        <w:spacing w:before="72"/>
        <w:ind w:left="0" w:right="1134"/>
        <w:rPr>
          <w:rStyle w:val="default"/>
          <w:rFonts w:cs="FrankRuehl"/>
          <w:rtl/>
        </w:rPr>
      </w:pPr>
      <w:r w:rsidRPr="00550B67">
        <w:rPr>
          <w:rFonts w:cs="FrankRuehl"/>
          <w:sz w:val="26"/>
          <w:rtl/>
        </w:rPr>
        <w:tab/>
      </w:r>
      <w:r w:rsidRPr="00550B67">
        <w:rPr>
          <w:rStyle w:val="default"/>
          <w:rFonts w:cs="FrankRuehl"/>
          <w:rtl/>
        </w:rPr>
        <w:t xml:space="preserve">"מחזור" </w:t>
      </w:r>
      <w:r w:rsidR="007A2145">
        <w:rPr>
          <w:rStyle w:val="default"/>
          <w:rFonts w:cs="FrankRuehl" w:hint="cs"/>
          <w:rtl/>
        </w:rPr>
        <w:t>-</w:t>
      </w:r>
      <w:r w:rsidRPr="00550B67">
        <w:rPr>
          <w:rStyle w:val="default"/>
          <w:rFonts w:cs="FrankRuehl"/>
          <w:rtl/>
        </w:rPr>
        <w:t xml:space="preserve"> סכום המכירות וסכום התמורה בעד שירותים בשנת המס הקודמת, לרבות מסים עקיפים ולרבות תקבולים שאינם ממכירות ואינם תמורה בעד שירותים שנתקבלו בשנת המס הקודמת, אך למעט מכירת רכוש קבוע, למעט הלוואות שנתקבלו ולמעט תקבול שהנציב אישר, בכתב, לגביו כי הוא תקבול חד-פעמי בידי המוסד, והכל מוכפל ב-12 ומחולק למספר חודשי הפעילות של המוסד בשנת המס הקודמת; לענין זה, "חודש" </w:t>
      </w:r>
      <w:r w:rsidR="007A2145">
        <w:rPr>
          <w:rStyle w:val="default"/>
          <w:rFonts w:cs="FrankRuehl" w:hint="cs"/>
          <w:rtl/>
        </w:rPr>
        <w:t>-</w:t>
      </w:r>
      <w:r w:rsidRPr="00550B67">
        <w:rPr>
          <w:rStyle w:val="default"/>
          <w:rFonts w:cs="FrankRuehl"/>
          <w:rtl/>
        </w:rPr>
        <w:t xml:space="preserve"> לרבות חלק ממנו;</w:t>
      </w:r>
    </w:p>
    <w:p w14:paraId="7D77C2DA" w14:textId="77777777" w:rsidR="00EB6504" w:rsidRPr="00550B67" w:rsidRDefault="00EB6504" w:rsidP="007A2145">
      <w:pPr>
        <w:pStyle w:val="P00"/>
        <w:spacing w:before="72"/>
        <w:ind w:left="0" w:right="1134"/>
        <w:rPr>
          <w:rStyle w:val="default"/>
          <w:rFonts w:cs="FrankRuehl"/>
          <w:rtl/>
        </w:rPr>
      </w:pPr>
      <w:r w:rsidRPr="00550B67">
        <w:rPr>
          <w:rFonts w:cs="FrankRuehl"/>
          <w:sz w:val="26"/>
          <w:rtl/>
        </w:rPr>
        <w:tab/>
      </w:r>
      <w:r w:rsidRPr="00550B67">
        <w:rPr>
          <w:rStyle w:val="default"/>
          <w:rFonts w:cs="FrankRuehl"/>
          <w:rtl/>
        </w:rPr>
        <w:t xml:space="preserve">"מוסד" </w:t>
      </w:r>
      <w:r w:rsidR="007A2145">
        <w:rPr>
          <w:rStyle w:val="default"/>
          <w:rFonts w:cs="FrankRuehl" w:hint="cs"/>
          <w:rtl/>
        </w:rPr>
        <w:t>-</w:t>
      </w:r>
      <w:r w:rsidRPr="00550B67">
        <w:rPr>
          <w:rStyle w:val="default"/>
          <w:rFonts w:cs="FrankRuehl"/>
          <w:rtl/>
        </w:rPr>
        <w:t xml:space="preserve"> מוסד כמשמעותו בסעיף 130(א)(4) לפקודה, למעט מוסד החייב בניהול ספרי חשבונות מכוח דין אחר, וקיבל אישור בכתב מהנציב שלא לנהל ספרי חשבונות לפי הוראות אלה;</w:t>
      </w:r>
    </w:p>
    <w:p w14:paraId="767B1A9B" w14:textId="77777777" w:rsidR="00EB6504" w:rsidRPr="00550B67" w:rsidRDefault="00EB6504" w:rsidP="007A2145">
      <w:pPr>
        <w:pStyle w:val="P00"/>
        <w:spacing w:before="72"/>
        <w:ind w:left="0" w:right="1134"/>
        <w:rPr>
          <w:rStyle w:val="default"/>
          <w:rFonts w:cs="FrankRuehl"/>
          <w:rtl/>
        </w:rPr>
      </w:pPr>
      <w:r w:rsidRPr="00550B67">
        <w:rPr>
          <w:rFonts w:cs="FrankRuehl"/>
          <w:sz w:val="26"/>
          <w:rtl/>
        </w:rPr>
        <w:tab/>
      </w:r>
      <w:r w:rsidRPr="00550B67">
        <w:rPr>
          <w:rStyle w:val="default"/>
          <w:rFonts w:cs="FrankRuehl"/>
          <w:rtl/>
        </w:rPr>
        <w:t xml:space="preserve">"ההוראות" </w:t>
      </w:r>
      <w:r w:rsidR="007A2145">
        <w:rPr>
          <w:rStyle w:val="default"/>
          <w:rFonts w:cs="FrankRuehl" w:hint="cs"/>
          <w:rtl/>
        </w:rPr>
        <w:t>-</w:t>
      </w:r>
      <w:r w:rsidRPr="00550B67">
        <w:rPr>
          <w:rStyle w:val="default"/>
          <w:rFonts w:cs="FrankRuehl"/>
          <w:rtl/>
        </w:rPr>
        <w:t xml:space="preserve"> הוראות מס הכנסה (ניהול פנקסי חשבונות) (מס' 2), תשל"ג</w:t>
      </w:r>
      <w:r w:rsidR="007A2145">
        <w:rPr>
          <w:rStyle w:val="default"/>
          <w:rFonts w:cs="FrankRuehl" w:hint="cs"/>
          <w:rtl/>
        </w:rPr>
        <w:t>-</w:t>
      </w:r>
      <w:r w:rsidRPr="00550B67">
        <w:rPr>
          <w:rStyle w:val="default"/>
          <w:rFonts w:cs="FrankRuehl"/>
          <w:rtl/>
        </w:rPr>
        <w:t>1973.</w:t>
      </w:r>
    </w:p>
    <w:p w14:paraId="6BB89E6C" w14:textId="77777777" w:rsidR="00EB6504" w:rsidRPr="00550B67" w:rsidRDefault="00EB6504">
      <w:pPr>
        <w:pStyle w:val="P00"/>
        <w:spacing w:before="72"/>
        <w:ind w:left="0" w:right="1134"/>
        <w:rPr>
          <w:rStyle w:val="default"/>
          <w:rFonts w:cs="FrankRuehl"/>
          <w:rtl/>
        </w:rPr>
      </w:pPr>
      <w:bookmarkStart w:id="1" w:name="Seif2"/>
      <w:bookmarkEnd w:id="1"/>
      <w:r w:rsidRPr="00550B67">
        <w:rPr>
          <w:rFonts w:cs="Miriam"/>
          <w:lang w:val="he-IL"/>
        </w:rPr>
        <w:pict w14:anchorId="45CDF911">
          <v:rect id="_x0000_s1027" style="position:absolute;left:0;text-align:left;margin-left:464.5pt;margin-top:8.05pt;width:75.05pt;height:22.5pt;z-index:251656192" o:allowincell="f" filled="f" stroked="f" strokecolor="lime" strokeweight=".25pt">
            <v:textbox style="mso-next-textbox:#_x0000_s1027" inset="0,0,0,0">
              <w:txbxContent>
                <w:p w14:paraId="7EE13509" w14:textId="77777777" w:rsidR="00EB6504" w:rsidRDefault="00EB6504">
                  <w:pPr>
                    <w:spacing w:line="160" w:lineRule="exact"/>
                    <w:rPr>
                      <w:rFonts w:cs="Miriam"/>
                      <w:noProof/>
                      <w:sz w:val="18"/>
                      <w:szCs w:val="18"/>
                      <w:rtl/>
                    </w:rPr>
                  </w:pPr>
                  <w:r>
                    <w:rPr>
                      <w:rFonts w:cs="Miriam"/>
                      <w:sz w:val="18"/>
                      <w:szCs w:val="18"/>
                      <w:rtl/>
                    </w:rPr>
                    <w:t>חו</w:t>
                  </w:r>
                  <w:r>
                    <w:rPr>
                      <w:rFonts w:cs="Miriam" w:hint="cs"/>
                      <w:sz w:val="18"/>
                      <w:szCs w:val="18"/>
                      <w:rtl/>
                    </w:rPr>
                    <w:t>בת ניהול מערכת חשבונות</w:t>
                  </w:r>
                </w:p>
              </w:txbxContent>
            </v:textbox>
            <w10:anchorlock/>
          </v:rect>
        </w:pict>
      </w:r>
      <w:r w:rsidRPr="00550B67">
        <w:rPr>
          <w:rStyle w:val="big-number"/>
          <w:rFonts w:cs="Miriam"/>
          <w:rtl/>
        </w:rPr>
        <w:t>2</w:t>
      </w:r>
      <w:r w:rsidRPr="007A2145">
        <w:rPr>
          <w:rStyle w:val="big-number"/>
          <w:rFonts w:cs="FrankRuehl"/>
          <w:sz w:val="26"/>
          <w:szCs w:val="26"/>
          <w:rtl/>
        </w:rPr>
        <w:t>.</w:t>
      </w:r>
      <w:r w:rsidRPr="007A2145">
        <w:rPr>
          <w:rStyle w:val="big-number"/>
          <w:rFonts w:cs="FrankRuehl"/>
          <w:sz w:val="26"/>
          <w:szCs w:val="26"/>
          <w:rtl/>
        </w:rPr>
        <w:tab/>
      </w:r>
      <w:r w:rsidRPr="00550B67">
        <w:rPr>
          <w:rStyle w:val="default"/>
          <w:rFonts w:cs="FrankRuehl"/>
          <w:rtl/>
        </w:rPr>
        <w:t>(א)</w:t>
      </w:r>
      <w:r w:rsidRPr="00550B67">
        <w:rPr>
          <w:rStyle w:val="default"/>
          <w:rFonts w:cs="FrankRuehl"/>
          <w:rtl/>
        </w:rPr>
        <w:tab/>
        <w:t>מוסד שמחזורו עולה על 500,000 שקלים חדשים, או שמעסיק מעל 10 מועסקים, חייב לנהל, לכל שנת מס, מערכת חשבונות על פי שיטת החשבונאות הכפולה באחת השיטות הנהוגות, לרבות:</w:t>
      </w:r>
    </w:p>
    <w:p w14:paraId="24A287A7" w14:textId="77777777" w:rsidR="00EB6504" w:rsidRPr="00550B67" w:rsidRDefault="00EB6504">
      <w:pPr>
        <w:pStyle w:val="P22"/>
        <w:spacing w:before="72"/>
        <w:ind w:left="1021" w:right="1134"/>
        <w:rPr>
          <w:rStyle w:val="default"/>
          <w:rFonts w:cs="FrankRuehl"/>
          <w:rtl/>
        </w:rPr>
      </w:pPr>
      <w:r w:rsidRPr="00550B67">
        <w:rPr>
          <w:rStyle w:val="default"/>
          <w:rFonts w:cs="FrankRuehl"/>
          <w:rtl/>
        </w:rPr>
        <w:t>(1)</w:t>
      </w:r>
      <w:r w:rsidRPr="00550B67">
        <w:rPr>
          <w:rStyle w:val="default"/>
          <w:rFonts w:cs="FrankRuehl"/>
          <w:rtl/>
        </w:rPr>
        <w:tab/>
        <w:t>ספר קופה;</w:t>
      </w:r>
    </w:p>
    <w:p w14:paraId="0A3AD33C" w14:textId="77777777" w:rsidR="00EB6504" w:rsidRPr="00550B67" w:rsidRDefault="00EB6504">
      <w:pPr>
        <w:pStyle w:val="P22"/>
        <w:spacing w:before="72"/>
        <w:ind w:left="1021" w:right="1134"/>
        <w:rPr>
          <w:rStyle w:val="default"/>
          <w:rFonts w:cs="FrankRuehl"/>
          <w:rtl/>
        </w:rPr>
      </w:pPr>
      <w:r w:rsidRPr="00550B67">
        <w:rPr>
          <w:rStyle w:val="default"/>
          <w:rFonts w:cs="FrankRuehl"/>
          <w:rtl/>
        </w:rPr>
        <w:t>(2)</w:t>
      </w:r>
      <w:r w:rsidRPr="00550B67">
        <w:rPr>
          <w:rStyle w:val="default"/>
          <w:rFonts w:cs="FrankRuehl"/>
          <w:rtl/>
        </w:rPr>
        <w:tab/>
        <w:t>שוברי קבלה, שבהם יצויינו, בנוסף לאמור בסעיף 5(א)(2) להוראות, מספר תיק המוסד אצל פקיד השומה;</w:t>
      </w:r>
    </w:p>
    <w:p w14:paraId="0DC655CE" w14:textId="77777777" w:rsidR="00EB6504" w:rsidRPr="00550B67" w:rsidRDefault="00EB6504">
      <w:pPr>
        <w:pStyle w:val="P22"/>
        <w:spacing w:before="72"/>
        <w:ind w:left="1021" w:right="1134"/>
        <w:rPr>
          <w:rStyle w:val="default"/>
          <w:rFonts w:cs="FrankRuehl"/>
          <w:rtl/>
        </w:rPr>
      </w:pPr>
      <w:r w:rsidRPr="00550B67">
        <w:rPr>
          <w:rStyle w:val="default"/>
          <w:rFonts w:cs="FrankRuehl"/>
          <w:rtl/>
        </w:rPr>
        <w:t>תקבולים בשל מכירת נכסים או בשל מתן שירותים יירשמו בפנקס שוברי קבלות נפרד;</w:t>
      </w:r>
    </w:p>
    <w:p w14:paraId="0CD66B5F" w14:textId="77777777" w:rsidR="00EB6504" w:rsidRPr="00550B67" w:rsidRDefault="00EB6504">
      <w:pPr>
        <w:pStyle w:val="P22"/>
        <w:spacing w:before="72"/>
        <w:ind w:left="1021" w:right="1134"/>
        <w:rPr>
          <w:rStyle w:val="default"/>
          <w:rFonts w:cs="FrankRuehl"/>
          <w:rtl/>
        </w:rPr>
      </w:pPr>
      <w:r w:rsidRPr="00550B67">
        <w:rPr>
          <w:rStyle w:val="default"/>
          <w:rFonts w:cs="FrankRuehl"/>
          <w:rtl/>
        </w:rPr>
        <w:t>תקבולים בשל תרומות יירשמו בפנקס שוברי קבלות נפרד; על כל קבלה בפנקס שובר קבלות לתרומות תודפס בצורה בולטת לענין המלה "תרומה". אם ניתן למוסד אישור לפי סעיף 46 לפקודה, יודפסו על הקבלה גם המלים: "למוסד אישור מס הכנסה לענין תרומות לפי סעיף 46 לפקודה";</w:t>
      </w:r>
    </w:p>
    <w:p w14:paraId="18E1E372" w14:textId="77777777" w:rsidR="00EB6504" w:rsidRPr="00550B67" w:rsidRDefault="00EB6504">
      <w:pPr>
        <w:pStyle w:val="P22"/>
        <w:spacing w:before="72"/>
        <w:ind w:left="1021" w:right="1134"/>
        <w:rPr>
          <w:rStyle w:val="default"/>
          <w:rFonts w:cs="FrankRuehl"/>
          <w:rtl/>
        </w:rPr>
      </w:pPr>
      <w:r w:rsidRPr="00550B67">
        <w:rPr>
          <w:rStyle w:val="default"/>
          <w:rFonts w:cs="FrankRuehl"/>
          <w:rtl/>
        </w:rPr>
        <w:t>(3)</w:t>
      </w:r>
      <w:r w:rsidRPr="00550B67">
        <w:rPr>
          <w:rStyle w:val="default"/>
          <w:rFonts w:cs="FrankRuehl"/>
          <w:rtl/>
        </w:rPr>
        <w:tab/>
        <w:t>חשבון הכנסות אשר בו יירשמו בנפרד, הכנסות בשל:</w:t>
      </w:r>
    </w:p>
    <w:p w14:paraId="2CDF4E47"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(א)</w:t>
      </w:r>
      <w:r w:rsidRPr="00550B67">
        <w:rPr>
          <w:rStyle w:val="default"/>
          <w:rFonts w:cs="FrankRuehl"/>
          <w:rtl/>
        </w:rPr>
        <w:tab/>
        <w:t>הקצבות והשתתפויות מאחרים;</w:t>
      </w:r>
    </w:p>
    <w:p w14:paraId="0DCAC6AC"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(ב)</w:t>
      </w:r>
      <w:r w:rsidRPr="00550B67">
        <w:rPr>
          <w:rStyle w:val="default"/>
          <w:rFonts w:cs="FrankRuehl"/>
          <w:rtl/>
        </w:rPr>
        <w:tab/>
        <w:t>תרומות;</w:t>
      </w:r>
    </w:p>
    <w:p w14:paraId="373475E6"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(ג)</w:t>
      </w:r>
      <w:r w:rsidRPr="00550B67">
        <w:rPr>
          <w:rStyle w:val="default"/>
          <w:rFonts w:cs="FrankRuehl"/>
          <w:rtl/>
        </w:rPr>
        <w:tab/>
        <w:t>הכנסות מריבית והפרשי הצמדה;</w:t>
      </w:r>
    </w:p>
    <w:p w14:paraId="729BC1FB"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(ד)</w:t>
      </w:r>
      <w:r w:rsidRPr="00550B67">
        <w:rPr>
          <w:rStyle w:val="default"/>
          <w:rFonts w:cs="FrankRuehl"/>
          <w:rtl/>
        </w:rPr>
        <w:tab/>
        <w:t>הכנסות מהשכרה;</w:t>
      </w:r>
    </w:p>
    <w:p w14:paraId="5C6DBAAF"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(ה)</w:t>
      </w:r>
      <w:r w:rsidRPr="00550B67">
        <w:rPr>
          <w:rStyle w:val="default"/>
          <w:rFonts w:cs="FrankRuehl"/>
          <w:rtl/>
        </w:rPr>
        <w:tab/>
        <w:t>תקבולים מדמי חבר;</w:t>
      </w:r>
    </w:p>
    <w:p w14:paraId="789FB931"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(ו)</w:t>
      </w:r>
      <w:r w:rsidRPr="00550B67">
        <w:rPr>
          <w:rStyle w:val="default"/>
          <w:rFonts w:cs="FrankRuehl"/>
          <w:rtl/>
        </w:rPr>
        <w:tab/>
        <w:t>הכנסות ממכירת שירותים ונכסים שאינם משמשים במישרין למטרה הציבורית של המוסד;</w:t>
      </w:r>
    </w:p>
    <w:p w14:paraId="2290830A"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(ז)</w:t>
      </w:r>
      <w:r w:rsidRPr="00550B67">
        <w:rPr>
          <w:rStyle w:val="default"/>
          <w:rFonts w:cs="FrankRuehl"/>
          <w:rtl/>
        </w:rPr>
        <w:tab/>
        <w:t>תמורה בעד מכירת רכוש קבוע;</w:t>
      </w:r>
    </w:p>
    <w:p w14:paraId="1CFFE263"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(ח)</w:t>
      </w:r>
      <w:r w:rsidRPr="00550B67">
        <w:rPr>
          <w:rStyle w:val="default"/>
          <w:rFonts w:cs="FrankRuehl"/>
          <w:rtl/>
        </w:rPr>
        <w:tab/>
        <w:t>הכנסות מריבית והפרשי הצמדה שחל עליהם סעיף 3(ח) לפקודה;</w:t>
      </w:r>
    </w:p>
    <w:p w14:paraId="1F9CBBF2"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(ט)</w:t>
      </w:r>
      <w:r w:rsidRPr="00550B67">
        <w:rPr>
          <w:rStyle w:val="default"/>
          <w:rFonts w:cs="FrankRuehl"/>
          <w:rtl/>
        </w:rPr>
        <w:tab/>
        <w:t>הכנסות אחרות;</w:t>
      </w:r>
    </w:p>
    <w:p w14:paraId="5AE2ED6F" w14:textId="77777777" w:rsidR="00EB6504" w:rsidRPr="00550B67" w:rsidRDefault="00EB6504">
      <w:pPr>
        <w:pStyle w:val="P22"/>
        <w:spacing w:before="72"/>
        <w:ind w:left="1021" w:right="1134"/>
        <w:rPr>
          <w:rStyle w:val="default"/>
          <w:rFonts w:cs="FrankRuehl"/>
          <w:rtl/>
        </w:rPr>
      </w:pPr>
      <w:r w:rsidRPr="00550B67">
        <w:rPr>
          <w:rStyle w:val="default"/>
          <w:rFonts w:cs="FrankRuehl"/>
          <w:rtl/>
        </w:rPr>
        <w:t>(4)</w:t>
      </w:r>
      <w:r w:rsidRPr="00550B67">
        <w:rPr>
          <w:rStyle w:val="default"/>
          <w:rFonts w:cs="FrankRuehl"/>
          <w:rtl/>
        </w:rPr>
        <w:tab/>
        <w:t>ספר כרוך ובו יירשמו נכסים שנתקבלו כתרומות או כמתנות; הרישום יכלול את שם הנותן או התורם, תיאור הנכס שנתקבל ומועד קבלתו;</w:t>
      </w:r>
    </w:p>
    <w:p w14:paraId="4EBB8FD8" w14:textId="77777777" w:rsidR="00EB6504" w:rsidRPr="00550B67" w:rsidRDefault="00EB6504">
      <w:pPr>
        <w:pStyle w:val="P22"/>
        <w:spacing w:before="72"/>
        <w:ind w:left="1021" w:right="1134"/>
        <w:rPr>
          <w:rStyle w:val="default"/>
          <w:rFonts w:cs="FrankRuehl"/>
          <w:rtl/>
        </w:rPr>
      </w:pPr>
      <w:r w:rsidRPr="00550B67">
        <w:rPr>
          <w:rStyle w:val="default"/>
          <w:rFonts w:cs="FrankRuehl"/>
          <w:rtl/>
        </w:rPr>
        <w:t>(5)</w:t>
      </w:r>
      <w:r w:rsidRPr="00550B67">
        <w:rPr>
          <w:rStyle w:val="default"/>
          <w:rFonts w:cs="FrankRuehl"/>
          <w:rtl/>
        </w:rPr>
        <w:tab/>
        <w:t>חשבון הוצאות אשר בו יירשמו בנפרד, הוצאות בשל:</w:t>
      </w:r>
    </w:p>
    <w:p w14:paraId="0C8A271E"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(א)</w:t>
      </w:r>
      <w:r w:rsidRPr="00550B67">
        <w:rPr>
          <w:rStyle w:val="default"/>
          <w:rFonts w:cs="FrankRuehl"/>
          <w:rtl/>
        </w:rPr>
        <w:tab/>
        <w:t>תרומות והשתתפויות שניתנו לאדם אחר;</w:t>
      </w:r>
    </w:p>
    <w:p w14:paraId="2B0B4E9D"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(ב)</w:t>
      </w:r>
      <w:r w:rsidRPr="00550B67">
        <w:rPr>
          <w:rStyle w:val="default"/>
          <w:rFonts w:cs="FrankRuehl"/>
          <w:rtl/>
        </w:rPr>
        <w:tab/>
        <w:t>שכר עבודה והוצאות נלוות;</w:t>
      </w:r>
    </w:p>
    <w:p w14:paraId="6BD3B706" w14:textId="77777777" w:rsidR="00EB6504" w:rsidRPr="00550B67" w:rsidRDefault="00EB6504">
      <w:pPr>
        <w:pStyle w:val="P33"/>
        <w:spacing w:before="72"/>
        <w:ind w:left="1474" w:right="1134"/>
        <w:rPr>
          <w:rStyle w:val="default"/>
          <w:rFonts w:cs="FrankRuehl"/>
          <w:rtl/>
        </w:rPr>
      </w:pPr>
      <w:r w:rsidRPr="00550B67">
        <w:rPr>
          <w:rStyle w:val="default"/>
          <w:rFonts w:cs="FrankRuehl"/>
          <w:rtl/>
        </w:rPr>
        <w:lastRenderedPageBreak/>
        <w:t>(ג)</w:t>
      </w:r>
      <w:r w:rsidRPr="00550B67">
        <w:rPr>
          <w:rStyle w:val="default"/>
          <w:rFonts w:cs="FrankRuehl"/>
          <w:rtl/>
        </w:rPr>
        <w:tab/>
        <w:t>הוצאות הנהלה וכלליות;</w:t>
      </w:r>
    </w:p>
    <w:p w14:paraId="342140CA"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(ד)</w:t>
      </w:r>
      <w:r w:rsidRPr="00550B67">
        <w:rPr>
          <w:rStyle w:val="default"/>
          <w:rFonts w:cs="FrankRuehl"/>
          <w:rtl/>
        </w:rPr>
        <w:tab/>
        <w:t>הוצאות ריבית והפרשי הצמדה;</w:t>
      </w:r>
    </w:p>
    <w:p w14:paraId="7ABF5687"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(ה)</w:t>
      </w:r>
      <w:r w:rsidRPr="00550B67">
        <w:rPr>
          <w:rStyle w:val="default"/>
          <w:rFonts w:cs="FrankRuehl"/>
          <w:rtl/>
        </w:rPr>
        <w:tab/>
        <w:t>סכומים לרכישת שירותים ונכסים שאינם משמשים במישרין למטרה הציבורית של המוסד;</w:t>
      </w:r>
    </w:p>
    <w:p w14:paraId="19676E62"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(ו)</w:t>
      </w:r>
      <w:r w:rsidRPr="00550B67">
        <w:rPr>
          <w:rStyle w:val="default"/>
          <w:rFonts w:cs="FrankRuehl"/>
          <w:rtl/>
        </w:rPr>
        <w:tab/>
        <w:t>סכומים לרכישת נכסים הוניים;</w:t>
      </w:r>
    </w:p>
    <w:p w14:paraId="30026A76"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(ז)</w:t>
      </w:r>
      <w:r w:rsidRPr="00550B67">
        <w:rPr>
          <w:rStyle w:val="default"/>
          <w:rFonts w:cs="FrankRuehl"/>
          <w:rtl/>
        </w:rPr>
        <w:tab/>
        <w:t>רכישת אגרות חוב שחל עליהן סעיף 3(ח) לפקודה;</w:t>
      </w:r>
    </w:p>
    <w:p w14:paraId="67BB07EF"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(ח)</w:t>
      </w:r>
      <w:r w:rsidRPr="00550B67">
        <w:rPr>
          <w:rStyle w:val="default"/>
          <w:rFonts w:cs="FrankRuehl"/>
          <w:rtl/>
        </w:rPr>
        <w:tab/>
        <w:t>הוצאות אחרות.</w:t>
      </w:r>
    </w:p>
    <w:p w14:paraId="0D2C3837" w14:textId="77777777" w:rsidR="00EB6504" w:rsidRDefault="00EB6504">
      <w:pPr>
        <w:pStyle w:val="P00"/>
        <w:spacing w:before="72"/>
        <w:ind w:left="0" w:right="1134"/>
        <w:rPr>
          <w:rStyle w:val="default"/>
          <w:rFonts w:cs="FrankRuehl" w:hint="cs"/>
          <w:rtl/>
        </w:rPr>
      </w:pPr>
      <w:r w:rsidRPr="00550B67">
        <w:rPr>
          <w:rFonts w:cs="FrankRuehl"/>
          <w:sz w:val="26"/>
          <w:rtl/>
        </w:rPr>
        <w:tab/>
      </w:r>
      <w:r w:rsidRPr="00550B67">
        <w:rPr>
          <w:rStyle w:val="default"/>
          <w:rFonts w:cs="FrankRuehl"/>
          <w:rtl/>
        </w:rPr>
        <w:t>(ב)</w:t>
      </w:r>
      <w:r w:rsidRPr="00550B67">
        <w:rPr>
          <w:rStyle w:val="default"/>
          <w:rFonts w:cs="FrankRuehl"/>
          <w:rtl/>
        </w:rPr>
        <w:tab/>
        <w:t>מוסד שמחזורו אינו עולה על 500,000 שקלים חדשים, חייב לנהל, לכל שנת מס, מע</w:t>
      </w:r>
      <w:r w:rsidR="007A2145">
        <w:rPr>
          <w:rStyle w:val="default"/>
          <w:rFonts w:cs="FrankRuehl"/>
          <w:rtl/>
        </w:rPr>
        <w:t>רכת חשבונות שתכלול לפחות –</w:t>
      </w:r>
    </w:p>
    <w:p w14:paraId="74754808" w14:textId="77777777" w:rsidR="00EB6504" w:rsidRPr="00550B67" w:rsidRDefault="00EB6504">
      <w:pPr>
        <w:pStyle w:val="P22"/>
        <w:spacing w:before="72"/>
        <w:ind w:left="1021" w:right="1134"/>
        <w:rPr>
          <w:rStyle w:val="default"/>
          <w:rFonts w:cs="FrankRuehl"/>
          <w:rtl/>
        </w:rPr>
      </w:pPr>
      <w:r w:rsidRPr="00550B67">
        <w:rPr>
          <w:rStyle w:val="default"/>
          <w:rFonts w:cs="FrankRuehl"/>
          <w:rtl/>
        </w:rPr>
        <w:t>(1)</w:t>
      </w:r>
      <w:r w:rsidRPr="00550B67">
        <w:rPr>
          <w:rStyle w:val="default"/>
          <w:rFonts w:cs="FrankRuehl"/>
          <w:rtl/>
        </w:rPr>
        <w:tab/>
        <w:t>ספר תקבולים ותשלומים, שבו יירשמו בטורים נפרדים:</w:t>
      </w:r>
    </w:p>
    <w:p w14:paraId="525941A2" w14:textId="77777777" w:rsidR="00EB6504" w:rsidRDefault="007A2145">
      <w:pPr>
        <w:pStyle w:val="P33"/>
        <w:spacing w:before="72"/>
        <w:ind w:left="1474" w:right="1134"/>
        <w:rPr>
          <w:rStyle w:val="default"/>
          <w:rFonts w:cs="FrankRuehl" w:hint="cs"/>
          <w:rtl/>
        </w:rPr>
      </w:pPr>
      <w:r>
        <w:rPr>
          <w:rStyle w:val="default"/>
          <w:rFonts w:cs="FrankRuehl"/>
          <w:rtl/>
        </w:rPr>
        <w:t>(א)</w:t>
      </w:r>
      <w:r>
        <w:rPr>
          <w:rStyle w:val="default"/>
          <w:rFonts w:cs="FrankRuehl"/>
          <w:rtl/>
        </w:rPr>
        <w:tab/>
        <w:t>בצד התקבולים –</w:t>
      </w:r>
    </w:p>
    <w:p w14:paraId="4537BEE4"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(1)</w:t>
      </w:r>
      <w:r w:rsidRPr="00550B67">
        <w:rPr>
          <w:rStyle w:val="default"/>
          <w:rFonts w:cs="FrankRuehl"/>
          <w:rtl/>
        </w:rPr>
        <w:tab/>
        <w:t>הקצבות והשתתפויות של אחרים;</w:t>
      </w:r>
    </w:p>
    <w:p w14:paraId="06A2FEE8"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(2)</w:t>
      </w:r>
      <w:r w:rsidRPr="00550B67">
        <w:rPr>
          <w:rStyle w:val="default"/>
          <w:rFonts w:cs="FrankRuehl"/>
          <w:rtl/>
        </w:rPr>
        <w:tab/>
        <w:t>תרומות;</w:t>
      </w:r>
    </w:p>
    <w:p w14:paraId="3619C819"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(3)</w:t>
      </w:r>
      <w:r w:rsidRPr="00550B67">
        <w:rPr>
          <w:rStyle w:val="default"/>
          <w:rFonts w:cs="FrankRuehl"/>
          <w:rtl/>
        </w:rPr>
        <w:tab/>
        <w:t>הכנסות מריבית והפרשי הצמדה;</w:t>
      </w:r>
    </w:p>
    <w:p w14:paraId="161E3B4E"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(4)</w:t>
      </w:r>
      <w:r w:rsidRPr="00550B67">
        <w:rPr>
          <w:rStyle w:val="default"/>
          <w:rFonts w:cs="FrankRuehl"/>
          <w:rtl/>
        </w:rPr>
        <w:tab/>
        <w:t>הכנסות מהשכרת נכסים;</w:t>
      </w:r>
    </w:p>
    <w:p w14:paraId="20D5D91C"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(5)</w:t>
      </w:r>
      <w:r w:rsidRPr="00550B67">
        <w:rPr>
          <w:rStyle w:val="default"/>
          <w:rFonts w:cs="FrankRuehl"/>
          <w:rtl/>
        </w:rPr>
        <w:tab/>
        <w:t>תקבולים מדמי חבר;</w:t>
      </w:r>
    </w:p>
    <w:p w14:paraId="46F6BC5F"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(6)</w:t>
      </w:r>
      <w:r w:rsidRPr="00550B67">
        <w:rPr>
          <w:rStyle w:val="default"/>
          <w:rFonts w:cs="FrankRuehl"/>
          <w:rtl/>
        </w:rPr>
        <w:tab/>
        <w:t>הכנסות ממכירת שירותים ונכסים שאינם משמשים במישרין למטרה הציבורית של המוסד;</w:t>
      </w:r>
    </w:p>
    <w:p w14:paraId="02A56102"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(7)</w:t>
      </w:r>
      <w:r w:rsidRPr="00550B67">
        <w:rPr>
          <w:rStyle w:val="default"/>
          <w:rFonts w:cs="FrankRuehl"/>
          <w:rtl/>
        </w:rPr>
        <w:tab/>
        <w:t>תמורה ממכירת נכסים הוניים;</w:t>
      </w:r>
    </w:p>
    <w:p w14:paraId="1D872AB3"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(8)</w:t>
      </w:r>
      <w:r w:rsidRPr="00550B67">
        <w:rPr>
          <w:rStyle w:val="default"/>
          <w:rFonts w:cs="FrankRuehl"/>
          <w:rtl/>
        </w:rPr>
        <w:tab/>
        <w:t>הכנסות מריבית והפרשי הצמדה שחל</w:t>
      </w:r>
      <w:r w:rsidRPr="00550B67">
        <w:rPr>
          <w:rFonts w:cs="FrankRuehl"/>
          <w:sz w:val="26"/>
          <w:rtl/>
        </w:rPr>
        <w:t> </w:t>
      </w:r>
      <w:r w:rsidRPr="00550B67">
        <w:rPr>
          <w:rStyle w:val="default"/>
          <w:rFonts w:cs="FrankRuehl"/>
          <w:rtl/>
        </w:rPr>
        <w:t xml:space="preserve"> עליהם סעיף 3(ח) לפקודה;</w:t>
      </w:r>
    </w:p>
    <w:p w14:paraId="657DC582"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(9)</w:t>
      </w:r>
      <w:r w:rsidRPr="00550B67">
        <w:rPr>
          <w:rStyle w:val="default"/>
          <w:rFonts w:cs="FrankRuehl"/>
          <w:rtl/>
        </w:rPr>
        <w:tab/>
        <w:t>הכנסות אחרות.</w:t>
      </w:r>
    </w:p>
    <w:p w14:paraId="250EEAB7"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(ב)</w:t>
      </w:r>
      <w:r w:rsidRPr="00550B67">
        <w:rPr>
          <w:rStyle w:val="default"/>
          <w:rFonts w:cs="FrankRuehl"/>
          <w:rtl/>
        </w:rPr>
        <w:tab/>
        <w:t>ספר כרוך ובו יירשמו נכסים שנתקבלו כתרומות או כמתנות. הרישום יכלול את שם הנותן או התורם, תיאור הנכס שנתקבל ומועד קבלתו.</w:t>
      </w:r>
    </w:p>
    <w:p w14:paraId="484F23D4" w14:textId="77777777" w:rsidR="00EB6504" w:rsidRDefault="007A2145">
      <w:pPr>
        <w:pStyle w:val="P33"/>
        <w:spacing w:before="72"/>
        <w:ind w:left="1474" w:right="1134"/>
        <w:rPr>
          <w:rStyle w:val="default"/>
          <w:rFonts w:cs="FrankRuehl" w:hint="cs"/>
          <w:rtl/>
        </w:rPr>
      </w:pPr>
      <w:r>
        <w:rPr>
          <w:rStyle w:val="default"/>
          <w:rFonts w:cs="FrankRuehl"/>
          <w:rtl/>
        </w:rPr>
        <w:t>(ג)</w:t>
      </w:r>
      <w:r>
        <w:rPr>
          <w:rStyle w:val="default"/>
          <w:rFonts w:cs="FrankRuehl"/>
          <w:rtl/>
        </w:rPr>
        <w:tab/>
        <w:t>בצד התשלומים –</w:t>
      </w:r>
    </w:p>
    <w:p w14:paraId="1F1E6272"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(1)</w:t>
      </w:r>
      <w:r w:rsidRPr="00550B67">
        <w:rPr>
          <w:rStyle w:val="default"/>
          <w:rFonts w:cs="FrankRuehl"/>
          <w:rtl/>
        </w:rPr>
        <w:tab/>
        <w:t>תרומות והשתתפויות שניתנו לאדם אחר;</w:t>
      </w:r>
    </w:p>
    <w:p w14:paraId="6BB36E80"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(2)</w:t>
      </w:r>
      <w:r w:rsidRPr="00550B67">
        <w:rPr>
          <w:rStyle w:val="default"/>
          <w:rFonts w:cs="FrankRuehl"/>
          <w:rtl/>
        </w:rPr>
        <w:tab/>
        <w:t>שכר עבודה והוצאות נלוות;</w:t>
      </w:r>
    </w:p>
    <w:p w14:paraId="5DA32274"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(3)</w:t>
      </w:r>
      <w:r w:rsidRPr="00550B67">
        <w:rPr>
          <w:rStyle w:val="default"/>
          <w:rFonts w:cs="FrankRuehl"/>
          <w:rtl/>
        </w:rPr>
        <w:tab/>
        <w:t>הוצאות הנהלה וכלליות;</w:t>
      </w:r>
    </w:p>
    <w:p w14:paraId="566DA304"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(4)</w:t>
      </w:r>
      <w:r w:rsidRPr="00550B67">
        <w:rPr>
          <w:rStyle w:val="default"/>
          <w:rFonts w:cs="FrankRuehl"/>
          <w:rtl/>
        </w:rPr>
        <w:tab/>
        <w:t>הוצאות ריבית והפרשי הצמדה;</w:t>
      </w:r>
    </w:p>
    <w:p w14:paraId="4713B95A"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(5)</w:t>
      </w:r>
      <w:r w:rsidRPr="00550B67">
        <w:rPr>
          <w:rStyle w:val="default"/>
          <w:rFonts w:cs="FrankRuehl"/>
          <w:rtl/>
        </w:rPr>
        <w:tab/>
        <w:t>תשלומים לרכישת שירותים ונכסים שאינם משמשים במישרין למטרה הציבורית של המוסד;</w:t>
      </w:r>
    </w:p>
    <w:p w14:paraId="5ABA96EC"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(6)</w:t>
      </w:r>
      <w:r w:rsidRPr="00550B67">
        <w:rPr>
          <w:rStyle w:val="default"/>
          <w:rFonts w:cs="FrankRuehl"/>
          <w:rtl/>
        </w:rPr>
        <w:tab/>
        <w:t>רכישות הוניות;</w:t>
      </w:r>
    </w:p>
    <w:p w14:paraId="433CC4C9"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(7)</w:t>
      </w:r>
      <w:r w:rsidRPr="00550B67">
        <w:rPr>
          <w:rStyle w:val="default"/>
          <w:rFonts w:cs="FrankRuehl"/>
          <w:rtl/>
        </w:rPr>
        <w:tab/>
        <w:t>סכומים לרכישת איגרות חוב, שחל עליהם סעיף 3(ח) לפקודה;</w:t>
      </w:r>
    </w:p>
    <w:p w14:paraId="0D561FD3" w14:textId="77777777" w:rsidR="00EB6504" w:rsidRPr="00550B67" w:rsidRDefault="00EB6504">
      <w:pPr>
        <w:pStyle w:val="P44"/>
        <w:spacing w:before="72"/>
        <w:ind w:left="1928" w:right="1134"/>
        <w:rPr>
          <w:rStyle w:val="default"/>
          <w:rFonts w:cs="FrankRuehl"/>
          <w:rtl/>
        </w:rPr>
      </w:pPr>
      <w:r w:rsidRPr="00550B67">
        <w:rPr>
          <w:rStyle w:val="default"/>
          <w:rFonts w:cs="FrankRuehl"/>
          <w:rtl/>
        </w:rPr>
        <w:t>(8)</w:t>
      </w:r>
      <w:r w:rsidRPr="00550B67">
        <w:rPr>
          <w:rStyle w:val="default"/>
          <w:rFonts w:cs="FrankRuehl"/>
          <w:rtl/>
        </w:rPr>
        <w:tab/>
        <w:t>הוצאות אחרות.</w:t>
      </w:r>
    </w:p>
    <w:p w14:paraId="3C0F9C19"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(ד)</w:t>
      </w:r>
      <w:r w:rsidRPr="00550B67">
        <w:rPr>
          <w:rStyle w:val="default"/>
          <w:rFonts w:cs="FrankRuehl"/>
          <w:rtl/>
        </w:rPr>
        <w:tab/>
        <w:t>שוברי קבלה, שבהם יצויינו, בנוסף לאמור בסעיף 5(א)(2) להוראות, מספר תיק המוסד אצל פקיד השומה.</w:t>
      </w:r>
    </w:p>
    <w:p w14:paraId="3DE438A2"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תקבולים בשל תרומות יירשמו בפנקס שובר קבלות נפרד. על כל קבלה בפנקס שובר קבלות לתרומות תודפס בצורה בולטת לעין המלה "תרומה"; אם ניתן למוסד אישור לפי סעיף 46 לפקודה, יודפסו על הקבלה גם המלים: "למוסד אישור מס הכנסה לענין תרומות לפי סעיף 46 לפקודה";</w:t>
      </w:r>
    </w:p>
    <w:p w14:paraId="775D789D" w14:textId="77777777" w:rsidR="00EB6504" w:rsidRPr="00550B67" w:rsidRDefault="00EB6504">
      <w:pPr>
        <w:pStyle w:val="P33"/>
        <w:spacing w:before="72"/>
        <w:ind w:left="1474" w:right="1134"/>
        <w:rPr>
          <w:rStyle w:val="default"/>
          <w:rFonts w:cs="FrankRuehl"/>
          <w:rtl/>
        </w:rPr>
      </w:pPr>
      <w:r w:rsidRPr="00550B67">
        <w:rPr>
          <w:rStyle w:val="default"/>
          <w:rFonts w:cs="FrankRuehl"/>
          <w:rtl/>
        </w:rPr>
        <w:t>(ה)</w:t>
      </w:r>
      <w:r w:rsidRPr="00550B67">
        <w:rPr>
          <w:rStyle w:val="default"/>
          <w:rFonts w:cs="FrankRuehl"/>
          <w:rtl/>
        </w:rPr>
        <w:tab/>
        <w:t>תיק תיעוד חוץ.</w:t>
      </w:r>
    </w:p>
    <w:p w14:paraId="57E9101A" w14:textId="77777777" w:rsidR="00EB6504" w:rsidRPr="00550B67" w:rsidRDefault="00EB6504">
      <w:pPr>
        <w:pStyle w:val="P00"/>
        <w:spacing w:before="72"/>
        <w:ind w:left="0" w:right="1134"/>
        <w:rPr>
          <w:rStyle w:val="default"/>
          <w:rFonts w:cs="FrankRuehl"/>
          <w:rtl/>
        </w:rPr>
      </w:pPr>
      <w:bookmarkStart w:id="2" w:name="Seif3"/>
      <w:bookmarkEnd w:id="2"/>
      <w:r w:rsidRPr="007A2145">
        <w:rPr>
          <w:rFonts w:cs="Miriam"/>
          <w:lang w:val="he-IL"/>
        </w:rPr>
        <w:pict w14:anchorId="09D8CF8E">
          <v:rect id="_x0000_s1028" style="position:absolute;left:0;text-align:left;margin-left:464.5pt;margin-top:8.05pt;width:75.05pt;height:12.4pt;z-index:251657216" o:allowincell="f" filled="f" stroked="f" strokecolor="lime" strokeweight=".25pt">
            <v:textbox style="mso-next-textbox:#_x0000_s1028" inset="0,0,0,0">
              <w:txbxContent>
                <w:p w14:paraId="7F819A10" w14:textId="77777777" w:rsidR="00EB6504" w:rsidRDefault="00EB6504">
                  <w:pPr>
                    <w:spacing w:line="160" w:lineRule="exact"/>
                    <w:rPr>
                      <w:rFonts w:cs="Miriam"/>
                      <w:noProof/>
                      <w:sz w:val="18"/>
                      <w:szCs w:val="18"/>
                      <w:rtl/>
                    </w:rPr>
                  </w:pPr>
                  <w:r>
                    <w:rPr>
                      <w:rFonts w:cs="Miriam"/>
                      <w:sz w:val="18"/>
                      <w:szCs w:val="18"/>
                      <w:rtl/>
                    </w:rPr>
                    <w:t>צי</w:t>
                  </w:r>
                  <w:r>
                    <w:rPr>
                      <w:rFonts w:cs="Miriam" w:hint="cs"/>
                      <w:sz w:val="18"/>
                      <w:szCs w:val="18"/>
                      <w:rtl/>
                    </w:rPr>
                    <w:t>ון שמות</w:t>
                  </w:r>
                </w:p>
              </w:txbxContent>
            </v:textbox>
            <w10:anchorlock/>
          </v:rect>
        </w:pict>
      </w:r>
      <w:r w:rsidRPr="007A2145">
        <w:rPr>
          <w:rStyle w:val="big-number"/>
          <w:rFonts w:cs="Miriam"/>
          <w:rtl/>
        </w:rPr>
        <w:t>3</w:t>
      </w:r>
      <w:r w:rsidRPr="007A2145">
        <w:rPr>
          <w:rStyle w:val="default"/>
          <w:rFonts w:cs="FrankRuehl"/>
          <w:rtl/>
        </w:rPr>
        <w:t>.</w:t>
      </w:r>
      <w:r w:rsidRPr="007A2145">
        <w:rPr>
          <w:rStyle w:val="default"/>
          <w:rFonts w:cs="FrankRuehl"/>
          <w:rtl/>
        </w:rPr>
        <w:tab/>
      </w:r>
      <w:r w:rsidRPr="00550B67">
        <w:rPr>
          <w:rStyle w:val="default"/>
          <w:rFonts w:cs="FrankRuehl"/>
          <w:rtl/>
        </w:rPr>
        <w:t>על אף האמור בסעיף 5(א)(4) שבפרק ב' להוראות, רשאי מוסד שלא לרשום שמו של תורם, אם יציין בשובר קבלה במקום המיועד לרישום שם המשלם, את המלים "תרומה בעילום שם".</w:t>
      </w:r>
    </w:p>
    <w:p w14:paraId="231B9308" w14:textId="77777777" w:rsidR="00EB6504" w:rsidRPr="00550B67" w:rsidRDefault="00EB6504">
      <w:pPr>
        <w:pStyle w:val="P00"/>
        <w:spacing w:before="72"/>
        <w:ind w:left="0" w:right="1134"/>
        <w:rPr>
          <w:rStyle w:val="default"/>
          <w:rFonts w:cs="FrankRuehl"/>
          <w:rtl/>
        </w:rPr>
      </w:pPr>
      <w:bookmarkStart w:id="3" w:name="Seif4"/>
      <w:bookmarkEnd w:id="3"/>
      <w:r w:rsidRPr="007A2145">
        <w:rPr>
          <w:rStyle w:val="default"/>
          <w:rFonts w:cs="Miriam"/>
          <w:sz w:val="32"/>
          <w:szCs w:val="32"/>
        </w:rPr>
        <w:pict w14:anchorId="5D9F2DE9">
          <v:rect id="_x0000_s1029" style="position:absolute;left:0;text-align:left;margin-left:464.5pt;margin-top:8.05pt;width:75.05pt;height:11.8pt;z-index:251658240" o:allowincell="f" filled="f" stroked="f" strokecolor="lime" strokeweight=".25pt">
            <v:textbox style="mso-next-textbox:#_x0000_s1029" inset="0,0,0,0">
              <w:txbxContent>
                <w:p w14:paraId="6760641A" w14:textId="77777777" w:rsidR="00EB6504" w:rsidRDefault="00EB6504">
                  <w:pPr>
                    <w:spacing w:line="160" w:lineRule="exact"/>
                    <w:rPr>
                      <w:rFonts w:cs="Miriam"/>
                      <w:noProof/>
                      <w:sz w:val="18"/>
                      <w:szCs w:val="18"/>
                      <w:rtl/>
                    </w:rPr>
                  </w:pPr>
                  <w:r>
                    <w:rPr>
                      <w:rFonts w:cs="Miriam"/>
                      <w:sz w:val="18"/>
                      <w:szCs w:val="18"/>
                      <w:rtl/>
                    </w:rPr>
                    <w:t>הכ</w:t>
                  </w:r>
                  <w:r>
                    <w:rPr>
                      <w:rFonts w:cs="Miriam" w:hint="cs"/>
                      <w:sz w:val="18"/>
                      <w:szCs w:val="18"/>
                      <w:rtl/>
                    </w:rPr>
                    <w:t>נסות מעסק</w:t>
                  </w:r>
                </w:p>
              </w:txbxContent>
            </v:textbox>
            <w10:anchorlock/>
          </v:rect>
        </w:pict>
      </w:r>
      <w:r w:rsidRPr="007A2145">
        <w:rPr>
          <w:rStyle w:val="default"/>
          <w:rFonts w:cs="Miriam"/>
          <w:sz w:val="32"/>
          <w:szCs w:val="32"/>
          <w:rtl/>
        </w:rPr>
        <w:t>4</w:t>
      </w:r>
      <w:r w:rsidRPr="007A2145">
        <w:rPr>
          <w:rStyle w:val="default"/>
          <w:rFonts w:cs="FrankRuehl"/>
          <w:rtl/>
        </w:rPr>
        <w:t>.</w:t>
      </w:r>
      <w:r w:rsidRPr="007A2145">
        <w:rPr>
          <w:rStyle w:val="default"/>
          <w:rFonts w:cs="FrankRuehl"/>
          <w:rtl/>
        </w:rPr>
        <w:tab/>
      </w:r>
      <w:r w:rsidRPr="00550B67">
        <w:rPr>
          <w:rStyle w:val="default"/>
          <w:rFonts w:cs="FrankRuehl"/>
          <w:rtl/>
        </w:rPr>
        <w:t>מוסד שיש לו הכנסה מעסק ינהל, בנוסף לאמור בהוראות אלה, מערכת פנקסים נפרדת לגבי הכנסתו מעסק, לפי התוספת המתאימה בהוראות.</w:t>
      </w:r>
    </w:p>
    <w:p w14:paraId="73E46EB9" w14:textId="77777777" w:rsidR="00EB6504" w:rsidRPr="00550B67" w:rsidRDefault="00EB6504">
      <w:pPr>
        <w:pStyle w:val="P00"/>
        <w:spacing w:before="72"/>
        <w:ind w:left="0" w:right="1134"/>
        <w:rPr>
          <w:rStyle w:val="default"/>
          <w:rFonts w:cs="FrankRuehl"/>
          <w:rtl/>
        </w:rPr>
      </w:pPr>
      <w:bookmarkStart w:id="4" w:name="Seif5"/>
      <w:bookmarkEnd w:id="4"/>
      <w:r w:rsidRPr="007A2145">
        <w:rPr>
          <w:rFonts w:cs="Miriam"/>
          <w:lang w:val="he-IL"/>
        </w:rPr>
        <w:pict w14:anchorId="3EB12DBE">
          <v:rect id="_x0000_s1030" style="position:absolute;left:0;text-align:left;margin-left:464.5pt;margin-top:8.05pt;width:75.05pt;height:15.2pt;z-index:251659264" o:allowincell="f" filled="f" stroked="f" strokecolor="lime" strokeweight=".25pt">
            <v:textbox style="mso-next-textbox:#_x0000_s1030" inset="0,0,0,0">
              <w:txbxContent>
                <w:p w14:paraId="5F3A2FF9" w14:textId="77777777" w:rsidR="00EB6504" w:rsidRDefault="00EB6504">
                  <w:pPr>
                    <w:spacing w:line="160" w:lineRule="exact"/>
                    <w:rPr>
                      <w:rFonts w:cs="Miriam"/>
                      <w:noProof/>
                      <w:sz w:val="18"/>
                      <w:szCs w:val="18"/>
                      <w:rtl/>
                    </w:rPr>
                  </w:pPr>
                  <w:r>
                    <w:rPr>
                      <w:rFonts w:cs="Miriam"/>
                      <w:sz w:val="18"/>
                      <w:szCs w:val="18"/>
                      <w:rtl/>
                    </w:rPr>
                    <w:t>הח</w:t>
                  </w:r>
                  <w:r>
                    <w:rPr>
                      <w:rFonts w:cs="Miriam" w:hint="cs"/>
                      <w:sz w:val="18"/>
                      <w:szCs w:val="18"/>
                      <w:rtl/>
                    </w:rPr>
                    <w:t>לת ההוראות</w:t>
                  </w:r>
                </w:p>
              </w:txbxContent>
            </v:textbox>
            <w10:anchorlock/>
          </v:rect>
        </w:pict>
      </w:r>
      <w:r w:rsidRPr="007A2145">
        <w:rPr>
          <w:rStyle w:val="big-number"/>
          <w:rFonts w:cs="Miriam"/>
          <w:rtl/>
        </w:rPr>
        <w:t>5</w:t>
      </w:r>
      <w:r w:rsidRPr="007A2145">
        <w:rPr>
          <w:rStyle w:val="default"/>
          <w:rFonts w:cs="FrankRuehl"/>
          <w:rtl/>
        </w:rPr>
        <w:t>.</w:t>
      </w:r>
      <w:r w:rsidRPr="007A2145">
        <w:rPr>
          <w:rStyle w:val="default"/>
          <w:rFonts w:cs="FrankRuehl"/>
          <w:rtl/>
        </w:rPr>
        <w:tab/>
      </w:r>
      <w:r w:rsidRPr="00550B67">
        <w:rPr>
          <w:rStyle w:val="default"/>
          <w:rFonts w:cs="FrankRuehl"/>
          <w:rtl/>
        </w:rPr>
        <w:t>ההוראות יחולו, בשינויים המחוייבים, על המוסד.</w:t>
      </w:r>
    </w:p>
    <w:p w14:paraId="1D78A0BA" w14:textId="77777777" w:rsidR="00EB6504" w:rsidRPr="00550B67" w:rsidRDefault="00EB6504">
      <w:pPr>
        <w:pStyle w:val="P00"/>
        <w:spacing w:before="72"/>
        <w:ind w:left="0" w:right="1134"/>
        <w:rPr>
          <w:rStyle w:val="default"/>
          <w:rFonts w:cs="FrankRuehl"/>
          <w:rtl/>
        </w:rPr>
      </w:pPr>
      <w:bookmarkStart w:id="5" w:name="Seif6"/>
      <w:bookmarkEnd w:id="5"/>
      <w:r w:rsidRPr="007A2145">
        <w:rPr>
          <w:rFonts w:cs="Miriam"/>
          <w:lang w:val="he-IL"/>
        </w:rPr>
        <w:pict w14:anchorId="2E34B3A8">
          <v:rect id="_x0000_s1031" style="position:absolute;left:0;text-align:left;margin-left:464.5pt;margin-top:8.05pt;width:75.05pt;height:13.6pt;z-index:251660288" o:allowincell="f" filled="f" stroked="f" strokecolor="lime" strokeweight=".25pt">
            <v:textbox style="mso-next-textbox:#_x0000_s1031" inset="0,0,0,0">
              <w:txbxContent>
                <w:p w14:paraId="392E9B70" w14:textId="77777777" w:rsidR="00EB6504" w:rsidRDefault="00EB6504">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7A2145">
        <w:rPr>
          <w:rStyle w:val="big-number"/>
          <w:rFonts w:cs="Miriam"/>
          <w:rtl/>
        </w:rPr>
        <w:t>6</w:t>
      </w:r>
      <w:r w:rsidRPr="007A2145">
        <w:rPr>
          <w:rStyle w:val="default"/>
          <w:rFonts w:cs="FrankRuehl"/>
          <w:rtl/>
        </w:rPr>
        <w:t>.</w:t>
      </w:r>
      <w:r w:rsidRPr="007A2145">
        <w:rPr>
          <w:rStyle w:val="default"/>
          <w:rFonts w:cs="FrankRuehl"/>
          <w:rtl/>
        </w:rPr>
        <w:tab/>
      </w:r>
      <w:r w:rsidRPr="00550B67">
        <w:rPr>
          <w:rStyle w:val="default"/>
          <w:rFonts w:cs="FrankRuehl"/>
          <w:rtl/>
        </w:rPr>
        <w:t>תחולתן של הוראות אלה בשנת המס 1993 ואילך.</w:t>
      </w:r>
    </w:p>
    <w:p w14:paraId="37BABA3D" w14:textId="77777777" w:rsidR="00EB6504" w:rsidRDefault="00EB6504">
      <w:pPr>
        <w:pStyle w:val="P00"/>
        <w:spacing w:before="72"/>
        <w:ind w:left="0" w:right="1134"/>
        <w:rPr>
          <w:rStyle w:val="default"/>
          <w:rFonts w:cs="FrankRuehl" w:hint="cs"/>
          <w:rtl/>
        </w:rPr>
      </w:pPr>
    </w:p>
    <w:p w14:paraId="1187989E" w14:textId="77777777" w:rsidR="007A2145" w:rsidRPr="007A2145" w:rsidRDefault="007A2145">
      <w:pPr>
        <w:pStyle w:val="P00"/>
        <w:spacing w:before="72"/>
        <w:ind w:left="0" w:right="1134"/>
        <w:rPr>
          <w:rStyle w:val="default"/>
          <w:rFonts w:cs="FrankRuehl" w:hint="cs"/>
          <w:rtl/>
        </w:rPr>
      </w:pPr>
    </w:p>
    <w:p w14:paraId="19F6B2CD" w14:textId="77777777" w:rsidR="00EB6504" w:rsidRDefault="00EB6504">
      <w:pPr>
        <w:pStyle w:val="sig-0"/>
        <w:ind w:left="0" w:right="1134"/>
        <w:rPr>
          <w:rFonts w:cs="FrankRuehl"/>
          <w:sz w:val="26"/>
          <w:rtl/>
        </w:rPr>
      </w:pPr>
      <w:r>
        <w:rPr>
          <w:rFonts w:cs="FrankRuehl"/>
          <w:sz w:val="26"/>
          <w:rtl/>
        </w:rPr>
        <w:t>י</w:t>
      </w:r>
      <w:r>
        <w:rPr>
          <w:rFonts w:cs="FrankRuehl" w:hint="cs"/>
          <w:sz w:val="26"/>
          <w:rtl/>
        </w:rPr>
        <w:t>"</w:t>
      </w:r>
      <w:r>
        <w:rPr>
          <w:rFonts w:cs="FrankRuehl"/>
          <w:sz w:val="26"/>
          <w:rtl/>
        </w:rPr>
        <w:t>ב</w:t>
      </w:r>
      <w:r>
        <w:rPr>
          <w:rFonts w:cs="FrankRuehl" w:hint="cs"/>
          <w:sz w:val="26"/>
          <w:rtl/>
        </w:rPr>
        <w:t xml:space="preserve"> באב תשנ"ב (11 באוגוסט 1992)</w:t>
      </w:r>
      <w:r>
        <w:rPr>
          <w:rFonts w:cs="FrankRuehl"/>
          <w:sz w:val="26"/>
          <w:rtl/>
        </w:rPr>
        <w:tab/>
        <w:t>מ</w:t>
      </w:r>
      <w:r>
        <w:rPr>
          <w:rFonts w:cs="FrankRuehl" w:hint="cs"/>
          <w:sz w:val="26"/>
          <w:rtl/>
        </w:rPr>
        <w:t>שה גביש</w:t>
      </w:r>
    </w:p>
    <w:p w14:paraId="28362E4D" w14:textId="77777777" w:rsidR="00EB6504" w:rsidRDefault="00EB650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נ</w:t>
      </w:r>
      <w:r>
        <w:rPr>
          <w:rFonts w:cs="FrankRuehl" w:hint="cs"/>
          <w:sz w:val="22"/>
          <w:rtl/>
        </w:rPr>
        <w:t>ציב מס הכנ</w:t>
      </w:r>
      <w:r>
        <w:rPr>
          <w:rFonts w:cs="FrankRuehl"/>
          <w:sz w:val="22"/>
          <w:rtl/>
        </w:rPr>
        <w:t>ס</w:t>
      </w:r>
      <w:r>
        <w:rPr>
          <w:rFonts w:cs="FrankRuehl" w:hint="cs"/>
          <w:sz w:val="22"/>
          <w:rtl/>
        </w:rPr>
        <w:t>ה</w:t>
      </w:r>
    </w:p>
    <w:p w14:paraId="419B12EB" w14:textId="77777777" w:rsidR="00EB6504" w:rsidRPr="007A2145" w:rsidRDefault="00EB6504" w:rsidP="007A2145">
      <w:pPr>
        <w:pStyle w:val="P00"/>
        <w:spacing w:before="72"/>
        <w:ind w:left="0" w:right="1134"/>
        <w:rPr>
          <w:rStyle w:val="default"/>
          <w:rFonts w:cs="FrankRuehl"/>
          <w:rtl/>
        </w:rPr>
      </w:pPr>
    </w:p>
    <w:p w14:paraId="75319E21" w14:textId="77777777" w:rsidR="00EB6504" w:rsidRPr="007A2145" w:rsidRDefault="00EB6504" w:rsidP="007A2145">
      <w:pPr>
        <w:pStyle w:val="P00"/>
        <w:spacing w:before="72"/>
        <w:ind w:left="0" w:right="1134"/>
        <w:rPr>
          <w:rStyle w:val="default"/>
          <w:rFonts w:cs="FrankRuehl"/>
          <w:rtl/>
        </w:rPr>
      </w:pPr>
    </w:p>
    <w:p w14:paraId="0B8C5340" w14:textId="77777777" w:rsidR="00EB6504" w:rsidRPr="007A2145" w:rsidRDefault="00EB6504" w:rsidP="007A2145">
      <w:pPr>
        <w:pStyle w:val="P00"/>
        <w:spacing w:before="72"/>
        <w:ind w:left="0" w:right="1134"/>
        <w:rPr>
          <w:rStyle w:val="default"/>
          <w:rFonts w:cs="FrankRuehl"/>
          <w:rtl/>
        </w:rPr>
      </w:pPr>
      <w:bookmarkStart w:id="6" w:name="LawPartEnd"/>
    </w:p>
    <w:bookmarkEnd w:id="6"/>
    <w:p w14:paraId="21626A16" w14:textId="77777777" w:rsidR="00EB6504" w:rsidRPr="007A2145" w:rsidRDefault="00EB6504" w:rsidP="007A2145">
      <w:pPr>
        <w:pStyle w:val="P00"/>
        <w:spacing w:before="72"/>
        <w:ind w:left="0" w:right="1134"/>
        <w:rPr>
          <w:rStyle w:val="default"/>
          <w:rFonts w:cs="FrankRuehl"/>
          <w:rtl/>
        </w:rPr>
      </w:pPr>
    </w:p>
    <w:sectPr w:rsidR="00EB6504" w:rsidRPr="007A214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68AE0" w14:textId="77777777" w:rsidR="00F3198A" w:rsidRDefault="00F3198A">
      <w:r>
        <w:separator/>
      </w:r>
    </w:p>
  </w:endnote>
  <w:endnote w:type="continuationSeparator" w:id="0">
    <w:p w14:paraId="3729B98A" w14:textId="77777777" w:rsidR="00F3198A" w:rsidRDefault="00F3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4F60" w14:textId="77777777" w:rsidR="00EB6504" w:rsidRDefault="00EB650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C7D6B0" w14:textId="77777777" w:rsidR="00EB6504" w:rsidRDefault="00EB650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83FC58" w14:textId="77777777" w:rsidR="00EB6504" w:rsidRDefault="00EB650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4FEB">
      <w:rPr>
        <w:rFonts w:cs="TopType Jerushalmi"/>
        <w:noProof/>
        <w:color w:val="000000"/>
        <w:sz w:val="14"/>
        <w:szCs w:val="14"/>
      </w:rPr>
      <w:t>Z:\000000000000-law\yael\08-10-12\255_198.doc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3E86" w14:textId="77777777" w:rsidR="00EB6504" w:rsidRDefault="00EB650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366B">
      <w:rPr>
        <w:rFonts w:hAnsi="FrankRuehl" w:cs="FrankRuehl"/>
        <w:noProof/>
        <w:sz w:val="24"/>
        <w:szCs w:val="24"/>
        <w:rtl/>
      </w:rPr>
      <w:t>2</w:t>
    </w:r>
    <w:r>
      <w:rPr>
        <w:rFonts w:hAnsi="FrankRuehl" w:cs="FrankRuehl"/>
        <w:sz w:val="24"/>
        <w:szCs w:val="24"/>
        <w:rtl/>
      </w:rPr>
      <w:fldChar w:fldCharType="end"/>
    </w:r>
  </w:p>
  <w:p w14:paraId="738B86B9" w14:textId="77777777" w:rsidR="00EB6504" w:rsidRDefault="00EB650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BC6490" w14:textId="77777777" w:rsidR="00EB6504" w:rsidRDefault="00EB650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4FEB">
      <w:rPr>
        <w:rFonts w:cs="TopType Jerushalmi"/>
        <w:noProof/>
        <w:color w:val="000000"/>
        <w:sz w:val="14"/>
        <w:szCs w:val="14"/>
      </w:rPr>
      <w:t>Z:\000000000000-law\yael\08-10-12\255_198.doc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0182" w14:textId="77777777" w:rsidR="00F3198A" w:rsidRDefault="00F3198A" w:rsidP="007A2145">
      <w:pPr>
        <w:spacing w:before="60"/>
        <w:ind w:right="1134"/>
      </w:pPr>
      <w:r>
        <w:separator/>
      </w:r>
    </w:p>
  </w:footnote>
  <w:footnote w:type="continuationSeparator" w:id="0">
    <w:p w14:paraId="3DA0D401" w14:textId="77777777" w:rsidR="00F3198A" w:rsidRDefault="00F3198A">
      <w:r>
        <w:continuationSeparator/>
      </w:r>
    </w:p>
  </w:footnote>
  <w:footnote w:id="1">
    <w:p w14:paraId="1522CAD7" w14:textId="77777777" w:rsidR="007A2145" w:rsidRPr="007A2145" w:rsidRDefault="007A2145" w:rsidP="007A21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7A2145">
        <w:rPr>
          <w:rFonts w:cs="FrankRuehl"/>
          <w:rtl/>
        </w:rPr>
        <w:t xml:space="preserve">* </w:t>
      </w:r>
      <w:r w:rsidRPr="00550B67">
        <w:rPr>
          <w:rFonts w:cs="FrankRuehl"/>
          <w:rtl/>
        </w:rPr>
        <w:t>פו</w:t>
      </w:r>
      <w:r w:rsidRPr="00550B67">
        <w:rPr>
          <w:rFonts w:cs="FrankRuehl" w:hint="cs"/>
          <w:rtl/>
        </w:rPr>
        <w:t xml:space="preserve">רסמו </w:t>
      </w:r>
      <w:hyperlink r:id="rId1" w:history="1">
        <w:r w:rsidRPr="00550B67">
          <w:rPr>
            <w:rStyle w:val="Hyperlink"/>
            <w:rFonts w:cs="FrankRuehl" w:hint="cs"/>
            <w:rtl/>
          </w:rPr>
          <w:t>ק"ת תשנ"ב מס' 5468</w:t>
        </w:r>
      </w:hyperlink>
      <w:r w:rsidRPr="00550B67">
        <w:rPr>
          <w:rFonts w:cs="FrankRuehl" w:hint="cs"/>
          <w:rtl/>
        </w:rPr>
        <w:t xml:space="preserve"> מיום 27.8.1992 עמ' 1473.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8908" w14:textId="77777777" w:rsidR="00EB6504" w:rsidRDefault="00EB650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הוראות מס הכנסה (ניהול פנקסי חשבונות על ידי מוסד), תשנ"ב–1992</w:t>
    </w:r>
  </w:p>
  <w:p w14:paraId="4274B81F" w14:textId="77777777" w:rsidR="00EB6504" w:rsidRDefault="00EB650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C84A4B" w14:textId="77777777" w:rsidR="00EB6504" w:rsidRDefault="00EB650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66FC" w14:textId="77777777" w:rsidR="00EB6504" w:rsidRDefault="00EB6504" w:rsidP="007A21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הוראות מס הכנסה (ניהול פנקסי חשבונות על ידי מוסד), תשנ"ב</w:t>
    </w:r>
    <w:r w:rsidR="007A2145">
      <w:rPr>
        <w:rFonts w:hAnsi="FrankRuehl" w:cs="FrankRuehl" w:hint="cs"/>
        <w:color w:val="000000"/>
        <w:sz w:val="28"/>
        <w:szCs w:val="28"/>
        <w:rtl/>
      </w:rPr>
      <w:t>-</w:t>
    </w:r>
    <w:r>
      <w:rPr>
        <w:rFonts w:hAnsi="FrankRuehl" w:cs="FrankRuehl"/>
        <w:color w:val="000000"/>
        <w:sz w:val="28"/>
        <w:szCs w:val="28"/>
        <w:rtl/>
      </w:rPr>
      <w:t>1992</w:t>
    </w:r>
  </w:p>
  <w:p w14:paraId="0697AC70" w14:textId="77777777" w:rsidR="00EB6504" w:rsidRDefault="00EB650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BF04D5" w14:textId="77777777" w:rsidR="00EB6504" w:rsidRDefault="00EB650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8916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0B67"/>
    <w:rsid w:val="0005366B"/>
    <w:rsid w:val="00424FEB"/>
    <w:rsid w:val="00550B67"/>
    <w:rsid w:val="00662007"/>
    <w:rsid w:val="007A2145"/>
    <w:rsid w:val="007B4685"/>
    <w:rsid w:val="007F7A4E"/>
    <w:rsid w:val="00BD388C"/>
    <w:rsid w:val="00D54D30"/>
    <w:rsid w:val="00EB6504"/>
    <w:rsid w:val="00F319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2D444F"/>
  <w15:chartTrackingRefBased/>
  <w15:docId w15:val="{BA66273B-8C81-447D-B9C1-FBC4BB7E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sid w:val="007A2145"/>
    <w:rPr>
      <w:sz w:val="20"/>
      <w:szCs w:val="20"/>
    </w:rPr>
  </w:style>
  <w:style w:type="character" w:styleId="a6">
    <w:name w:val="footnote reference"/>
    <w:basedOn w:val="a0"/>
    <w:semiHidden/>
    <w:rsid w:val="007A2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4570</CharactersWithSpaces>
  <SharedDoc>false</SharedDoc>
  <HLinks>
    <vt:vector size="42" baseType="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7995396</vt:i4>
      </vt:variant>
      <vt:variant>
        <vt:i4>0</vt:i4>
      </vt:variant>
      <vt:variant>
        <vt:i4>0</vt:i4>
      </vt:variant>
      <vt:variant>
        <vt:i4>5</vt:i4>
      </vt:variant>
      <vt:variant>
        <vt:lpwstr>http://www.nevo.co.il/Law_word/law06/TAK-5468.pdf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הוראות מס הכנסה (ניהול פנקסי חשבונות על ידי מוסד), תשנ"ב-1992</vt:lpwstr>
  </property>
  <property fmtid="{D5CDD505-2E9C-101B-9397-08002B2CF9AE}" pid="5" name="LAWNUMBER">
    <vt:lpwstr>0198</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130XאX4X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ניהול</vt:lpwstr>
  </property>
  <property fmtid="{D5CDD505-2E9C-101B-9397-08002B2CF9AE}" pid="12" name="NOSE41">
    <vt:lpwstr>פנקסי חשבונות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