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7E3C" w14:textId="77777777" w:rsidR="006C73A9" w:rsidRDefault="00661775" w:rsidP="00D90341">
      <w:pPr>
        <w:pStyle w:val="big-header"/>
        <w:ind w:left="0" w:right="1134"/>
        <w:rPr>
          <w:rFonts w:hint="cs"/>
          <w:rtl/>
        </w:rPr>
      </w:pPr>
      <w:r>
        <w:rPr>
          <w:rFonts w:hint="cs"/>
          <w:rtl/>
        </w:rPr>
        <w:t>הוראות</w:t>
      </w:r>
      <w:r w:rsidR="006C73A9">
        <w:rPr>
          <w:rtl/>
        </w:rPr>
        <w:t xml:space="preserve"> מס ערך מוסף (</w:t>
      </w:r>
      <w:r>
        <w:rPr>
          <w:rFonts w:hint="cs"/>
          <w:rtl/>
        </w:rPr>
        <w:t>פטור מחובת הובלת טובין עם חשבונית לאזור או לשטחי עזה ויריחו</w:t>
      </w:r>
      <w:r w:rsidR="006C73A9">
        <w:rPr>
          <w:rtl/>
        </w:rPr>
        <w:t xml:space="preserve">), </w:t>
      </w:r>
      <w:r>
        <w:rPr>
          <w:rFonts w:hint="cs"/>
          <w:rtl/>
        </w:rPr>
        <w:t>תשע"ז-2017</w:t>
      </w:r>
    </w:p>
    <w:p w14:paraId="5BB9AFB1" w14:textId="77777777" w:rsidR="00272D2B" w:rsidRDefault="00272D2B" w:rsidP="00272D2B">
      <w:pPr>
        <w:spacing w:line="320" w:lineRule="auto"/>
        <w:jc w:val="left"/>
        <w:rPr>
          <w:rFonts w:hint="cs"/>
          <w:rtl/>
        </w:rPr>
      </w:pPr>
    </w:p>
    <w:p w14:paraId="7D9608B7" w14:textId="77777777" w:rsidR="00227E94" w:rsidRDefault="00227E94" w:rsidP="00272D2B">
      <w:pPr>
        <w:spacing w:line="320" w:lineRule="auto"/>
        <w:jc w:val="left"/>
        <w:rPr>
          <w:rFonts w:hint="cs"/>
          <w:rtl/>
        </w:rPr>
      </w:pPr>
    </w:p>
    <w:p w14:paraId="7FD95880" w14:textId="77777777" w:rsidR="00272D2B" w:rsidRDefault="00272D2B" w:rsidP="00272D2B">
      <w:pPr>
        <w:spacing w:line="320" w:lineRule="auto"/>
        <w:jc w:val="left"/>
        <w:rPr>
          <w:rFonts w:cs="FrankRuehl"/>
          <w:szCs w:val="26"/>
          <w:rtl/>
        </w:rPr>
      </w:pPr>
      <w:r w:rsidRPr="00272D2B">
        <w:rPr>
          <w:rFonts w:cs="Miriam"/>
          <w:szCs w:val="22"/>
          <w:rtl/>
        </w:rPr>
        <w:t>מסים</w:t>
      </w:r>
      <w:r w:rsidRPr="00272D2B">
        <w:rPr>
          <w:rFonts w:cs="FrankRuehl"/>
          <w:szCs w:val="26"/>
          <w:rtl/>
        </w:rPr>
        <w:t xml:space="preserve"> – מס ערך מוסף – סדרי דין</w:t>
      </w:r>
    </w:p>
    <w:p w14:paraId="502528CD" w14:textId="77777777" w:rsidR="00272D2B" w:rsidRPr="00272D2B" w:rsidRDefault="00272D2B" w:rsidP="00272D2B">
      <w:pPr>
        <w:spacing w:line="320" w:lineRule="auto"/>
        <w:jc w:val="left"/>
        <w:rPr>
          <w:rFonts w:cs="Miriam"/>
          <w:szCs w:val="22"/>
          <w:rtl/>
        </w:rPr>
      </w:pPr>
      <w:r w:rsidRPr="00272D2B">
        <w:rPr>
          <w:rFonts w:cs="Miriam"/>
          <w:szCs w:val="22"/>
          <w:rtl/>
        </w:rPr>
        <w:t>מסים</w:t>
      </w:r>
      <w:r w:rsidRPr="00272D2B">
        <w:rPr>
          <w:rFonts w:cs="FrankRuehl"/>
          <w:szCs w:val="26"/>
          <w:rtl/>
        </w:rPr>
        <w:t xml:space="preserve"> – הרשות הפלסטינית</w:t>
      </w:r>
    </w:p>
    <w:p w14:paraId="3C9B1584" w14:textId="77777777" w:rsidR="006C73A9" w:rsidRDefault="006C73A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13BE" w:rsidRPr="00B913BE" w14:paraId="7915570D" w14:textId="77777777" w:rsidTr="00B913BE">
        <w:tblPrEx>
          <w:tblCellMar>
            <w:top w:w="0" w:type="dxa"/>
            <w:bottom w:w="0" w:type="dxa"/>
          </w:tblCellMar>
        </w:tblPrEx>
        <w:tc>
          <w:tcPr>
            <w:tcW w:w="1247" w:type="dxa"/>
          </w:tcPr>
          <w:p w14:paraId="24954903" w14:textId="77777777" w:rsidR="00B913BE" w:rsidRPr="00B913BE" w:rsidRDefault="00B913BE" w:rsidP="00B913BE">
            <w:pPr>
              <w:spacing w:line="240" w:lineRule="auto"/>
              <w:jc w:val="left"/>
              <w:rPr>
                <w:rFonts w:cs="Frankruhel"/>
                <w:sz w:val="24"/>
                <w:rtl/>
              </w:rPr>
            </w:pPr>
            <w:r>
              <w:rPr>
                <w:rFonts w:cs="Times New Roman"/>
                <w:sz w:val="24"/>
                <w:rtl/>
              </w:rPr>
              <w:t xml:space="preserve">סעיף 1 </w:t>
            </w:r>
          </w:p>
        </w:tc>
        <w:tc>
          <w:tcPr>
            <w:tcW w:w="5669" w:type="dxa"/>
          </w:tcPr>
          <w:p w14:paraId="0E1ECCB0" w14:textId="77777777" w:rsidR="00B913BE" w:rsidRPr="00B913BE" w:rsidRDefault="00B913BE" w:rsidP="00B913BE">
            <w:pPr>
              <w:spacing w:line="240" w:lineRule="auto"/>
              <w:jc w:val="left"/>
              <w:rPr>
                <w:rFonts w:cs="Frankruhel"/>
                <w:sz w:val="24"/>
                <w:rtl/>
              </w:rPr>
            </w:pPr>
            <w:r>
              <w:rPr>
                <w:rFonts w:cs="Times New Roman"/>
                <w:sz w:val="24"/>
                <w:rtl/>
              </w:rPr>
              <w:t>תנאים לפטור מהובלת טובין עם חשבונית</w:t>
            </w:r>
          </w:p>
        </w:tc>
        <w:tc>
          <w:tcPr>
            <w:tcW w:w="567" w:type="dxa"/>
          </w:tcPr>
          <w:p w14:paraId="4E9F322F" w14:textId="77777777" w:rsidR="00B913BE" w:rsidRPr="00B913BE" w:rsidRDefault="00B913BE" w:rsidP="00B913BE">
            <w:pPr>
              <w:spacing w:line="240" w:lineRule="auto"/>
              <w:jc w:val="left"/>
              <w:rPr>
                <w:rStyle w:val="Hyperlink"/>
                <w:rtl/>
              </w:rPr>
            </w:pPr>
            <w:hyperlink w:anchor="Seif1" w:tooltip="תנאים לפטור מהובלת טובין עם חשבונית" w:history="1">
              <w:r w:rsidRPr="00B913BE">
                <w:rPr>
                  <w:rStyle w:val="Hyperlink"/>
                </w:rPr>
                <w:t>Go</w:t>
              </w:r>
            </w:hyperlink>
          </w:p>
        </w:tc>
        <w:tc>
          <w:tcPr>
            <w:tcW w:w="850" w:type="dxa"/>
          </w:tcPr>
          <w:p w14:paraId="4C552265" w14:textId="77777777" w:rsidR="00B913BE" w:rsidRPr="00B913BE" w:rsidRDefault="00B913BE" w:rsidP="00B913B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13BE" w:rsidRPr="00B913BE" w14:paraId="78311575" w14:textId="77777777" w:rsidTr="00B913BE">
        <w:tblPrEx>
          <w:tblCellMar>
            <w:top w:w="0" w:type="dxa"/>
            <w:bottom w:w="0" w:type="dxa"/>
          </w:tblCellMar>
        </w:tblPrEx>
        <w:tc>
          <w:tcPr>
            <w:tcW w:w="1247" w:type="dxa"/>
          </w:tcPr>
          <w:p w14:paraId="42B9902C" w14:textId="77777777" w:rsidR="00B913BE" w:rsidRPr="00B913BE" w:rsidRDefault="00B913BE" w:rsidP="00B913BE">
            <w:pPr>
              <w:spacing w:line="240" w:lineRule="auto"/>
              <w:jc w:val="left"/>
              <w:rPr>
                <w:rFonts w:cs="Frankruhel"/>
                <w:sz w:val="24"/>
                <w:rtl/>
              </w:rPr>
            </w:pPr>
            <w:r>
              <w:rPr>
                <w:rFonts w:cs="Times New Roman"/>
                <w:sz w:val="24"/>
                <w:rtl/>
              </w:rPr>
              <w:t xml:space="preserve">סעיף 2 </w:t>
            </w:r>
          </w:p>
        </w:tc>
        <w:tc>
          <w:tcPr>
            <w:tcW w:w="5669" w:type="dxa"/>
          </w:tcPr>
          <w:p w14:paraId="63DCCAF6" w14:textId="77777777" w:rsidR="00B913BE" w:rsidRPr="00B913BE" w:rsidRDefault="00B913BE" w:rsidP="00B913BE">
            <w:pPr>
              <w:spacing w:line="240" w:lineRule="auto"/>
              <w:jc w:val="left"/>
              <w:rPr>
                <w:rFonts w:cs="Frankruhel"/>
                <w:sz w:val="24"/>
                <w:rtl/>
              </w:rPr>
            </w:pPr>
            <w:r>
              <w:rPr>
                <w:rFonts w:cs="Times New Roman"/>
                <w:sz w:val="24"/>
                <w:rtl/>
              </w:rPr>
              <w:t>בקשה לאישור מהממונה</w:t>
            </w:r>
          </w:p>
        </w:tc>
        <w:tc>
          <w:tcPr>
            <w:tcW w:w="567" w:type="dxa"/>
          </w:tcPr>
          <w:p w14:paraId="28633D8C" w14:textId="77777777" w:rsidR="00B913BE" w:rsidRPr="00B913BE" w:rsidRDefault="00B913BE" w:rsidP="00B913BE">
            <w:pPr>
              <w:spacing w:line="240" w:lineRule="auto"/>
              <w:jc w:val="left"/>
              <w:rPr>
                <w:rStyle w:val="Hyperlink"/>
                <w:rtl/>
              </w:rPr>
            </w:pPr>
            <w:hyperlink w:anchor="Seif2" w:tooltip="בקשה לאישור מהממונה" w:history="1">
              <w:r w:rsidRPr="00B913BE">
                <w:rPr>
                  <w:rStyle w:val="Hyperlink"/>
                </w:rPr>
                <w:t>Go</w:t>
              </w:r>
            </w:hyperlink>
          </w:p>
        </w:tc>
        <w:tc>
          <w:tcPr>
            <w:tcW w:w="850" w:type="dxa"/>
          </w:tcPr>
          <w:p w14:paraId="023CF935" w14:textId="77777777" w:rsidR="00B913BE" w:rsidRPr="00B913BE" w:rsidRDefault="00B913BE" w:rsidP="00B913B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13BE" w:rsidRPr="00B913BE" w14:paraId="7F8F63B4" w14:textId="77777777" w:rsidTr="00B913BE">
        <w:tblPrEx>
          <w:tblCellMar>
            <w:top w:w="0" w:type="dxa"/>
            <w:bottom w:w="0" w:type="dxa"/>
          </w:tblCellMar>
        </w:tblPrEx>
        <w:tc>
          <w:tcPr>
            <w:tcW w:w="1247" w:type="dxa"/>
          </w:tcPr>
          <w:p w14:paraId="0E1113FC" w14:textId="77777777" w:rsidR="00B913BE" w:rsidRPr="00B913BE" w:rsidRDefault="00B913BE" w:rsidP="00B913BE">
            <w:pPr>
              <w:spacing w:line="240" w:lineRule="auto"/>
              <w:jc w:val="left"/>
              <w:rPr>
                <w:rFonts w:cs="Frankruhel"/>
                <w:sz w:val="24"/>
                <w:rtl/>
              </w:rPr>
            </w:pPr>
            <w:r>
              <w:rPr>
                <w:rFonts w:cs="Times New Roman"/>
                <w:sz w:val="24"/>
                <w:rtl/>
              </w:rPr>
              <w:t xml:space="preserve">סעיף 3 </w:t>
            </w:r>
          </w:p>
        </w:tc>
        <w:tc>
          <w:tcPr>
            <w:tcW w:w="5669" w:type="dxa"/>
          </w:tcPr>
          <w:p w14:paraId="403852EF" w14:textId="77777777" w:rsidR="00B913BE" w:rsidRPr="00B913BE" w:rsidRDefault="00B913BE" w:rsidP="00B913BE">
            <w:pPr>
              <w:spacing w:line="240" w:lineRule="auto"/>
              <w:jc w:val="left"/>
              <w:rPr>
                <w:rFonts w:cs="Frankruhel"/>
                <w:sz w:val="24"/>
                <w:rtl/>
              </w:rPr>
            </w:pPr>
            <w:r>
              <w:rPr>
                <w:rFonts w:cs="Times New Roman"/>
                <w:sz w:val="24"/>
                <w:rtl/>
              </w:rPr>
              <w:t>ביטול או התליית אישור</w:t>
            </w:r>
          </w:p>
        </w:tc>
        <w:tc>
          <w:tcPr>
            <w:tcW w:w="567" w:type="dxa"/>
          </w:tcPr>
          <w:p w14:paraId="4BD270FE" w14:textId="77777777" w:rsidR="00B913BE" w:rsidRPr="00B913BE" w:rsidRDefault="00B913BE" w:rsidP="00B913BE">
            <w:pPr>
              <w:spacing w:line="240" w:lineRule="auto"/>
              <w:jc w:val="left"/>
              <w:rPr>
                <w:rStyle w:val="Hyperlink"/>
                <w:rtl/>
              </w:rPr>
            </w:pPr>
            <w:hyperlink w:anchor="Seif3" w:tooltip="ביטול או התליית אישור" w:history="1">
              <w:r w:rsidRPr="00B913BE">
                <w:rPr>
                  <w:rStyle w:val="Hyperlink"/>
                </w:rPr>
                <w:t>Go</w:t>
              </w:r>
            </w:hyperlink>
          </w:p>
        </w:tc>
        <w:tc>
          <w:tcPr>
            <w:tcW w:w="850" w:type="dxa"/>
          </w:tcPr>
          <w:p w14:paraId="634595C4" w14:textId="77777777" w:rsidR="00B913BE" w:rsidRPr="00B913BE" w:rsidRDefault="00B913BE" w:rsidP="00B913B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13BE" w:rsidRPr="00B913BE" w14:paraId="38806C53" w14:textId="77777777" w:rsidTr="00B913BE">
        <w:tblPrEx>
          <w:tblCellMar>
            <w:top w:w="0" w:type="dxa"/>
            <w:bottom w:w="0" w:type="dxa"/>
          </w:tblCellMar>
        </w:tblPrEx>
        <w:tc>
          <w:tcPr>
            <w:tcW w:w="1247" w:type="dxa"/>
          </w:tcPr>
          <w:p w14:paraId="3AF0F8FC" w14:textId="77777777" w:rsidR="00B913BE" w:rsidRPr="00B913BE" w:rsidRDefault="00B913BE" w:rsidP="00B913BE">
            <w:pPr>
              <w:spacing w:line="240" w:lineRule="auto"/>
              <w:jc w:val="left"/>
              <w:rPr>
                <w:rFonts w:cs="Frankruhel"/>
                <w:sz w:val="24"/>
                <w:rtl/>
              </w:rPr>
            </w:pPr>
            <w:r>
              <w:rPr>
                <w:rFonts w:cs="Times New Roman"/>
                <w:sz w:val="24"/>
                <w:rtl/>
              </w:rPr>
              <w:t xml:space="preserve">סעיף 4 </w:t>
            </w:r>
          </w:p>
        </w:tc>
        <w:tc>
          <w:tcPr>
            <w:tcW w:w="5669" w:type="dxa"/>
          </w:tcPr>
          <w:p w14:paraId="498CBA7B" w14:textId="77777777" w:rsidR="00B913BE" w:rsidRPr="00B913BE" w:rsidRDefault="00B913BE" w:rsidP="00B913BE">
            <w:pPr>
              <w:spacing w:line="240" w:lineRule="auto"/>
              <w:jc w:val="left"/>
              <w:rPr>
                <w:rFonts w:cs="Frankruhel"/>
                <w:sz w:val="24"/>
                <w:rtl/>
              </w:rPr>
            </w:pPr>
            <w:r>
              <w:rPr>
                <w:rFonts w:cs="Times New Roman"/>
                <w:sz w:val="24"/>
                <w:rtl/>
              </w:rPr>
              <w:t>תחילה</w:t>
            </w:r>
          </w:p>
        </w:tc>
        <w:tc>
          <w:tcPr>
            <w:tcW w:w="567" w:type="dxa"/>
          </w:tcPr>
          <w:p w14:paraId="36DADFD8" w14:textId="77777777" w:rsidR="00B913BE" w:rsidRPr="00B913BE" w:rsidRDefault="00B913BE" w:rsidP="00B913BE">
            <w:pPr>
              <w:spacing w:line="240" w:lineRule="auto"/>
              <w:jc w:val="left"/>
              <w:rPr>
                <w:rStyle w:val="Hyperlink"/>
                <w:rtl/>
              </w:rPr>
            </w:pPr>
            <w:hyperlink w:anchor="Seif4" w:tooltip="תחילה" w:history="1">
              <w:r w:rsidRPr="00B913BE">
                <w:rPr>
                  <w:rStyle w:val="Hyperlink"/>
                </w:rPr>
                <w:t>Go</w:t>
              </w:r>
            </w:hyperlink>
          </w:p>
        </w:tc>
        <w:tc>
          <w:tcPr>
            <w:tcW w:w="850" w:type="dxa"/>
          </w:tcPr>
          <w:p w14:paraId="05CA2F2C" w14:textId="77777777" w:rsidR="00B913BE" w:rsidRPr="00B913BE" w:rsidRDefault="00B913BE" w:rsidP="00B913B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1C86E9D" w14:textId="77777777" w:rsidR="006C73A9" w:rsidRDefault="006C73A9">
      <w:pPr>
        <w:pStyle w:val="big-header"/>
        <w:ind w:left="0" w:right="1134"/>
        <w:rPr>
          <w:rtl/>
        </w:rPr>
      </w:pPr>
    </w:p>
    <w:p w14:paraId="71485B4B" w14:textId="77777777" w:rsidR="006C73A9" w:rsidRDefault="006C73A9" w:rsidP="00272D2B">
      <w:pPr>
        <w:pStyle w:val="big-header"/>
        <w:ind w:left="0" w:right="1134"/>
        <w:rPr>
          <w:rStyle w:val="super"/>
          <w:rFonts w:hint="cs"/>
          <w:noProof w:val="0"/>
          <w:rtl/>
        </w:rPr>
      </w:pPr>
      <w:r>
        <w:rPr>
          <w:rtl/>
        </w:rPr>
        <w:br w:type="page"/>
      </w:r>
      <w:r w:rsidR="00661775" w:rsidRPr="00661775">
        <w:rPr>
          <w:rFonts w:hint="cs"/>
          <w:rtl/>
        </w:rPr>
        <w:lastRenderedPageBreak/>
        <w:t xml:space="preserve"> </w:t>
      </w:r>
      <w:r w:rsidR="00661775">
        <w:rPr>
          <w:rFonts w:hint="cs"/>
          <w:rtl/>
        </w:rPr>
        <w:t>הוראות</w:t>
      </w:r>
      <w:r w:rsidR="00661775">
        <w:rPr>
          <w:rtl/>
        </w:rPr>
        <w:t xml:space="preserve"> מס ערך מוסף (</w:t>
      </w:r>
      <w:r w:rsidR="00661775">
        <w:rPr>
          <w:rFonts w:hint="cs"/>
          <w:rtl/>
        </w:rPr>
        <w:t>פטור מחובת הובלת טובין עם חשבונית לאזור או לשטחי עזה ויריחו</w:t>
      </w:r>
      <w:r w:rsidR="00661775">
        <w:rPr>
          <w:rtl/>
        </w:rPr>
        <w:t xml:space="preserve">), </w:t>
      </w:r>
      <w:r w:rsidR="00661775">
        <w:rPr>
          <w:rFonts w:hint="cs"/>
          <w:rtl/>
        </w:rPr>
        <w:t>תשע"ז-2017</w:t>
      </w:r>
      <w:r w:rsidR="00D90341">
        <w:rPr>
          <w:rStyle w:val="a6"/>
          <w:rtl/>
        </w:rPr>
        <w:footnoteReference w:customMarkFollows="1" w:id="1"/>
        <w:t>*</w:t>
      </w:r>
    </w:p>
    <w:p w14:paraId="7FE3396A" w14:textId="77777777" w:rsidR="006C73A9" w:rsidRDefault="006C73A9" w:rsidP="00D9034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DF51B1">
        <w:rPr>
          <w:rStyle w:val="default"/>
          <w:rFonts w:cs="FrankRuehl" w:hint="cs"/>
          <w:rtl/>
        </w:rPr>
        <w:t>129(א)</w:t>
      </w:r>
      <w:r>
        <w:rPr>
          <w:rStyle w:val="default"/>
          <w:rFonts w:cs="FrankRuehl" w:hint="cs"/>
          <w:rtl/>
        </w:rPr>
        <w:t xml:space="preserve"> לחוק מס ערך מוסף, </w:t>
      </w:r>
      <w:r w:rsidR="00DF51B1">
        <w:rPr>
          <w:rStyle w:val="default"/>
          <w:rFonts w:cs="FrankRuehl" w:hint="cs"/>
          <w:rtl/>
        </w:rPr>
        <w:t>ה</w:t>
      </w:r>
      <w:r>
        <w:rPr>
          <w:rStyle w:val="default"/>
          <w:rFonts w:cs="FrankRuehl"/>
          <w:rtl/>
        </w:rPr>
        <w:t>ת</w:t>
      </w:r>
      <w:r>
        <w:rPr>
          <w:rStyle w:val="default"/>
          <w:rFonts w:cs="FrankRuehl" w:hint="cs"/>
          <w:rtl/>
        </w:rPr>
        <w:t>של"ו</w:t>
      </w:r>
      <w:r w:rsidR="00D90341">
        <w:rPr>
          <w:rStyle w:val="default"/>
          <w:rFonts w:cs="FrankRuehl" w:hint="cs"/>
          <w:rtl/>
        </w:rPr>
        <w:t>-</w:t>
      </w:r>
      <w:r>
        <w:rPr>
          <w:rStyle w:val="default"/>
          <w:rFonts w:cs="FrankRuehl" w:hint="cs"/>
          <w:rtl/>
        </w:rPr>
        <w:t xml:space="preserve">1975 (להלן </w:t>
      </w:r>
      <w:r w:rsidR="00227E94">
        <w:rPr>
          <w:rStyle w:val="default"/>
          <w:rFonts w:cs="FrankRuehl"/>
          <w:rtl/>
        </w:rPr>
        <w:t>–</w:t>
      </w:r>
      <w:r>
        <w:rPr>
          <w:rStyle w:val="default"/>
          <w:rFonts w:cs="FrankRuehl" w:hint="cs"/>
          <w:rtl/>
        </w:rPr>
        <w:t xml:space="preserve"> החוק), אני </w:t>
      </w:r>
      <w:r w:rsidR="00DF51B1">
        <w:rPr>
          <w:rStyle w:val="default"/>
          <w:rFonts w:cs="FrankRuehl" w:hint="cs"/>
          <w:rtl/>
        </w:rPr>
        <w:t>קובע הוראות</w:t>
      </w:r>
      <w:r>
        <w:rPr>
          <w:rStyle w:val="default"/>
          <w:rFonts w:cs="FrankRuehl" w:hint="cs"/>
          <w:rtl/>
        </w:rPr>
        <w:t xml:space="preserve"> אלה:</w:t>
      </w:r>
    </w:p>
    <w:p w14:paraId="4B1E8A5F" w14:textId="77777777" w:rsidR="006C73A9" w:rsidRDefault="006C73A9">
      <w:pPr>
        <w:pStyle w:val="P00"/>
        <w:spacing w:before="72"/>
        <w:ind w:left="0" w:right="1134"/>
        <w:rPr>
          <w:rStyle w:val="default"/>
          <w:rFonts w:cs="FrankRuehl" w:hint="cs"/>
          <w:rtl/>
        </w:rPr>
      </w:pPr>
      <w:bookmarkStart w:id="0" w:name="Seif1"/>
      <w:bookmarkEnd w:id="0"/>
      <w:r>
        <w:rPr>
          <w:lang w:val="he-IL"/>
        </w:rPr>
        <w:pict w14:anchorId="4DF94375">
          <v:rect id="_x0000_s1026" style="position:absolute;left:0;text-align:left;margin-left:464.5pt;margin-top:8.05pt;width:75.05pt;height:28.65pt;z-index:251656192" o:allowincell="f" filled="f" stroked="f" strokecolor="lime" strokeweight=".25pt">
            <v:textbox style="mso-next-textbox:#_x0000_s1026" inset="0,0,0,0">
              <w:txbxContent>
                <w:p w14:paraId="17329CD6" w14:textId="77777777" w:rsidR="006C73A9" w:rsidRDefault="005774D6" w:rsidP="00D90341">
                  <w:pPr>
                    <w:spacing w:line="160" w:lineRule="exact"/>
                    <w:jc w:val="left"/>
                    <w:rPr>
                      <w:rFonts w:cs="Miriam"/>
                      <w:noProof/>
                      <w:szCs w:val="18"/>
                      <w:rtl/>
                    </w:rPr>
                  </w:pPr>
                  <w:r>
                    <w:rPr>
                      <w:rFonts w:cs="Miriam" w:hint="cs"/>
                      <w:szCs w:val="18"/>
                      <w:rtl/>
                    </w:rPr>
                    <w:t>תנאים לפטור מהובלת טובין עם חשבונית</w:t>
                  </w:r>
                </w:p>
              </w:txbxContent>
            </v:textbox>
            <w10:anchorlock/>
          </v:rect>
        </w:pict>
      </w:r>
      <w:r>
        <w:rPr>
          <w:rStyle w:val="big-number"/>
          <w:rtl/>
        </w:rPr>
        <w:t>1.</w:t>
      </w:r>
      <w:r>
        <w:rPr>
          <w:rStyle w:val="big-number"/>
          <w:rtl/>
        </w:rPr>
        <w:tab/>
      </w:r>
      <w:r w:rsidR="005774D6">
        <w:rPr>
          <w:rStyle w:val="default"/>
          <w:rFonts w:cs="FrankRuehl" w:hint="cs"/>
          <w:rtl/>
        </w:rPr>
        <w:t xml:space="preserve">עוסק מורשה יהיה רשאי להוביל טובין בכלי הובלה לאזור או לשטחי עזה ויריחו, בלא חשבונית לפי סעיף 129(ב)(1) לחוק, אם </w:t>
      </w:r>
      <w:r w:rsidR="005774D6">
        <w:rPr>
          <w:rStyle w:val="default"/>
          <w:rFonts w:cs="FrankRuehl"/>
          <w:rtl/>
        </w:rPr>
        <w:t>–</w:t>
      </w:r>
    </w:p>
    <w:p w14:paraId="6DAF49E2" w14:textId="77777777" w:rsidR="006C73A9" w:rsidRDefault="006C73A9" w:rsidP="0007181E">
      <w:pPr>
        <w:pStyle w:val="P00"/>
        <w:spacing w:before="72"/>
        <w:ind w:left="624" w:right="1134"/>
        <w:rPr>
          <w:rStyle w:val="default"/>
          <w:rFonts w:cs="FrankRuehl"/>
          <w:rtl/>
        </w:rPr>
      </w:pPr>
      <w:r>
        <w:rPr>
          <w:rStyle w:val="default"/>
          <w:rFonts w:cs="FrankRuehl"/>
          <w:rtl/>
        </w:rPr>
        <w:t>(1)</w:t>
      </w:r>
      <w:r>
        <w:rPr>
          <w:rStyle w:val="default"/>
          <w:rFonts w:cs="FrankRuehl"/>
          <w:rtl/>
        </w:rPr>
        <w:tab/>
      </w:r>
      <w:r w:rsidR="005774D6">
        <w:rPr>
          <w:rStyle w:val="default"/>
          <w:rFonts w:cs="FrankRuehl" w:hint="cs"/>
          <w:rtl/>
        </w:rPr>
        <w:t>לטובין כאמור צורפה תעודת משלוח או חשבונית לפי סעיף 45 לחוק או לפי סעיף 47 לחוק, לפי העניין</w:t>
      </w:r>
      <w:r>
        <w:rPr>
          <w:rStyle w:val="default"/>
          <w:rFonts w:cs="FrankRuehl" w:hint="cs"/>
          <w:rtl/>
        </w:rPr>
        <w:t>;</w:t>
      </w:r>
    </w:p>
    <w:p w14:paraId="78B2481A" w14:textId="77777777" w:rsidR="005774D6" w:rsidRDefault="005774D6" w:rsidP="000718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התקיימו לגביו כל אלה:</w:t>
      </w:r>
    </w:p>
    <w:p w14:paraId="6A8507F3" w14:textId="77777777" w:rsidR="005774D6" w:rsidRDefault="005774D6" w:rsidP="005774D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בכל חודש בשנה שקדמה להגשת בקשה לקבלת אישור או לחידושו כאמור בסעיף 2, העוסק המורשה עשה אחד מאלה:</w:t>
      </w:r>
    </w:p>
    <w:p w14:paraId="0C8EF4E2" w14:textId="77777777" w:rsidR="005774D6" w:rsidRDefault="005774D6" w:rsidP="001E2F2A">
      <w:pPr>
        <w:pStyle w:val="P00"/>
        <w:spacing w:before="72"/>
        <w:ind w:left="1474" w:right="1134"/>
        <w:rPr>
          <w:rStyle w:val="default"/>
          <w:rFonts w:cs="FrankRuehl" w:hint="cs"/>
          <w:rtl/>
        </w:rPr>
      </w:pPr>
      <w:r>
        <w:rPr>
          <w:rStyle w:val="default"/>
          <w:rFonts w:cs="FrankRuehl" w:hint="cs"/>
          <w:rtl/>
        </w:rPr>
        <w:t>(1)</w:t>
      </w:r>
      <w:r>
        <w:rPr>
          <w:rStyle w:val="default"/>
          <w:rFonts w:cs="FrankRuehl"/>
          <w:rtl/>
        </w:rPr>
        <w:tab/>
      </w:r>
      <w:r w:rsidR="001E2F2A">
        <w:rPr>
          <w:rStyle w:val="default"/>
          <w:rFonts w:cs="FrankRuehl" w:hint="cs"/>
          <w:rtl/>
        </w:rPr>
        <w:t>הוציא 60 חשבוניות מס לפחות כאמור בסעיף 47(ב)(2) לחוק בחודש לעוסק, למוסד כספי או למלכ"ר הרשומים בידי הרשות הפלסטינית;</w:t>
      </w:r>
    </w:p>
    <w:p w14:paraId="63554263" w14:textId="77777777" w:rsidR="001E2F2A" w:rsidRDefault="001E2F2A" w:rsidP="001E2F2A">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ביצע 60 הובלות בחודש לפחות של טובין בכלי הובלה לעוסק, למוסד כספי או למלכ"ר הרשומים בידי הרשות הפלסטינית, ולטובין צורפה תעודת משלוח או חשבונית, כאמור בפסקה (1), שעובד רשות המסים באחד מהמעברים המפורטים להלן כמשמעותם בצו יישום הסכם הביניים בדבר הגדה המערבית ורצועת עזה (סמכויות שיפוט והוראות אחרות) (תיקוני חקיקה) (נקודות בדיקה), התשס"ח-2008, חתם עליה:</w:t>
      </w:r>
    </w:p>
    <w:p w14:paraId="58E0CA52" w14:textId="77777777" w:rsidR="001E2F2A" w:rsidRDefault="001E2F2A" w:rsidP="00EE39EC">
      <w:pPr>
        <w:pStyle w:val="P00"/>
        <w:spacing w:before="72"/>
        <w:ind w:left="1928" w:right="1134"/>
        <w:rPr>
          <w:rStyle w:val="default"/>
          <w:rFonts w:cs="FrankRuehl" w:hint="cs"/>
          <w:rtl/>
        </w:rPr>
      </w:pPr>
      <w:r>
        <w:rPr>
          <w:rStyle w:val="default"/>
          <w:rFonts w:cs="FrankRuehl" w:hint="cs"/>
          <w:rtl/>
        </w:rPr>
        <w:t>(1)</w:t>
      </w:r>
      <w:r>
        <w:rPr>
          <w:rStyle w:val="default"/>
          <w:rFonts w:cs="FrankRuehl"/>
          <w:rtl/>
        </w:rPr>
        <w:tab/>
      </w:r>
      <w:r w:rsidR="00EE39EC">
        <w:rPr>
          <w:rStyle w:val="default"/>
          <w:rFonts w:cs="FrankRuehl" w:hint="cs"/>
          <w:rtl/>
        </w:rPr>
        <w:t>מעבר תרקומיא;</w:t>
      </w:r>
    </w:p>
    <w:p w14:paraId="42BE9D61" w14:textId="77777777" w:rsidR="00EE39EC" w:rsidRDefault="00EE39EC" w:rsidP="00EE39EC">
      <w:pPr>
        <w:pStyle w:val="P00"/>
        <w:spacing w:before="72"/>
        <w:ind w:left="1928"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מעבר הגלבוע (ג'למה);</w:t>
      </w:r>
    </w:p>
    <w:p w14:paraId="25A87A2A" w14:textId="77777777" w:rsidR="00EE39EC" w:rsidRDefault="00EE39EC" w:rsidP="00EE39EC">
      <w:pPr>
        <w:pStyle w:val="P00"/>
        <w:spacing w:before="72"/>
        <w:ind w:left="1928"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מעבר עופר (ביתוניא);</w:t>
      </w:r>
    </w:p>
    <w:p w14:paraId="4B6374A0" w14:textId="77777777" w:rsidR="00EE39EC" w:rsidRDefault="00EE39EC" w:rsidP="00EE39EC">
      <w:pPr>
        <w:pStyle w:val="P00"/>
        <w:spacing w:before="72"/>
        <w:ind w:left="1928"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מעבר שער אפרים;</w:t>
      </w:r>
    </w:p>
    <w:p w14:paraId="417DF006" w14:textId="77777777" w:rsidR="00EE39EC" w:rsidRDefault="00EE39EC" w:rsidP="00EE39EC">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מעבר כרם שלום;</w:t>
      </w:r>
    </w:p>
    <w:p w14:paraId="176DDE1D" w14:textId="77777777" w:rsidR="00EE39EC" w:rsidRDefault="00EE39EC" w:rsidP="00EE39EC">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sidR="00C25B05">
        <w:rPr>
          <w:rStyle w:val="default"/>
          <w:rFonts w:cs="FrankRuehl" w:hint="cs"/>
          <w:rtl/>
        </w:rPr>
        <w:t>העוסק המורשה נדרש לנהל מערכת חשבונות ממוחשבת לפי שיטת החשבונאות הכפולה בהתאם להוראות מס הכנסה (ניהול פנקסי חשבונות), התשל"ג-1973;</w:t>
      </w:r>
    </w:p>
    <w:p w14:paraId="6CEEC065" w14:textId="77777777" w:rsidR="00C25B05" w:rsidRDefault="00C25B05" w:rsidP="00EE39EC">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 xml:space="preserve">ממונה יחידת קישור מע"מ לרשות הפלסטינית (להלן </w:t>
      </w:r>
      <w:r>
        <w:rPr>
          <w:rStyle w:val="default"/>
          <w:rFonts w:cs="FrankRuehl"/>
          <w:rtl/>
        </w:rPr>
        <w:t>–</w:t>
      </w:r>
      <w:r>
        <w:rPr>
          <w:rStyle w:val="default"/>
          <w:rFonts w:cs="FrankRuehl" w:hint="cs"/>
          <w:rtl/>
        </w:rPr>
        <w:t xml:space="preserve"> הממונה) בדק ולא מצא כי בשלוש השנים שקדמו להגשת הבקשה לאישור או לחידושו, לפי העניין, כאמור בסעיף 2 העוסק המורשה הפר חובות החלות עליו לפי חוקי המס;</w:t>
      </w:r>
    </w:p>
    <w:p w14:paraId="1E57D5EF" w14:textId="77777777" w:rsidR="00C25B05" w:rsidRDefault="00C25B05" w:rsidP="00EE39EC">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הטובין שלגביהם הוגשה הבקשה לאישור או לחידושו כאמור בסעיף 2 הוכנסו לאזור או לשטחי עזה ויריחו במעברים המפורטים בפסקה (2)(א)(2).</w:t>
      </w:r>
    </w:p>
    <w:p w14:paraId="2AB6F363" w14:textId="77777777" w:rsidR="006C73A9" w:rsidRDefault="006C73A9">
      <w:pPr>
        <w:pStyle w:val="P00"/>
        <w:spacing w:before="72"/>
        <w:ind w:left="0" w:right="1134"/>
        <w:rPr>
          <w:rStyle w:val="default"/>
          <w:rFonts w:cs="FrankRuehl"/>
          <w:rtl/>
        </w:rPr>
      </w:pPr>
      <w:bookmarkStart w:id="1" w:name="Seif2"/>
      <w:bookmarkEnd w:id="1"/>
      <w:r>
        <w:rPr>
          <w:lang w:val="he-IL"/>
        </w:rPr>
        <w:pict w14:anchorId="6E9DB3B9">
          <v:rect id="_x0000_s1027" style="position:absolute;left:0;text-align:left;margin-left:464.5pt;margin-top:8.05pt;width:75.05pt;height:19.45pt;z-index:251657216" o:allowincell="f" filled="f" stroked="f" strokecolor="lime" strokeweight=".25pt">
            <v:textbox inset="0,0,0,0">
              <w:txbxContent>
                <w:p w14:paraId="17D57F23" w14:textId="77777777" w:rsidR="006C73A9" w:rsidRDefault="00C25B05">
                  <w:pPr>
                    <w:spacing w:line="160" w:lineRule="exact"/>
                    <w:jc w:val="left"/>
                    <w:rPr>
                      <w:rFonts w:cs="Miriam"/>
                      <w:noProof/>
                      <w:szCs w:val="18"/>
                      <w:rtl/>
                    </w:rPr>
                  </w:pPr>
                  <w:r>
                    <w:rPr>
                      <w:rFonts w:cs="Miriam" w:hint="cs"/>
                      <w:szCs w:val="18"/>
                      <w:rtl/>
                    </w:rPr>
                    <w:t>בקשה לאישור מהממונה</w:t>
                  </w:r>
                </w:p>
              </w:txbxContent>
            </v:textbox>
            <w10:anchorlock/>
          </v:rect>
        </w:pict>
      </w:r>
      <w:r>
        <w:rPr>
          <w:rStyle w:val="big-number"/>
          <w:rtl/>
        </w:rPr>
        <w:t>2.</w:t>
      </w:r>
      <w:r>
        <w:rPr>
          <w:rStyle w:val="big-number"/>
          <w:rtl/>
        </w:rPr>
        <w:tab/>
      </w:r>
      <w:r w:rsidR="00C25B05">
        <w:rPr>
          <w:rStyle w:val="default"/>
          <w:rFonts w:cs="FrankRuehl" w:hint="cs"/>
          <w:rtl/>
        </w:rPr>
        <w:t>עוסק המבקש פטור מחובת הובלת טובין עם חשבונית לפי הוראות אלה יגיש לממונה בקשה בכתב לקבלת אישורו או לחידוש אישורו; בדק הממונה ומצא כי מתקיימים בעוסק כאמור התנאים שבסעיף 1 ימציא לו אישור על כך; אישור הממונה כאמור יינתן לתקופה שלא תעלה על שנה.</w:t>
      </w:r>
    </w:p>
    <w:p w14:paraId="47A3F455" w14:textId="77777777" w:rsidR="006C73A9" w:rsidRDefault="006C73A9">
      <w:pPr>
        <w:pStyle w:val="P00"/>
        <w:spacing w:before="72"/>
        <w:ind w:left="0" w:right="1134"/>
        <w:rPr>
          <w:rStyle w:val="default"/>
          <w:rFonts w:cs="FrankRuehl" w:hint="cs"/>
          <w:rtl/>
        </w:rPr>
      </w:pPr>
      <w:bookmarkStart w:id="2" w:name="Seif3"/>
      <w:bookmarkEnd w:id="2"/>
      <w:r>
        <w:rPr>
          <w:lang w:val="he-IL"/>
        </w:rPr>
        <w:pict w14:anchorId="3304A057">
          <v:rect id="_x0000_s1032" style="position:absolute;left:0;text-align:left;margin-left:464.5pt;margin-top:8.05pt;width:75.05pt;height:21pt;z-index:251658240" o:allowincell="f" filled="f" stroked="f" strokecolor="lime" strokeweight=".25pt">
            <v:textbox style="mso-next-textbox:#_x0000_s1032" inset="0,0,0,0">
              <w:txbxContent>
                <w:p w14:paraId="354F97C7" w14:textId="77777777" w:rsidR="006C73A9" w:rsidRDefault="00C25B05">
                  <w:pPr>
                    <w:spacing w:line="160" w:lineRule="exact"/>
                    <w:jc w:val="left"/>
                    <w:rPr>
                      <w:rFonts w:cs="Miriam"/>
                      <w:noProof/>
                      <w:szCs w:val="18"/>
                      <w:rtl/>
                    </w:rPr>
                  </w:pPr>
                  <w:r>
                    <w:rPr>
                      <w:rFonts w:cs="Miriam" w:hint="cs"/>
                      <w:szCs w:val="18"/>
                      <w:rtl/>
                    </w:rPr>
                    <w:t>ביטול או התליית אישור</w:t>
                  </w:r>
                </w:p>
              </w:txbxContent>
            </v:textbox>
            <w10:anchorlock/>
          </v:rect>
        </w:pict>
      </w:r>
      <w:r>
        <w:rPr>
          <w:rStyle w:val="big-number"/>
          <w:rtl/>
        </w:rPr>
        <w:t>3.</w:t>
      </w:r>
      <w:r>
        <w:rPr>
          <w:rStyle w:val="big-number"/>
          <w:rtl/>
        </w:rPr>
        <w:tab/>
      </w:r>
      <w:r w:rsidR="00C25B05">
        <w:rPr>
          <w:rStyle w:val="default"/>
          <w:rFonts w:cs="FrankRuehl" w:hint="cs"/>
          <w:rtl/>
        </w:rPr>
        <w:t>(א)</w:t>
      </w:r>
      <w:r w:rsidR="00C25B05">
        <w:rPr>
          <w:rStyle w:val="default"/>
          <w:rFonts w:cs="FrankRuehl"/>
          <w:rtl/>
        </w:rPr>
        <w:tab/>
      </w:r>
      <w:r w:rsidR="00C25B05">
        <w:rPr>
          <w:rStyle w:val="default"/>
          <w:rFonts w:cs="FrankRuehl" w:hint="cs"/>
          <w:rtl/>
        </w:rPr>
        <w:t xml:space="preserve">מצא הממונה כי חדל העוסק המורשה לעמוד באחד או יותר מהתנאים לפטור, כאמור בסעיף 1, רשאי הוא </w:t>
      </w:r>
      <w:r w:rsidR="00C25B05">
        <w:rPr>
          <w:rStyle w:val="default"/>
          <w:rFonts w:cs="FrankRuehl"/>
          <w:rtl/>
        </w:rPr>
        <w:t>–</w:t>
      </w:r>
    </w:p>
    <w:p w14:paraId="77E132C6" w14:textId="77777777" w:rsidR="00C25B05" w:rsidRDefault="00C25B05" w:rsidP="007D59B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7D59B8">
        <w:rPr>
          <w:rStyle w:val="default"/>
          <w:rFonts w:cs="FrankRuehl" w:hint="cs"/>
          <w:rtl/>
        </w:rPr>
        <w:t>להתלות את האישור שנתן לעוסק מורשה עד אשר העוסק המורשה יגיש בקשה לחידוש האישור כאמור בסעיף 2 ותונח דעתו של הממונה, כי שוב מתקיימים בו התנאים לקבלת האישור;</w:t>
      </w:r>
    </w:p>
    <w:p w14:paraId="1565C43A" w14:textId="77777777" w:rsidR="007D59B8" w:rsidRDefault="007D59B8" w:rsidP="007D59B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לבטל את האישור שנתן לעוסק המורשה.</w:t>
      </w:r>
    </w:p>
    <w:p w14:paraId="7C25A6EE" w14:textId="77777777" w:rsidR="007D59B8" w:rsidRDefault="007D59B8">
      <w:pPr>
        <w:pStyle w:val="P00"/>
        <w:spacing w:before="72"/>
        <w:ind w:left="0" w:right="1134"/>
        <w:rPr>
          <w:rStyle w:val="default"/>
          <w:rFonts w:cs="FrankRuehl" w:hint="cs"/>
          <w:rtl/>
        </w:rPr>
      </w:pPr>
      <w:r>
        <w:rPr>
          <w:rStyle w:val="default"/>
          <w:rFonts w:cs="FrankRuehl"/>
          <w:rtl/>
        </w:rPr>
        <w:lastRenderedPageBreak/>
        <w:tab/>
      </w:r>
      <w:r>
        <w:rPr>
          <w:rStyle w:val="default"/>
          <w:rFonts w:cs="FrankRuehl" w:hint="cs"/>
          <w:rtl/>
        </w:rPr>
        <w:t>(ב)</w:t>
      </w:r>
      <w:r>
        <w:rPr>
          <w:rStyle w:val="default"/>
          <w:rFonts w:cs="FrankRuehl"/>
          <w:rtl/>
        </w:rPr>
        <w:tab/>
      </w:r>
      <w:r w:rsidR="00017622">
        <w:rPr>
          <w:rStyle w:val="default"/>
          <w:rFonts w:cs="FrankRuehl" w:hint="cs"/>
          <w:rtl/>
        </w:rPr>
        <w:t>הותלה אישור או בוטל כאמור בסעיף קטן (א), יודיע על כך הממונה לעוסק המורשה בהודעה בכתב בסמוך למועד ההתליה או הביטול, לפי העניין.</w:t>
      </w:r>
    </w:p>
    <w:p w14:paraId="4B81EBB3" w14:textId="77777777" w:rsidR="00017622" w:rsidRDefault="0001762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765F64">
        <w:rPr>
          <w:rStyle w:val="default"/>
          <w:rFonts w:cs="FrankRuehl" w:hint="cs"/>
          <w:rtl/>
        </w:rPr>
        <w:t xml:space="preserve">שוכנע </w:t>
      </w:r>
      <w:r w:rsidR="00F554CB">
        <w:rPr>
          <w:rStyle w:val="default"/>
          <w:rFonts w:cs="FrankRuehl" w:hint="cs"/>
          <w:rtl/>
        </w:rPr>
        <w:t>המנהל על יסוד תשתית שגורמי הביטחון והמשטרה הציגה לו כי קיים חשש סביר לפגיעה בביטחון המדינה או בטובת הציבור רשאי הוא לבטל אישור שנתן הממונה או להתלותו בהחלטה מנומקת בכתב.</w:t>
      </w:r>
    </w:p>
    <w:p w14:paraId="523C19F4" w14:textId="77777777" w:rsidR="00F554CB" w:rsidRDefault="00F554C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לא יסרב לתת אישור והאישור לא יבוטל או יותלה כאמור בסעיף קטן (ב) או (ג), אלא לאחר שניתנה למבקש האישור או חידושו, הזדמנות להשמיע את טענותיו.</w:t>
      </w:r>
    </w:p>
    <w:p w14:paraId="66BC7D01" w14:textId="77777777" w:rsidR="0007181E" w:rsidRDefault="0007181E" w:rsidP="0007181E">
      <w:pPr>
        <w:pStyle w:val="P00"/>
        <w:spacing w:before="72"/>
        <w:ind w:left="0" w:right="1134"/>
        <w:rPr>
          <w:rStyle w:val="default"/>
          <w:rFonts w:cs="FrankRuehl"/>
          <w:rtl/>
        </w:rPr>
      </w:pPr>
      <w:bookmarkStart w:id="3" w:name="Seif4"/>
      <w:bookmarkEnd w:id="3"/>
      <w:r>
        <w:rPr>
          <w:lang w:val="he-IL"/>
        </w:rPr>
        <w:pict w14:anchorId="5388053E">
          <v:rect id="_x0000_s1035" style="position:absolute;left:0;text-align:left;margin-left:464.5pt;margin-top:8.05pt;width:75.05pt;height:8pt;z-index:251659264" o:allowincell="f" filled="f" stroked="f" strokecolor="lime" strokeweight=".25pt">
            <v:textbox style="mso-next-textbox:#_x0000_s1035" inset="0,0,0,0">
              <w:txbxContent>
                <w:p w14:paraId="15667CC9" w14:textId="77777777" w:rsidR="0007181E" w:rsidRDefault="0007181E" w:rsidP="0007181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sidR="00F554CB">
        <w:rPr>
          <w:rStyle w:val="big-number"/>
          <w:rFonts w:hint="cs"/>
          <w:rtl/>
        </w:rPr>
        <w:t>4</w:t>
      </w:r>
      <w:r>
        <w:rPr>
          <w:rStyle w:val="big-number"/>
          <w:rtl/>
        </w:rPr>
        <w:t>.</w:t>
      </w:r>
      <w:r>
        <w:rPr>
          <w:rStyle w:val="big-number"/>
          <w:rtl/>
        </w:rPr>
        <w:tab/>
      </w:r>
      <w:r>
        <w:rPr>
          <w:rStyle w:val="default"/>
          <w:rFonts w:cs="FrankRuehl"/>
          <w:rtl/>
        </w:rPr>
        <w:t>ת</w:t>
      </w:r>
      <w:r>
        <w:rPr>
          <w:rStyle w:val="default"/>
          <w:rFonts w:cs="FrankRuehl" w:hint="cs"/>
          <w:rtl/>
        </w:rPr>
        <w:t xml:space="preserve">חילתן של תקנות אלה </w:t>
      </w:r>
      <w:r w:rsidR="00F563E0">
        <w:rPr>
          <w:rStyle w:val="default"/>
          <w:rFonts w:cs="FrankRuehl" w:hint="cs"/>
          <w:rtl/>
        </w:rPr>
        <w:t>60 ימים מיום פרסומן</w:t>
      </w:r>
      <w:r>
        <w:rPr>
          <w:rStyle w:val="default"/>
          <w:rFonts w:cs="FrankRuehl" w:hint="cs"/>
          <w:rtl/>
        </w:rPr>
        <w:t>.</w:t>
      </w:r>
    </w:p>
    <w:p w14:paraId="6814879F" w14:textId="77777777" w:rsidR="0007181E" w:rsidRDefault="0007181E">
      <w:pPr>
        <w:pStyle w:val="P00"/>
        <w:spacing w:before="72"/>
        <w:ind w:left="0" w:right="1134"/>
        <w:rPr>
          <w:rStyle w:val="default"/>
          <w:rFonts w:cs="FrankRuehl"/>
          <w:rtl/>
        </w:rPr>
      </w:pPr>
    </w:p>
    <w:p w14:paraId="76A3CD0E" w14:textId="77777777" w:rsidR="006C73A9" w:rsidRDefault="006C73A9">
      <w:pPr>
        <w:pStyle w:val="P00"/>
        <w:spacing w:before="72"/>
        <w:ind w:left="0" w:right="1134"/>
        <w:rPr>
          <w:rStyle w:val="default"/>
          <w:rFonts w:cs="FrankRuehl"/>
          <w:rtl/>
        </w:rPr>
      </w:pPr>
    </w:p>
    <w:p w14:paraId="04FE7A51" w14:textId="77777777" w:rsidR="006C73A9" w:rsidRDefault="00F563E0" w:rsidP="00227E9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כ"ח באב התשע"ז (20 באוגוסט 2017</w:t>
      </w:r>
      <w:r w:rsidR="006C73A9">
        <w:rPr>
          <w:rStyle w:val="default"/>
          <w:rFonts w:cs="FrankRuehl" w:hint="cs"/>
          <w:rtl/>
        </w:rPr>
        <w:t>)</w:t>
      </w:r>
      <w:r w:rsidR="00D90341">
        <w:rPr>
          <w:rStyle w:val="default"/>
          <w:rFonts w:cs="FrankRuehl" w:hint="cs"/>
          <w:rtl/>
        </w:rPr>
        <w:tab/>
      </w:r>
      <w:r>
        <w:rPr>
          <w:rStyle w:val="default"/>
          <w:rFonts w:cs="FrankRuehl" w:hint="cs"/>
          <w:rtl/>
        </w:rPr>
        <w:t>משה אשר</w:t>
      </w:r>
    </w:p>
    <w:p w14:paraId="31A71C04" w14:textId="77777777" w:rsidR="006C73A9" w:rsidRDefault="006C73A9" w:rsidP="00227E94">
      <w:pPr>
        <w:pStyle w:val="sig-1"/>
        <w:widowControl/>
        <w:tabs>
          <w:tab w:val="clear" w:pos="851"/>
          <w:tab w:val="clear" w:pos="2835"/>
          <w:tab w:val="clear" w:pos="4820"/>
          <w:tab w:val="center" w:pos="5670"/>
        </w:tabs>
        <w:ind w:left="0" w:right="1134"/>
        <w:rPr>
          <w:rtl/>
        </w:rPr>
      </w:pPr>
      <w:r>
        <w:rPr>
          <w:rtl/>
        </w:rPr>
        <w:tab/>
      </w:r>
      <w:r>
        <w:rPr>
          <w:rFonts w:hint="cs"/>
          <w:rtl/>
        </w:rPr>
        <w:t xml:space="preserve">מנהל </w:t>
      </w:r>
      <w:r w:rsidR="00F563E0">
        <w:rPr>
          <w:rFonts w:hint="cs"/>
          <w:rtl/>
        </w:rPr>
        <w:t>רשות המסים</w:t>
      </w:r>
    </w:p>
    <w:p w14:paraId="72EA8DD5" w14:textId="77777777" w:rsidR="0007181E" w:rsidRPr="00D90341" w:rsidRDefault="0007181E" w:rsidP="00D90341">
      <w:pPr>
        <w:pStyle w:val="P00"/>
        <w:spacing w:before="72"/>
        <w:ind w:left="0" w:right="1134"/>
        <w:rPr>
          <w:rStyle w:val="default"/>
          <w:rFonts w:cs="FrankRuehl"/>
          <w:rtl/>
        </w:rPr>
      </w:pPr>
    </w:p>
    <w:p w14:paraId="2B50100D" w14:textId="77777777" w:rsidR="006C73A9" w:rsidRPr="00D90341" w:rsidRDefault="006C73A9" w:rsidP="00D90341">
      <w:pPr>
        <w:pStyle w:val="P00"/>
        <w:spacing w:before="72"/>
        <w:ind w:left="0" w:right="1134"/>
        <w:rPr>
          <w:rStyle w:val="default"/>
          <w:rFonts w:cs="FrankRuehl"/>
          <w:rtl/>
        </w:rPr>
      </w:pPr>
    </w:p>
    <w:p w14:paraId="39849D50" w14:textId="77777777" w:rsidR="006C73A9" w:rsidRPr="00D90341" w:rsidRDefault="006C73A9" w:rsidP="00D90341">
      <w:pPr>
        <w:pStyle w:val="P00"/>
        <w:spacing w:before="72"/>
        <w:ind w:left="0" w:right="1134"/>
        <w:rPr>
          <w:rStyle w:val="default"/>
          <w:rFonts w:cs="FrankRuehl"/>
          <w:rtl/>
        </w:rPr>
      </w:pPr>
      <w:bookmarkStart w:id="4" w:name="LawPartEnd"/>
    </w:p>
    <w:bookmarkEnd w:id="4"/>
    <w:p w14:paraId="2F93D0B1" w14:textId="77777777" w:rsidR="00B913BE" w:rsidRDefault="00B913BE" w:rsidP="00D90341">
      <w:pPr>
        <w:pStyle w:val="P00"/>
        <w:spacing w:before="72"/>
        <w:ind w:left="0" w:right="1134"/>
        <w:rPr>
          <w:rStyle w:val="default"/>
          <w:rFonts w:cs="FrankRuehl"/>
          <w:rtl/>
        </w:rPr>
      </w:pPr>
    </w:p>
    <w:p w14:paraId="54B9ECD8" w14:textId="77777777" w:rsidR="00B913BE" w:rsidRDefault="00B913BE" w:rsidP="00D90341">
      <w:pPr>
        <w:pStyle w:val="P00"/>
        <w:spacing w:before="72"/>
        <w:ind w:left="0" w:right="1134"/>
        <w:rPr>
          <w:rStyle w:val="default"/>
          <w:rFonts w:cs="FrankRuehl"/>
          <w:rtl/>
        </w:rPr>
      </w:pPr>
    </w:p>
    <w:p w14:paraId="7BBFEC70" w14:textId="77777777" w:rsidR="00B913BE" w:rsidRDefault="00B913BE" w:rsidP="00B913BE">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CDE79F4" w14:textId="77777777" w:rsidR="006C73A9" w:rsidRPr="00B913BE" w:rsidRDefault="006C73A9" w:rsidP="00B913BE">
      <w:pPr>
        <w:pStyle w:val="P00"/>
        <w:spacing w:before="72"/>
        <w:ind w:left="0" w:right="1134"/>
        <w:jc w:val="center"/>
        <w:rPr>
          <w:rStyle w:val="default"/>
          <w:rFonts w:cs="David"/>
          <w:color w:val="0000FF"/>
          <w:szCs w:val="24"/>
          <w:u w:val="single"/>
          <w:rtl/>
        </w:rPr>
      </w:pPr>
    </w:p>
    <w:sectPr w:rsidR="006C73A9" w:rsidRPr="00B913B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234D" w14:textId="77777777" w:rsidR="00D25766" w:rsidRDefault="00D25766">
      <w:r>
        <w:separator/>
      </w:r>
    </w:p>
  </w:endnote>
  <w:endnote w:type="continuationSeparator" w:id="0">
    <w:p w14:paraId="31A0F0EB" w14:textId="77777777" w:rsidR="00D25766" w:rsidRDefault="00D2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E1B0" w14:textId="77777777" w:rsidR="006C73A9" w:rsidRDefault="006C73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6FFB5A" w14:textId="77777777" w:rsidR="006C73A9" w:rsidRDefault="006C73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0A5A13" w14:textId="77777777" w:rsidR="006C73A9" w:rsidRDefault="006C73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0341">
      <w:rPr>
        <w:rFonts w:cs="TopType Jerushalmi"/>
        <w:noProof/>
        <w:color w:val="000000"/>
        <w:sz w:val="14"/>
        <w:szCs w:val="14"/>
      </w:rPr>
      <w:t>C:\Yael\hakika\Revadim\271_044.doc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A1DC" w14:textId="77777777" w:rsidR="006C73A9" w:rsidRDefault="006C73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13BE">
      <w:rPr>
        <w:rFonts w:hAnsi="FrankRuehl" w:cs="FrankRuehl"/>
        <w:noProof/>
        <w:sz w:val="24"/>
        <w:szCs w:val="24"/>
        <w:rtl/>
      </w:rPr>
      <w:t>3</w:t>
    </w:r>
    <w:r>
      <w:rPr>
        <w:rFonts w:hAnsi="FrankRuehl" w:cs="FrankRuehl"/>
        <w:sz w:val="24"/>
        <w:szCs w:val="24"/>
        <w:rtl/>
      </w:rPr>
      <w:fldChar w:fldCharType="end"/>
    </w:r>
  </w:p>
  <w:p w14:paraId="3FBA29AC" w14:textId="77777777" w:rsidR="006C73A9" w:rsidRDefault="006C73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DD8087" w14:textId="77777777" w:rsidR="006C73A9" w:rsidRDefault="006C73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0341">
      <w:rPr>
        <w:rFonts w:cs="TopType Jerushalmi"/>
        <w:noProof/>
        <w:color w:val="000000"/>
        <w:sz w:val="14"/>
        <w:szCs w:val="14"/>
      </w:rPr>
      <w:t>C:\Yael\hakika\Revadim\271_044.doc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FAFC" w14:textId="77777777" w:rsidR="00D25766" w:rsidRDefault="00D25766" w:rsidP="00D90341">
      <w:pPr>
        <w:spacing w:before="60" w:line="240" w:lineRule="auto"/>
        <w:ind w:right="1134"/>
      </w:pPr>
      <w:r>
        <w:separator/>
      </w:r>
    </w:p>
  </w:footnote>
  <w:footnote w:type="continuationSeparator" w:id="0">
    <w:p w14:paraId="38A3E1B2" w14:textId="77777777" w:rsidR="00D25766" w:rsidRDefault="00D25766">
      <w:r>
        <w:continuationSeparator/>
      </w:r>
    </w:p>
  </w:footnote>
  <w:footnote w:id="1">
    <w:p w14:paraId="4DFEA13E" w14:textId="77777777" w:rsidR="0097288A" w:rsidRPr="00D90341" w:rsidRDefault="00D90341" w:rsidP="00972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D90341">
        <w:rPr>
          <w:sz w:val="20"/>
          <w:rtl/>
        </w:rPr>
        <w:t xml:space="preserve">* </w:t>
      </w:r>
      <w:r>
        <w:rPr>
          <w:sz w:val="20"/>
          <w:rtl/>
        </w:rPr>
        <w:t>פ</w:t>
      </w:r>
      <w:r>
        <w:rPr>
          <w:rFonts w:hint="cs"/>
          <w:sz w:val="20"/>
          <w:rtl/>
        </w:rPr>
        <w:t>ורסמ</w:t>
      </w:r>
      <w:r>
        <w:rPr>
          <w:sz w:val="20"/>
          <w:rtl/>
        </w:rPr>
        <w:t>ו</w:t>
      </w:r>
      <w:r>
        <w:rPr>
          <w:rFonts w:hint="cs"/>
          <w:sz w:val="20"/>
          <w:rtl/>
        </w:rPr>
        <w:t xml:space="preserve"> </w:t>
      </w:r>
      <w:hyperlink r:id="rId1" w:history="1">
        <w:r w:rsidRPr="0097288A">
          <w:rPr>
            <w:rStyle w:val="Hyperlink"/>
            <w:rFonts w:hint="cs"/>
            <w:sz w:val="20"/>
            <w:rtl/>
          </w:rPr>
          <w:t>ק"ת תש</w:t>
        </w:r>
        <w:r w:rsidR="00661775" w:rsidRPr="0097288A">
          <w:rPr>
            <w:rStyle w:val="Hyperlink"/>
            <w:rFonts w:hint="cs"/>
            <w:sz w:val="20"/>
            <w:rtl/>
          </w:rPr>
          <w:t>ע"ז</w:t>
        </w:r>
        <w:r w:rsidRPr="0097288A">
          <w:rPr>
            <w:rStyle w:val="Hyperlink"/>
            <w:rFonts w:hint="cs"/>
            <w:sz w:val="20"/>
            <w:rtl/>
          </w:rPr>
          <w:t xml:space="preserve"> מס' </w:t>
        </w:r>
        <w:r w:rsidR="00661775" w:rsidRPr="0097288A">
          <w:rPr>
            <w:rStyle w:val="Hyperlink"/>
            <w:rFonts w:hint="cs"/>
            <w:sz w:val="20"/>
            <w:rtl/>
          </w:rPr>
          <w:t>7863</w:t>
        </w:r>
      </w:hyperlink>
      <w:r>
        <w:rPr>
          <w:rFonts w:hint="cs"/>
          <w:sz w:val="20"/>
          <w:rtl/>
        </w:rPr>
        <w:t xml:space="preserve"> מיום </w:t>
      </w:r>
      <w:r w:rsidR="00661775">
        <w:rPr>
          <w:rFonts w:hint="cs"/>
          <w:sz w:val="20"/>
          <w:rtl/>
        </w:rPr>
        <w:t>14.9.2017</w:t>
      </w:r>
      <w:r>
        <w:rPr>
          <w:rFonts w:hint="cs"/>
          <w:sz w:val="20"/>
          <w:rtl/>
        </w:rPr>
        <w:t xml:space="preserve"> עמ' </w:t>
      </w:r>
      <w:r w:rsidR="00661775">
        <w:rPr>
          <w:rFonts w:hint="cs"/>
          <w:sz w:val="20"/>
          <w:rtl/>
        </w:rPr>
        <w:t>1746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F22F" w14:textId="77777777" w:rsidR="006C73A9" w:rsidRDefault="006C73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(קביעת פרטים שיש לכלול בחשבונית שהוציא עוסק תושב אזור או תושב שטחי עזה ויריחו או שהוצאו לו ופרטים שיש לכלול בתעודת משלוח שהוציא), תשנ"ו–1996</w:t>
    </w:r>
  </w:p>
  <w:p w14:paraId="6928E949" w14:textId="77777777" w:rsidR="006C73A9" w:rsidRDefault="006C73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8A8B3B" w14:textId="77777777" w:rsidR="006C73A9" w:rsidRDefault="006C73A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C76F" w14:textId="77777777" w:rsidR="006C73A9" w:rsidRDefault="00DE379E" w:rsidP="00D90341">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הוראות</w:t>
    </w:r>
    <w:r w:rsidR="006C73A9">
      <w:rPr>
        <w:rFonts w:hAnsi="FrankRuehl" w:cs="FrankRuehl"/>
        <w:color w:val="000000"/>
        <w:sz w:val="28"/>
        <w:szCs w:val="28"/>
        <w:rtl/>
      </w:rPr>
      <w:t xml:space="preserve"> מס ערך מוסף (</w:t>
    </w:r>
    <w:r>
      <w:rPr>
        <w:rFonts w:hAnsi="FrankRuehl" w:cs="FrankRuehl" w:hint="cs"/>
        <w:color w:val="000000"/>
        <w:sz w:val="28"/>
        <w:szCs w:val="28"/>
        <w:rtl/>
      </w:rPr>
      <w:t>פטור מחובת הובלת טובין עם חשבונית לאזור או לשטחי עזה ויריחו), תשע"ז-2017</w:t>
    </w:r>
  </w:p>
  <w:p w14:paraId="4899D3D3" w14:textId="77777777" w:rsidR="006C73A9" w:rsidRDefault="006C73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603213" w14:textId="77777777" w:rsidR="006C73A9" w:rsidRDefault="006C73A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59A0"/>
    <w:rsid w:val="00017622"/>
    <w:rsid w:val="0007181E"/>
    <w:rsid w:val="000C660E"/>
    <w:rsid w:val="00172CD0"/>
    <w:rsid w:val="001E2F2A"/>
    <w:rsid w:val="001E65E5"/>
    <w:rsid w:val="00227E94"/>
    <w:rsid w:val="002603D6"/>
    <w:rsid w:val="00261A60"/>
    <w:rsid w:val="00272D2B"/>
    <w:rsid w:val="00320B58"/>
    <w:rsid w:val="004E57D3"/>
    <w:rsid w:val="00514D34"/>
    <w:rsid w:val="005774D6"/>
    <w:rsid w:val="00661775"/>
    <w:rsid w:val="006A7B69"/>
    <w:rsid w:val="006C73A9"/>
    <w:rsid w:val="006D058B"/>
    <w:rsid w:val="00765F64"/>
    <w:rsid w:val="00780BAF"/>
    <w:rsid w:val="00796B39"/>
    <w:rsid w:val="007D59B8"/>
    <w:rsid w:val="00807191"/>
    <w:rsid w:val="00945724"/>
    <w:rsid w:val="0097288A"/>
    <w:rsid w:val="00B913BE"/>
    <w:rsid w:val="00C25B05"/>
    <w:rsid w:val="00D25766"/>
    <w:rsid w:val="00D5287D"/>
    <w:rsid w:val="00D90341"/>
    <w:rsid w:val="00DE379E"/>
    <w:rsid w:val="00DF51B1"/>
    <w:rsid w:val="00E14684"/>
    <w:rsid w:val="00EE39EC"/>
    <w:rsid w:val="00F459A0"/>
    <w:rsid w:val="00F5151F"/>
    <w:rsid w:val="00F539E5"/>
    <w:rsid w:val="00F554CB"/>
    <w:rsid w:val="00F563E0"/>
    <w:rsid w:val="00F812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5E05918"/>
  <w15:chartTrackingRefBased/>
  <w15:docId w15:val="{527CDC40-FE95-499F-8900-BF95B4C9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90341"/>
    <w:rPr>
      <w:sz w:val="20"/>
      <w:szCs w:val="20"/>
    </w:rPr>
  </w:style>
  <w:style w:type="character" w:styleId="a6">
    <w:name w:val="footnote reference"/>
    <w:semiHidden/>
    <w:rsid w:val="00D90341"/>
    <w:rPr>
      <w:vertAlign w:val="superscript"/>
    </w:rPr>
  </w:style>
  <w:style w:type="character" w:customStyle="1" w:styleId="UnresolvedMention">
    <w:name w:val="Unresolved Mention"/>
    <w:uiPriority w:val="99"/>
    <w:semiHidden/>
    <w:unhideWhenUsed/>
    <w:rsid w:val="006D05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271</vt:lpstr>
    </vt:vector>
  </TitlesOfParts>
  <Company/>
  <LinksUpToDate>false</LinksUpToDate>
  <CharactersWithSpaces>3413</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7864323</vt:i4>
      </vt:variant>
      <vt:variant>
        <vt:i4>0</vt:i4>
      </vt:variant>
      <vt:variant>
        <vt:i4>0</vt:i4>
      </vt:variant>
      <vt:variant>
        <vt:i4>5</vt:i4>
      </vt:variant>
      <vt:variant>
        <vt:lpwstr>http://www.nevo.co.il/Law_word/law06/tak-7863.pdf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ערך מוסף</vt:lpwstr>
  </property>
  <property fmtid="{D5CDD505-2E9C-101B-9397-08002B2CF9AE}" pid="4" name="LAWNAME">
    <vt:lpwstr>הוראות מס ערך מוסף (פטור מחובת הובלת טובין עם חשבונית לאזור או לשטחי עזה ויריחו), תשע"ז-2017</vt:lpwstr>
  </property>
  <property fmtid="{D5CDD505-2E9C-101B-9397-08002B2CF9AE}" pid="5" name="LAWNUMBER">
    <vt:lpwstr>0673</vt:lpwstr>
  </property>
  <property fmtid="{D5CDD505-2E9C-101B-9397-08002B2CF9AE}" pid="6" name="TYPE">
    <vt:lpwstr>01</vt:lpwstr>
  </property>
  <property fmtid="{D5CDD505-2E9C-101B-9397-08002B2CF9AE}" pid="7" name="MEKOR_NAME1">
    <vt:lpwstr>חוק מס ערך מוסף</vt:lpwstr>
  </property>
  <property fmtid="{D5CDD505-2E9C-101B-9397-08002B2CF9AE}" pid="8" name="MEKOR_SAIF1">
    <vt:lpwstr>129XאX</vt:lpwstr>
  </property>
  <property fmtid="{D5CDD505-2E9C-101B-9397-08002B2CF9AE}" pid="9" name="NOSE11">
    <vt:lpwstr>מסים</vt:lpwstr>
  </property>
  <property fmtid="{D5CDD505-2E9C-101B-9397-08002B2CF9AE}" pid="10" name="NOSE21">
    <vt:lpwstr>מס ערך מוסף</vt:lpwstr>
  </property>
  <property fmtid="{D5CDD505-2E9C-101B-9397-08002B2CF9AE}" pid="11" name="NOSE31">
    <vt:lpwstr>סדרי דין</vt:lpwstr>
  </property>
  <property fmtid="{D5CDD505-2E9C-101B-9397-08002B2CF9AE}" pid="12" name="NOSE41">
    <vt:lpwstr/>
  </property>
  <property fmtid="{D5CDD505-2E9C-101B-9397-08002B2CF9AE}" pid="13" name="NOSE12">
    <vt:lpwstr>מסים</vt:lpwstr>
  </property>
  <property fmtid="{D5CDD505-2E9C-101B-9397-08002B2CF9AE}" pid="14" name="NOSE22">
    <vt:lpwstr>הרשות הפלסטינית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http://www.nevo.co.il/Law_word/law06/tak-7863.pdf;‎רשומות - תקנות כלליות#פורסמו ק"ת תשע"ז ‏מס' 7863 #מיום 14.9.2017 עמ' 1746‏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