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53AB" w14:textId="77777777" w:rsidR="00CD7A76" w:rsidRDefault="00CD7A76" w:rsidP="00E909DD">
      <w:pPr>
        <w:pStyle w:val="big-header"/>
        <w:ind w:left="0" w:right="1134"/>
        <w:rPr>
          <w:rFonts w:cs="FrankRuehl" w:hint="cs"/>
          <w:sz w:val="32"/>
          <w:rtl/>
        </w:rPr>
      </w:pPr>
      <w:r>
        <w:rPr>
          <w:rFonts w:cs="FrankRuehl" w:hint="cs"/>
          <w:sz w:val="32"/>
          <w:rtl/>
        </w:rPr>
        <w:t xml:space="preserve">הוראות שעת חירום (פיקוח על כלי שיט) (איסור שיט סביב אסדת ההפקה </w:t>
      </w:r>
      <w:r>
        <w:rPr>
          <w:rFonts w:cs="FrankRuehl"/>
          <w:sz w:val="32"/>
          <w:rtl/>
        </w:rPr>
        <w:br/>
      </w:r>
      <w:r w:rsidR="007F7892">
        <w:rPr>
          <w:rFonts w:cs="FrankRuehl" w:hint="cs"/>
          <w:sz w:val="32"/>
          <w:rtl/>
        </w:rPr>
        <w:t>לוויתן), תשע"ט-2019</w:t>
      </w:r>
    </w:p>
    <w:p w14:paraId="2AA296B2" w14:textId="77777777" w:rsidR="00634D7E" w:rsidRPr="00634D7E" w:rsidRDefault="00634D7E" w:rsidP="00634D7E">
      <w:pPr>
        <w:spacing w:line="320" w:lineRule="auto"/>
        <w:rPr>
          <w:rFonts w:cs="FrankRuehl"/>
          <w:szCs w:val="26"/>
          <w:rtl/>
        </w:rPr>
      </w:pPr>
    </w:p>
    <w:p w14:paraId="3A7C00C2" w14:textId="77777777" w:rsidR="00634D7E" w:rsidRDefault="00634D7E" w:rsidP="00634D7E">
      <w:pPr>
        <w:spacing w:line="320" w:lineRule="auto"/>
        <w:rPr>
          <w:rFonts w:cs="Miriam"/>
          <w:szCs w:val="22"/>
          <w:rtl/>
        </w:rPr>
      </w:pPr>
      <w:r w:rsidRPr="00634D7E">
        <w:rPr>
          <w:rFonts w:cs="Miriam"/>
          <w:szCs w:val="22"/>
          <w:rtl/>
        </w:rPr>
        <w:t>בטחון</w:t>
      </w:r>
      <w:r w:rsidRPr="00634D7E">
        <w:rPr>
          <w:rFonts w:cs="FrankRuehl"/>
          <w:szCs w:val="26"/>
          <w:rtl/>
        </w:rPr>
        <w:t xml:space="preserve"> – שעת חירום – פיקוח על כלי שיט</w:t>
      </w:r>
    </w:p>
    <w:p w14:paraId="4235E100" w14:textId="77777777" w:rsidR="00634D7E" w:rsidRPr="00634D7E" w:rsidRDefault="00634D7E" w:rsidP="00634D7E">
      <w:pPr>
        <w:spacing w:line="320" w:lineRule="auto"/>
        <w:rPr>
          <w:rFonts w:cs="Miriam" w:hint="cs"/>
          <w:szCs w:val="22"/>
          <w:rtl/>
        </w:rPr>
      </w:pPr>
      <w:r w:rsidRPr="00634D7E">
        <w:rPr>
          <w:rFonts w:cs="Miriam"/>
          <w:szCs w:val="22"/>
          <w:rtl/>
        </w:rPr>
        <w:t>רשויות ומשפט מנהלי</w:t>
      </w:r>
      <w:r w:rsidRPr="00634D7E">
        <w:rPr>
          <w:rFonts w:cs="FrankRuehl"/>
          <w:szCs w:val="26"/>
          <w:rtl/>
        </w:rPr>
        <w:t xml:space="preserve"> – תשתיות – ספנות ונמלים – כלי שיט</w:t>
      </w:r>
    </w:p>
    <w:p w14:paraId="2805A4A1" w14:textId="77777777" w:rsidR="00634D7E" w:rsidRDefault="00634D7E">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115B3" w:rsidRPr="00D115B3" w14:paraId="1A36FEBA" w14:textId="77777777" w:rsidTr="00D115B3">
        <w:tblPrEx>
          <w:tblCellMar>
            <w:top w:w="0" w:type="dxa"/>
            <w:bottom w:w="0" w:type="dxa"/>
          </w:tblCellMar>
        </w:tblPrEx>
        <w:tc>
          <w:tcPr>
            <w:tcW w:w="1247" w:type="dxa"/>
          </w:tcPr>
          <w:p w14:paraId="7B896FFA" w14:textId="77777777" w:rsidR="00D115B3" w:rsidRPr="00D115B3" w:rsidRDefault="00D115B3" w:rsidP="00D115B3">
            <w:pPr>
              <w:rPr>
                <w:rFonts w:cs="Frankruhel" w:hint="cs"/>
                <w:rtl/>
              </w:rPr>
            </w:pPr>
            <w:r>
              <w:rPr>
                <w:rtl/>
              </w:rPr>
              <w:t xml:space="preserve">סעיף 1 </w:t>
            </w:r>
          </w:p>
        </w:tc>
        <w:tc>
          <w:tcPr>
            <w:tcW w:w="5669" w:type="dxa"/>
          </w:tcPr>
          <w:p w14:paraId="6299D290" w14:textId="77777777" w:rsidR="00D115B3" w:rsidRPr="00D115B3" w:rsidRDefault="00D115B3" w:rsidP="00D115B3">
            <w:pPr>
              <w:rPr>
                <w:rFonts w:cs="Frankruhel" w:hint="cs"/>
                <w:rtl/>
              </w:rPr>
            </w:pPr>
            <w:r>
              <w:rPr>
                <w:rtl/>
              </w:rPr>
              <w:t>הגדרות</w:t>
            </w:r>
          </w:p>
        </w:tc>
        <w:tc>
          <w:tcPr>
            <w:tcW w:w="567" w:type="dxa"/>
          </w:tcPr>
          <w:p w14:paraId="422FCB2F" w14:textId="77777777" w:rsidR="00D115B3" w:rsidRPr="00D115B3" w:rsidRDefault="00D115B3" w:rsidP="00D115B3">
            <w:pPr>
              <w:rPr>
                <w:rStyle w:val="Hyperlink"/>
                <w:rFonts w:hint="cs"/>
                <w:rtl/>
              </w:rPr>
            </w:pPr>
            <w:hyperlink w:anchor="Seif1" w:tooltip="הגדרות" w:history="1">
              <w:r w:rsidRPr="00D115B3">
                <w:rPr>
                  <w:rStyle w:val="Hyperlink"/>
                </w:rPr>
                <w:t>Go</w:t>
              </w:r>
            </w:hyperlink>
          </w:p>
        </w:tc>
        <w:tc>
          <w:tcPr>
            <w:tcW w:w="850" w:type="dxa"/>
          </w:tcPr>
          <w:p w14:paraId="3E92A0FE" w14:textId="77777777" w:rsidR="00D115B3" w:rsidRPr="00D115B3" w:rsidRDefault="00D115B3" w:rsidP="00D115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115B3" w:rsidRPr="00D115B3" w14:paraId="4DBBE413" w14:textId="77777777" w:rsidTr="00D115B3">
        <w:tblPrEx>
          <w:tblCellMar>
            <w:top w:w="0" w:type="dxa"/>
            <w:bottom w:w="0" w:type="dxa"/>
          </w:tblCellMar>
        </w:tblPrEx>
        <w:tc>
          <w:tcPr>
            <w:tcW w:w="1247" w:type="dxa"/>
          </w:tcPr>
          <w:p w14:paraId="4AD6DFDD" w14:textId="77777777" w:rsidR="00D115B3" w:rsidRPr="00D115B3" w:rsidRDefault="00D115B3" w:rsidP="00D115B3">
            <w:pPr>
              <w:rPr>
                <w:rFonts w:cs="Frankruhel" w:hint="cs"/>
                <w:rtl/>
              </w:rPr>
            </w:pPr>
            <w:r>
              <w:rPr>
                <w:rtl/>
              </w:rPr>
              <w:t xml:space="preserve">סעיף 2 </w:t>
            </w:r>
          </w:p>
        </w:tc>
        <w:tc>
          <w:tcPr>
            <w:tcW w:w="5669" w:type="dxa"/>
          </w:tcPr>
          <w:p w14:paraId="30570744" w14:textId="77777777" w:rsidR="00D115B3" w:rsidRPr="00D115B3" w:rsidRDefault="00D115B3" w:rsidP="00D115B3">
            <w:pPr>
              <w:rPr>
                <w:rFonts w:cs="Frankruhel" w:hint="cs"/>
                <w:rtl/>
              </w:rPr>
            </w:pPr>
            <w:r>
              <w:rPr>
                <w:rtl/>
              </w:rPr>
              <w:t>איסור שיט</w:t>
            </w:r>
          </w:p>
        </w:tc>
        <w:tc>
          <w:tcPr>
            <w:tcW w:w="567" w:type="dxa"/>
          </w:tcPr>
          <w:p w14:paraId="15BE7759" w14:textId="77777777" w:rsidR="00D115B3" w:rsidRPr="00D115B3" w:rsidRDefault="00D115B3" w:rsidP="00D115B3">
            <w:pPr>
              <w:rPr>
                <w:rStyle w:val="Hyperlink"/>
                <w:rFonts w:hint="cs"/>
                <w:rtl/>
              </w:rPr>
            </w:pPr>
            <w:hyperlink w:anchor="Seif2" w:tooltip="איסור שיט" w:history="1">
              <w:r w:rsidRPr="00D115B3">
                <w:rPr>
                  <w:rStyle w:val="Hyperlink"/>
                </w:rPr>
                <w:t>Go</w:t>
              </w:r>
            </w:hyperlink>
          </w:p>
        </w:tc>
        <w:tc>
          <w:tcPr>
            <w:tcW w:w="850" w:type="dxa"/>
          </w:tcPr>
          <w:p w14:paraId="46F55B49" w14:textId="77777777" w:rsidR="00D115B3" w:rsidRPr="00D115B3" w:rsidRDefault="00D115B3" w:rsidP="00D115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115B3" w:rsidRPr="00D115B3" w14:paraId="518B1EF2" w14:textId="77777777" w:rsidTr="00D115B3">
        <w:tblPrEx>
          <w:tblCellMar>
            <w:top w:w="0" w:type="dxa"/>
            <w:bottom w:w="0" w:type="dxa"/>
          </w:tblCellMar>
        </w:tblPrEx>
        <w:tc>
          <w:tcPr>
            <w:tcW w:w="1247" w:type="dxa"/>
          </w:tcPr>
          <w:p w14:paraId="3C297D9A" w14:textId="77777777" w:rsidR="00D115B3" w:rsidRPr="00D115B3" w:rsidRDefault="00D115B3" w:rsidP="00D115B3">
            <w:pPr>
              <w:rPr>
                <w:rFonts w:cs="Frankruhel" w:hint="cs"/>
                <w:rtl/>
              </w:rPr>
            </w:pPr>
            <w:r>
              <w:rPr>
                <w:rtl/>
              </w:rPr>
              <w:t xml:space="preserve">סעיף 3 </w:t>
            </w:r>
          </w:p>
        </w:tc>
        <w:tc>
          <w:tcPr>
            <w:tcW w:w="5669" w:type="dxa"/>
          </w:tcPr>
          <w:p w14:paraId="1EC4487A" w14:textId="77777777" w:rsidR="00D115B3" w:rsidRPr="00D115B3" w:rsidRDefault="00D115B3" w:rsidP="00D115B3">
            <w:pPr>
              <w:rPr>
                <w:rFonts w:cs="Frankruhel" w:hint="cs"/>
                <w:rtl/>
              </w:rPr>
            </w:pPr>
            <w:r>
              <w:rPr>
                <w:rtl/>
              </w:rPr>
              <w:t>שמירת דינים</w:t>
            </w:r>
          </w:p>
        </w:tc>
        <w:tc>
          <w:tcPr>
            <w:tcW w:w="567" w:type="dxa"/>
          </w:tcPr>
          <w:p w14:paraId="6B1D2764" w14:textId="77777777" w:rsidR="00D115B3" w:rsidRPr="00D115B3" w:rsidRDefault="00D115B3" w:rsidP="00D115B3">
            <w:pPr>
              <w:rPr>
                <w:rStyle w:val="Hyperlink"/>
                <w:rFonts w:hint="cs"/>
                <w:rtl/>
              </w:rPr>
            </w:pPr>
            <w:hyperlink w:anchor="Seif3" w:tooltip="שמירת דינים" w:history="1">
              <w:r w:rsidRPr="00D115B3">
                <w:rPr>
                  <w:rStyle w:val="Hyperlink"/>
                </w:rPr>
                <w:t>Go</w:t>
              </w:r>
            </w:hyperlink>
          </w:p>
        </w:tc>
        <w:tc>
          <w:tcPr>
            <w:tcW w:w="850" w:type="dxa"/>
          </w:tcPr>
          <w:p w14:paraId="587D1493" w14:textId="77777777" w:rsidR="00D115B3" w:rsidRPr="00D115B3" w:rsidRDefault="00D115B3" w:rsidP="00D115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D115B3" w:rsidRPr="00D115B3" w14:paraId="571D0343" w14:textId="77777777" w:rsidTr="00D115B3">
        <w:tblPrEx>
          <w:tblCellMar>
            <w:top w:w="0" w:type="dxa"/>
            <w:bottom w:w="0" w:type="dxa"/>
          </w:tblCellMar>
        </w:tblPrEx>
        <w:tc>
          <w:tcPr>
            <w:tcW w:w="1247" w:type="dxa"/>
          </w:tcPr>
          <w:p w14:paraId="612F180F" w14:textId="77777777" w:rsidR="00D115B3" w:rsidRPr="00D115B3" w:rsidRDefault="00D115B3" w:rsidP="00D115B3">
            <w:pPr>
              <w:rPr>
                <w:rFonts w:cs="Frankruhel" w:hint="cs"/>
                <w:rtl/>
              </w:rPr>
            </w:pPr>
            <w:r>
              <w:rPr>
                <w:rtl/>
              </w:rPr>
              <w:t xml:space="preserve">סעיף 4 </w:t>
            </w:r>
          </w:p>
        </w:tc>
        <w:tc>
          <w:tcPr>
            <w:tcW w:w="5669" w:type="dxa"/>
          </w:tcPr>
          <w:p w14:paraId="66BAD1BC" w14:textId="77777777" w:rsidR="00D115B3" w:rsidRPr="00D115B3" w:rsidRDefault="00D115B3" w:rsidP="00D115B3">
            <w:pPr>
              <w:rPr>
                <w:rFonts w:cs="Frankruhel" w:hint="cs"/>
                <w:rtl/>
              </w:rPr>
            </w:pPr>
            <w:r>
              <w:rPr>
                <w:rtl/>
              </w:rPr>
              <w:t>פרסום</w:t>
            </w:r>
          </w:p>
        </w:tc>
        <w:tc>
          <w:tcPr>
            <w:tcW w:w="567" w:type="dxa"/>
          </w:tcPr>
          <w:p w14:paraId="280D14C8" w14:textId="77777777" w:rsidR="00D115B3" w:rsidRPr="00D115B3" w:rsidRDefault="00D115B3" w:rsidP="00D115B3">
            <w:pPr>
              <w:rPr>
                <w:rStyle w:val="Hyperlink"/>
                <w:rFonts w:hint="cs"/>
                <w:rtl/>
              </w:rPr>
            </w:pPr>
            <w:hyperlink w:anchor="Seif4" w:tooltip="פרסום" w:history="1">
              <w:r w:rsidRPr="00D115B3">
                <w:rPr>
                  <w:rStyle w:val="Hyperlink"/>
                </w:rPr>
                <w:t>Go</w:t>
              </w:r>
            </w:hyperlink>
          </w:p>
        </w:tc>
        <w:tc>
          <w:tcPr>
            <w:tcW w:w="850" w:type="dxa"/>
          </w:tcPr>
          <w:p w14:paraId="18E2FD52" w14:textId="77777777" w:rsidR="00D115B3" w:rsidRPr="00D115B3" w:rsidRDefault="00D115B3" w:rsidP="00D115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D115B3" w:rsidRPr="00D115B3" w14:paraId="750636BF" w14:textId="77777777" w:rsidTr="00D115B3">
        <w:tblPrEx>
          <w:tblCellMar>
            <w:top w:w="0" w:type="dxa"/>
            <w:bottom w:w="0" w:type="dxa"/>
          </w:tblCellMar>
        </w:tblPrEx>
        <w:tc>
          <w:tcPr>
            <w:tcW w:w="1247" w:type="dxa"/>
          </w:tcPr>
          <w:p w14:paraId="0F12FE54" w14:textId="77777777" w:rsidR="00D115B3" w:rsidRPr="00D115B3" w:rsidRDefault="00D115B3" w:rsidP="00D115B3">
            <w:pPr>
              <w:rPr>
                <w:rFonts w:cs="Frankruhel" w:hint="cs"/>
                <w:rtl/>
              </w:rPr>
            </w:pPr>
          </w:p>
        </w:tc>
        <w:tc>
          <w:tcPr>
            <w:tcW w:w="5669" w:type="dxa"/>
          </w:tcPr>
          <w:p w14:paraId="66B39FF3" w14:textId="77777777" w:rsidR="00D115B3" w:rsidRPr="00D115B3" w:rsidRDefault="00D115B3" w:rsidP="00D115B3">
            <w:pPr>
              <w:rPr>
                <w:rFonts w:cs="Frankruhel" w:hint="cs"/>
                <w:rtl/>
              </w:rPr>
            </w:pPr>
            <w:r>
              <w:rPr>
                <w:rtl/>
              </w:rPr>
              <w:t>תוספת</w:t>
            </w:r>
          </w:p>
        </w:tc>
        <w:tc>
          <w:tcPr>
            <w:tcW w:w="567" w:type="dxa"/>
          </w:tcPr>
          <w:p w14:paraId="140C1967" w14:textId="77777777" w:rsidR="00D115B3" w:rsidRPr="00D115B3" w:rsidRDefault="00D115B3" w:rsidP="00D115B3">
            <w:pPr>
              <w:rPr>
                <w:rStyle w:val="Hyperlink"/>
                <w:rFonts w:hint="cs"/>
                <w:rtl/>
              </w:rPr>
            </w:pPr>
            <w:hyperlink w:anchor="med0" w:tooltip="תוספת" w:history="1">
              <w:r w:rsidRPr="00D115B3">
                <w:rPr>
                  <w:rStyle w:val="Hyperlink"/>
                </w:rPr>
                <w:t>Go</w:t>
              </w:r>
            </w:hyperlink>
          </w:p>
        </w:tc>
        <w:tc>
          <w:tcPr>
            <w:tcW w:w="850" w:type="dxa"/>
          </w:tcPr>
          <w:p w14:paraId="2F373C04" w14:textId="77777777" w:rsidR="00D115B3" w:rsidRPr="00D115B3" w:rsidRDefault="00D115B3" w:rsidP="00D115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0A6F40AA" w14:textId="77777777" w:rsidR="00E909DD" w:rsidRDefault="00E909DD" w:rsidP="00E909DD">
      <w:pPr>
        <w:pStyle w:val="big-header"/>
        <w:ind w:left="0" w:right="1134"/>
        <w:rPr>
          <w:rFonts w:hint="cs"/>
          <w:sz w:val="32"/>
          <w:rtl/>
        </w:rPr>
      </w:pPr>
    </w:p>
    <w:p w14:paraId="69107639" w14:textId="77777777" w:rsidR="00E909DD" w:rsidRDefault="00E909DD" w:rsidP="00E909DD">
      <w:pPr>
        <w:pStyle w:val="big-header"/>
        <w:ind w:left="0" w:right="1134"/>
        <w:rPr>
          <w:rFonts w:cs="FrankRuehl" w:hint="cs"/>
          <w:sz w:val="32"/>
          <w:rtl/>
        </w:rPr>
      </w:pPr>
      <w:r>
        <w:rPr>
          <w:sz w:val="32"/>
          <w:rtl/>
        </w:rPr>
        <w:br w:type="page"/>
      </w:r>
      <w:r>
        <w:rPr>
          <w:rFonts w:cs="FrankRuehl" w:hint="cs"/>
          <w:sz w:val="32"/>
          <w:rtl/>
        </w:rPr>
        <w:lastRenderedPageBreak/>
        <w:t>הוראות שעת חירום (פיקוח על כלי שיט) (</w:t>
      </w:r>
      <w:r w:rsidR="007F7892">
        <w:rPr>
          <w:rFonts w:cs="FrankRuehl" w:hint="cs"/>
          <w:sz w:val="32"/>
          <w:rtl/>
        </w:rPr>
        <w:t xml:space="preserve">איסור שיט סביב אסדת ההפקה </w:t>
      </w:r>
      <w:r w:rsidR="007F7892">
        <w:rPr>
          <w:rFonts w:cs="FrankRuehl"/>
          <w:sz w:val="32"/>
          <w:rtl/>
        </w:rPr>
        <w:br/>
      </w:r>
      <w:r w:rsidR="007F7892">
        <w:rPr>
          <w:rFonts w:cs="FrankRuehl" w:hint="cs"/>
          <w:sz w:val="32"/>
          <w:rtl/>
        </w:rPr>
        <w:t>לוויתן), תשע"ט-2019</w:t>
      </w:r>
      <w:r>
        <w:rPr>
          <w:rStyle w:val="default"/>
          <w:sz w:val="22"/>
          <w:szCs w:val="22"/>
          <w:rtl/>
        </w:rPr>
        <w:footnoteReference w:customMarkFollows="1" w:id="1"/>
        <w:t>*</w:t>
      </w:r>
    </w:p>
    <w:p w14:paraId="379458F3" w14:textId="77777777" w:rsidR="00CD7A76" w:rsidRDefault="00CD7A76">
      <w:pPr>
        <w:pStyle w:val="P00"/>
        <w:spacing w:before="72"/>
        <w:ind w:left="0" w:right="1134"/>
        <w:rPr>
          <w:rStyle w:val="default"/>
          <w:rFonts w:cs="FrankRuehl"/>
          <w:rtl/>
        </w:rPr>
      </w:pPr>
      <w:r>
        <w:rPr>
          <w:rStyle w:val="default"/>
          <w:rFonts w:cs="FrankRuehl" w:hint="cs"/>
          <w:rtl/>
        </w:rPr>
        <w:tab/>
        <w:t>בתוקף סמכותי לפי תקנות 2(6)</w:t>
      </w:r>
      <w:r w:rsidR="007F7892">
        <w:rPr>
          <w:rStyle w:val="default"/>
          <w:rFonts w:cs="FrankRuehl" w:hint="cs"/>
          <w:rtl/>
        </w:rPr>
        <w:t>, 5ג, 7(ג)</w:t>
      </w:r>
      <w:r>
        <w:rPr>
          <w:rStyle w:val="default"/>
          <w:rFonts w:cs="FrankRuehl" w:hint="cs"/>
          <w:rtl/>
        </w:rPr>
        <w:t xml:space="preserve"> ו-</w:t>
      </w:r>
      <w:r w:rsidR="007F7892">
        <w:rPr>
          <w:rStyle w:val="default"/>
          <w:rFonts w:cs="FrankRuehl" w:hint="cs"/>
          <w:rtl/>
        </w:rPr>
        <w:t>8ב</w:t>
      </w:r>
      <w:r>
        <w:rPr>
          <w:rStyle w:val="default"/>
          <w:rFonts w:cs="FrankRuehl" w:hint="cs"/>
          <w:rtl/>
        </w:rPr>
        <w:t xml:space="preserve"> בתוספת ל</w:t>
      </w:r>
      <w:r w:rsidR="007F7892">
        <w:rPr>
          <w:rStyle w:val="default"/>
          <w:rFonts w:cs="FrankRuehl" w:hint="cs"/>
          <w:rtl/>
        </w:rPr>
        <w:t>חוק ל</w:t>
      </w:r>
      <w:r>
        <w:rPr>
          <w:rStyle w:val="default"/>
          <w:rFonts w:cs="FrankRuehl" w:hint="cs"/>
          <w:rtl/>
        </w:rPr>
        <w:t xml:space="preserve">הארכת תוקף של תקנות שעת חירום (פיקוח על כלי שיט) [נוסח משולב], התשל"ג-1973, ומאחר שאני רואה צורך </w:t>
      </w:r>
      <w:r w:rsidR="007F7892">
        <w:rPr>
          <w:rStyle w:val="default"/>
          <w:rFonts w:cs="FrankRuehl" w:hint="cs"/>
          <w:rtl/>
        </w:rPr>
        <w:t xml:space="preserve">בכך </w:t>
      </w:r>
      <w:r>
        <w:rPr>
          <w:rStyle w:val="default"/>
          <w:rFonts w:cs="FrankRuehl" w:hint="cs"/>
          <w:rtl/>
        </w:rPr>
        <w:t>מטעמים שבביטחון המדינה</w:t>
      </w:r>
      <w:r w:rsidR="007F7892">
        <w:rPr>
          <w:rStyle w:val="default"/>
          <w:rFonts w:cs="FrankRuehl" w:hint="cs"/>
          <w:rtl/>
        </w:rPr>
        <w:t xml:space="preserve"> ושבקיום אספקה ושירותים חיוניים</w:t>
      </w:r>
      <w:r>
        <w:rPr>
          <w:rStyle w:val="default"/>
          <w:rFonts w:cs="FrankRuehl" w:hint="cs"/>
          <w:rtl/>
        </w:rPr>
        <w:t xml:space="preserve">, </w:t>
      </w:r>
      <w:r w:rsidR="007F7892">
        <w:rPr>
          <w:rStyle w:val="default"/>
          <w:rFonts w:cs="FrankRuehl" w:hint="cs"/>
          <w:rtl/>
        </w:rPr>
        <w:t>ו</w:t>
      </w:r>
      <w:r>
        <w:rPr>
          <w:rStyle w:val="default"/>
          <w:rFonts w:cs="FrankRuehl" w:hint="cs"/>
          <w:rtl/>
        </w:rPr>
        <w:t xml:space="preserve">באישור </w:t>
      </w:r>
      <w:r w:rsidR="007F7892">
        <w:rPr>
          <w:rStyle w:val="default"/>
          <w:rFonts w:cs="FrankRuehl" w:hint="cs"/>
          <w:rtl/>
        </w:rPr>
        <w:t xml:space="preserve">הוועדה הזמנית לענייני חוץ וביטחון </w:t>
      </w:r>
      <w:r>
        <w:rPr>
          <w:rStyle w:val="default"/>
          <w:rFonts w:cs="FrankRuehl" w:hint="cs"/>
          <w:rtl/>
        </w:rPr>
        <w:t>של הכנסת לפי סעיף 2(ב) לחוק העונשין, התשל"ז-1977, אני מורה לאמור:</w:t>
      </w:r>
    </w:p>
    <w:p w14:paraId="51253FDD" w14:textId="77777777" w:rsidR="00CD7A76" w:rsidRDefault="00CD7A76">
      <w:pPr>
        <w:pStyle w:val="P00"/>
        <w:spacing w:before="72"/>
        <w:ind w:left="0" w:right="1134"/>
        <w:rPr>
          <w:rStyle w:val="big-number"/>
          <w:rFonts w:cs="FrankRuehl" w:hint="cs"/>
          <w:sz w:val="26"/>
          <w:szCs w:val="26"/>
          <w:rtl/>
        </w:rPr>
      </w:pPr>
      <w:bookmarkStart w:id="0" w:name="Seif1"/>
      <w:bookmarkEnd w:id="0"/>
      <w:r>
        <w:rPr>
          <w:rFonts w:cs="Miriam"/>
          <w:lang w:val="he-IL"/>
        </w:rPr>
        <w:pict w14:anchorId="0F9FE780">
          <v:rect id="_x0000_s1026" style="position:absolute;left:0;text-align:left;margin-left:468pt;margin-top:8.05pt;width:70.55pt;height:10pt;z-index:251656192" filled="f" stroked="f" strokecolor="lime" strokeweight=".25pt">
            <v:textbox style="mso-next-textbox:#_x0000_s1026" inset="1mm,0,1mm,0">
              <w:txbxContent>
                <w:p w14:paraId="27CC47CA" w14:textId="77777777" w:rsidR="00CD7A76" w:rsidRDefault="00CD7A76">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בהוראות אלה </w:t>
      </w:r>
      <w:r>
        <w:rPr>
          <w:rStyle w:val="big-number"/>
          <w:rFonts w:cs="FrankRuehl"/>
          <w:sz w:val="26"/>
          <w:szCs w:val="26"/>
          <w:rtl/>
        </w:rPr>
        <w:t>–</w:t>
      </w:r>
    </w:p>
    <w:p w14:paraId="1D0FD61B" w14:textId="77777777" w:rsidR="00CD7A76" w:rsidRDefault="00CD7A76">
      <w:pPr>
        <w:pStyle w:val="P00"/>
        <w:spacing w:before="72"/>
        <w:ind w:left="0" w:right="1134"/>
        <w:rPr>
          <w:rStyle w:val="big-number"/>
          <w:rFonts w:cs="FrankRuehl"/>
          <w:sz w:val="26"/>
          <w:szCs w:val="26"/>
          <w:rtl/>
        </w:rPr>
      </w:pPr>
      <w:r>
        <w:rPr>
          <w:rStyle w:val="big-number"/>
          <w:rFonts w:cs="FrankRuehl" w:hint="cs"/>
          <w:sz w:val="26"/>
          <w:szCs w:val="26"/>
          <w:rtl/>
        </w:rPr>
        <w:tab/>
        <w:t xml:space="preserve">"אזור אסור לשיט" </w:t>
      </w:r>
      <w:r>
        <w:rPr>
          <w:rStyle w:val="big-number"/>
          <w:rFonts w:cs="FrankRuehl"/>
          <w:sz w:val="26"/>
          <w:szCs w:val="26"/>
          <w:rtl/>
        </w:rPr>
        <w:t>–</w:t>
      </w:r>
      <w:r>
        <w:rPr>
          <w:rStyle w:val="big-number"/>
          <w:rFonts w:cs="FrankRuehl" w:hint="cs"/>
          <w:sz w:val="26"/>
          <w:szCs w:val="26"/>
          <w:rtl/>
        </w:rPr>
        <w:t xml:space="preserve"> שטח ברדיוס של </w:t>
      </w:r>
      <w:r w:rsidR="007F7892">
        <w:rPr>
          <w:rStyle w:val="big-number"/>
          <w:rFonts w:cs="FrankRuehl" w:hint="cs"/>
          <w:sz w:val="26"/>
          <w:szCs w:val="26"/>
          <w:rtl/>
        </w:rPr>
        <w:t>1.5</w:t>
      </w:r>
      <w:r>
        <w:rPr>
          <w:rStyle w:val="big-number"/>
          <w:rFonts w:cs="FrankRuehl" w:hint="cs"/>
          <w:sz w:val="26"/>
          <w:szCs w:val="26"/>
          <w:rtl/>
        </w:rPr>
        <w:t xml:space="preserve"> מייל ימי, המקיף את האסדה והמסומן בקווים אלכסוניים בצבע אדום במפה שבתוספת;</w:t>
      </w:r>
    </w:p>
    <w:p w14:paraId="039594F7" w14:textId="77777777" w:rsidR="007F7892" w:rsidRDefault="007F7892">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 xml:space="preserve">"אמצעי השליטה", בתאגיד, "הבעלים" ו"החזקה", לעניין אמצעי שליטה בתאגיד </w:t>
      </w:r>
      <w:r>
        <w:rPr>
          <w:rStyle w:val="big-number"/>
          <w:rFonts w:cs="FrankRuehl"/>
          <w:sz w:val="26"/>
          <w:szCs w:val="26"/>
          <w:rtl/>
        </w:rPr>
        <w:t>–</w:t>
      </w:r>
      <w:r>
        <w:rPr>
          <w:rStyle w:val="big-number"/>
          <w:rFonts w:cs="FrankRuehl" w:hint="cs"/>
          <w:sz w:val="26"/>
          <w:szCs w:val="26"/>
          <w:rtl/>
        </w:rPr>
        <w:t xml:space="preserve"> כהגדרתם בחוק הספנות (כלי שיט זר בשליטה של גורם ישראלי), התשס"ה-2005;</w:t>
      </w:r>
    </w:p>
    <w:p w14:paraId="1C808254" w14:textId="77777777" w:rsidR="00CD7A76" w:rsidRDefault="00CD7A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"האסדה" </w:t>
      </w:r>
      <w:r>
        <w:rPr>
          <w:rStyle w:val="big-number"/>
          <w:rFonts w:cs="FrankRuehl"/>
          <w:sz w:val="26"/>
          <w:szCs w:val="26"/>
          <w:rtl/>
        </w:rPr>
        <w:t>–</w:t>
      </w:r>
      <w:r>
        <w:rPr>
          <w:rStyle w:val="big-number"/>
          <w:rFonts w:cs="FrankRuehl" w:hint="cs"/>
          <w:sz w:val="26"/>
          <w:szCs w:val="26"/>
          <w:rtl/>
        </w:rPr>
        <w:t xml:space="preserve"> אסדת </w:t>
      </w:r>
      <w:r w:rsidR="007F7892">
        <w:rPr>
          <w:rStyle w:val="big-number"/>
          <w:rFonts w:cs="FrankRuehl" w:hint="cs"/>
          <w:sz w:val="26"/>
          <w:szCs w:val="26"/>
          <w:rtl/>
        </w:rPr>
        <w:t>ה</w:t>
      </w:r>
      <w:r>
        <w:rPr>
          <w:rStyle w:val="big-number"/>
          <w:rFonts w:cs="FrankRuehl" w:hint="cs"/>
          <w:sz w:val="26"/>
          <w:szCs w:val="26"/>
          <w:rtl/>
        </w:rPr>
        <w:t>הפקה "</w:t>
      </w:r>
      <w:r w:rsidR="007F7892">
        <w:rPr>
          <w:rStyle w:val="big-number"/>
          <w:rFonts w:cs="FrankRuehl" w:hint="cs"/>
          <w:sz w:val="26"/>
          <w:szCs w:val="26"/>
          <w:rtl/>
        </w:rPr>
        <w:t>לוויתן"</w:t>
      </w:r>
      <w:r>
        <w:rPr>
          <w:rStyle w:val="big-number"/>
          <w:rFonts w:cs="FrankRuehl" w:hint="cs"/>
          <w:sz w:val="26"/>
          <w:szCs w:val="26"/>
          <w:rtl/>
        </w:rPr>
        <w:t xml:space="preserve"> שמיקומה בנקודה:</w:t>
      </w:r>
    </w:p>
    <w:p w14:paraId="091485A5" w14:textId="77777777" w:rsidR="00CD7A76" w:rsidRDefault="00CD7A76">
      <w:pPr>
        <w:pStyle w:val="P00"/>
        <w:spacing w:before="72"/>
        <w:ind w:left="1021" w:right="1134"/>
        <w:rPr>
          <w:rStyle w:val="big-number"/>
          <w:rFonts w:cs="FrankRuehl" w:hint="cs"/>
          <w:sz w:val="26"/>
          <w:szCs w:val="26"/>
          <w:rtl/>
        </w:rPr>
      </w:pPr>
      <w:r>
        <w:rPr>
          <w:rStyle w:val="big-number"/>
          <w:rFonts w:cs="FrankRuehl"/>
          <w:sz w:val="20"/>
          <w:szCs w:val="20"/>
        </w:rPr>
        <w:t>N</w:t>
      </w:r>
      <w:r>
        <w:rPr>
          <w:rStyle w:val="big-number"/>
          <w:rFonts w:cs="FrankRuehl" w:hint="cs"/>
          <w:sz w:val="26"/>
          <w:szCs w:val="26"/>
          <w:rtl/>
        </w:rPr>
        <w:t xml:space="preserve"> "</w:t>
      </w:r>
      <w:r w:rsidR="007F7892">
        <w:rPr>
          <w:rStyle w:val="big-number"/>
          <w:rFonts w:cs="FrankRuehl" w:hint="cs"/>
          <w:sz w:val="26"/>
          <w:szCs w:val="26"/>
          <w:rtl/>
        </w:rPr>
        <w:t>55.76</w:t>
      </w:r>
      <w:r>
        <w:rPr>
          <w:rStyle w:val="big-number"/>
          <w:rFonts w:cs="FrankRuehl" w:hint="cs"/>
          <w:sz w:val="26"/>
          <w:szCs w:val="26"/>
          <w:rtl/>
        </w:rPr>
        <w:t>'</w:t>
      </w:r>
      <w:r w:rsidR="007F7892">
        <w:rPr>
          <w:rStyle w:val="big-number"/>
          <w:rFonts w:cs="FrankRuehl" w:hint="cs"/>
          <w:sz w:val="26"/>
          <w:szCs w:val="26"/>
          <w:rtl/>
        </w:rPr>
        <w:t>35</w:t>
      </w:r>
      <w:r>
        <w:rPr>
          <w:rStyle w:val="big-number"/>
          <w:rFonts w:cs="FrankRuehl" w:hint="eastAsia"/>
          <w:sz w:val="26"/>
          <w:szCs w:val="26"/>
        </w:rPr>
        <w:t>º</w:t>
      </w:r>
      <w:r>
        <w:rPr>
          <w:rStyle w:val="big-number"/>
          <w:rFonts w:cs="FrankRuehl" w:hint="cs"/>
          <w:sz w:val="26"/>
          <w:szCs w:val="26"/>
          <w:rtl/>
        </w:rPr>
        <w:t>3</w:t>
      </w:r>
      <w:r w:rsidR="007F7892">
        <w:rPr>
          <w:rStyle w:val="big-number"/>
          <w:rFonts w:cs="FrankRuehl" w:hint="cs"/>
          <w:sz w:val="26"/>
          <w:szCs w:val="26"/>
          <w:rtl/>
        </w:rPr>
        <w:t>2</w:t>
      </w:r>
      <w:r>
        <w:rPr>
          <w:rStyle w:val="big-number"/>
          <w:rFonts w:cs="FrankRuehl" w:hint="cs"/>
          <w:sz w:val="26"/>
          <w:szCs w:val="26"/>
          <w:rtl/>
        </w:rPr>
        <w:t>;</w:t>
      </w:r>
    </w:p>
    <w:p w14:paraId="7357B619" w14:textId="77777777" w:rsidR="00CD7A76" w:rsidRDefault="00CD7A76">
      <w:pPr>
        <w:pStyle w:val="P00"/>
        <w:spacing w:before="72"/>
        <w:ind w:left="1021" w:right="1134"/>
        <w:rPr>
          <w:rStyle w:val="big-number"/>
          <w:rFonts w:cs="FrankRuehl" w:hint="cs"/>
          <w:sz w:val="26"/>
          <w:szCs w:val="26"/>
          <w:rtl/>
        </w:rPr>
      </w:pPr>
      <w:r>
        <w:rPr>
          <w:rStyle w:val="big-number"/>
          <w:rFonts w:cs="FrankRuehl"/>
          <w:sz w:val="20"/>
          <w:szCs w:val="20"/>
        </w:rPr>
        <w:t>E</w:t>
      </w:r>
      <w:r>
        <w:rPr>
          <w:rStyle w:val="big-number"/>
          <w:rFonts w:cs="FrankRuehl" w:hint="cs"/>
          <w:sz w:val="26"/>
          <w:szCs w:val="26"/>
          <w:rtl/>
        </w:rPr>
        <w:t xml:space="preserve"> "</w:t>
      </w:r>
      <w:r w:rsidR="007F7892">
        <w:rPr>
          <w:rStyle w:val="big-number"/>
          <w:rFonts w:cs="FrankRuehl" w:hint="cs"/>
          <w:sz w:val="26"/>
          <w:szCs w:val="26"/>
          <w:rtl/>
        </w:rPr>
        <w:t>21.55</w:t>
      </w:r>
      <w:r>
        <w:rPr>
          <w:rStyle w:val="big-number"/>
          <w:rFonts w:cs="FrankRuehl" w:hint="cs"/>
          <w:sz w:val="26"/>
          <w:szCs w:val="26"/>
          <w:rtl/>
        </w:rPr>
        <w:t>'</w:t>
      </w:r>
      <w:r w:rsidR="007F7892">
        <w:rPr>
          <w:rStyle w:val="big-number"/>
          <w:rFonts w:cs="FrankRuehl" w:hint="cs"/>
          <w:sz w:val="26"/>
          <w:szCs w:val="26"/>
          <w:rtl/>
        </w:rPr>
        <w:t>48</w:t>
      </w:r>
      <w:r>
        <w:rPr>
          <w:rStyle w:val="big-number"/>
          <w:rFonts w:cs="FrankRuehl" w:hint="eastAsia"/>
          <w:sz w:val="26"/>
          <w:szCs w:val="26"/>
        </w:rPr>
        <w:t>º</w:t>
      </w:r>
      <w:r>
        <w:rPr>
          <w:rStyle w:val="big-number"/>
          <w:rFonts w:cs="FrankRuehl" w:hint="cs"/>
          <w:sz w:val="26"/>
          <w:szCs w:val="26"/>
          <w:rtl/>
        </w:rPr>
        <w:t>34;</w:t>
      </w:r>
    </w:p>
    <w:p w14:paraId="06F1CEE7" w14:textId="77777777" w:rsidR="00CD7A76" w:rsidRDefault="00CD7A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"הרשות המאשרת" </w:t>
      </w:r>
      <w:r>
        <w:rPr>
          <w:rStyle w:val="big-number"/>
          <w:rFonts w:cs="FrankRuehl"/>
          <w:sz w:val="26"/>
          <w:szCs w:val="26"/>
          <w:rtl/>
        </w:rPr>
        <w:t>–</w:t>
      </w:r>
      <w:r>
        <w:rPr>
          <w:rStyle w:val="big-number"/>
          <w:rFonts w:cs="FrankRuehl" w:hint="cs"/>
          <w:sz w:val="26"/>
          <w:szCs w:val="26"/>
          <w:rtl/>
        </w:rPr>
        <w:t xml:space="preserve"> מפקד חיל הים של צבא ה</w:t>
      </w:r>
      <w:r w:rsidR="007F7892">
        <w:rPr>
          <w:rStyle w:val="big-number"/>
          <w:rFonts w:cs="FrankRuehl" w:hint="cs"/>
          <w:sz w:val="26"/>
          <w:szCs w:val="26"/>
          <w:rtl/>
        </w:rPr>
        <w:t>ה</w:t>
      </w:r>
      <w:r>
        <w:rPr>
          <w:rStyle w:val="big-number"/>
          <w:rFonts w:cs="FrankRuehl" w:hint="cs"/>
          <w:sz w:val="26"/>
          <w:szCs w:val="26"/>
          <w:rtl/>
        </w:rPr>
        <w:t>גנה לישראל או מי שהוסמך על ידו לעני</w:t>
      </w:r>
      <w:r w:rsidR="007F7892">
        <w:rPr>
          <w:rStyle w:val="big-number"/>
          <w:rFonts w:cs="FrankRuehl" w:hint="cs"/>
          <w:sz w:val="26"/>
          <w:szCs w:val="26"/>
          <w:rtl/>
        </w:rPr>
        <w:t>י</w:t>
      </w:r>
      <w:r>
        <w:rPr>
          <w:rStyle w:val="big-number"/>
          <w:rFonts w:cs="FrankRuehl" w:hint="cs"/>
          <w:sz w:val="26"/>
          <w:szCs w:val="26"/>
          <w:rtl/>
        </w:rPr>
        <w:t>ן הוראות אלה;</w:t>
      </w:r>
    </w:p>
    <w:p w14:paraId="059B241A" w14:textId="77777777" w:rsidR="00CD7A76" w:rsidRDefault="00CD7A76">
      <w:pPr>
        <w:pStyle w:val="P00"/>
        <w:spacing w:before="72"/>
        <w:ind w:left="0" w:right="1134"/>
        <w:rPr>
          <w:rStyle w:val="big-number"/>
          <w:rFonts w:cs="FrankRuehl"/>
          <w:sz w:val="26"/>
          <w:szCs w:val="26"/>
          <w:rtl/>
        </w:rPr>
      </w:pPr>
      <w:r>
        <w:rPr>
          <w:rStyle w:val="big-number"/>
          <w:rFonts w:cs="FrankRuehl" w:hint="cs"/>
          <w:sz w:val="26"/>
          <w:szCs w:val="26"/>
          <w:rtl/>
        </w:rPr>
        <w:tab/>
        <w:t>"</w:t>
      </w:r>
      <w:r w:rsidR="007F7892">
        <w:rPr>
          <w:rStyle w:val="big-number"/>
          <w:rFonts w:cs="FrankRuehl" w:hint="cs"/>
          <w:sz w:val="26"/>
          <w:szCs w:val="26"/>
          <w:rtl/>
        </w:rPr>
        <w:t xml:space="preserve">שליטה", של גורם בכלי שיט </w:t>
      </w:r>
      <w:r w:rsidR="007F7892">
        <w:rPr>
          <w:rStyle w:val="big-number"/>
          <w:rFonts w:cs="FrankRuehl"/>
          <w:sz w:val="26"/>
          <w:szCs w:val="26"/>
          <w:rtl/>
        </w:rPr>
        <w:t>–</w:t>
      </w:r>
      <w:r w:rsidR="007F7892">
        <w:rPr>
          <w:rStyle w:val="big-number"/>
          <w:rFonts w:cs="FrankRuehl" w:hint="cs"/>
          <w:sz w:val="26"/>
          <w:szCs w:val="26"/>
          <w:rtl/>
        </w:rPr>
        <w:t xml:space="preserve"> היכולת של גורם להורות </w:t>
      </w:r>
      <w:r w:rsidR="000F6A2A">
        <w:rPr>
          <w:rStyle w:val="big-number"/>
          <w:rFonts w:cs="FrankRuehl" w:hint="cs"/>
          <w:sz w:val="26"/>
          <w:szCs w:val="26"/>
          <w:rtl/>
        </w:rPr>
        <w:t xml:space="preserve">על תפעולו של כלי השיט הזר, בין לבד ובין יחד עם אחרים או באמצעותם, בין במישרין ובין בעקיפין, לרבות יכולת כאמור הנובעת מכוח החזקת אמצעי שליטה בבעלים הרשום או בתאגיד האחראי לתפעולו של כלי השיט, מכוח תקנון הבעלים הרשום או התאגיד האחראי לתפעולו של כלי השיט, מכוח חוזה בכתב או בעל פה או באופן אחר, או מכל מקור אחר, ולמעט יכולת כאמור הנובעת רק ממילוי תפקיד של נושא משרה בתאגיד; לעניין הגדרה זו </w:t>
      </w:r>
      <w:r w:rsidR="000F6A2A">
        <w:rPr>
          <w:rStyle w:val="big-number"/>
          <w:rFonts w:cs="FrankRuehl"/>
          <w:sz w:val="26"/>
          <w:szCs w:val="26"/>
          <w:rtl/>
        </w:rPr>
        <w:t>–</w:t>
      </w:r>
    </w:p>
    <w:p w14:paraId="2BC4A50E" w14:textId="77777777" w:rsidR="000F6A2A" w:rsidRDefault="000F6A2A" w:rsidP="000F6A2A">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בלי לגרוע מכלליות האמור, חזקה היא כי גורם הוא בעל יכולת להורות על תפעולו של כלי שיט אם הוא מחזיק בשיעור הגדול ביותר של אמצעי שליטה מסוג כלשהו בבעלים הרשום או בתאגיד האחראי לתפעולו של כלי השיט, או בשידו היכולת למנוע קבלת החלטות עסקיות של הבעלים הרשום או של התאגיד האחראי לתפעולו של כלי השיט, למעט החלטות שעניינן הנפקה של אמצעי שליטה בבעלים הרשום או בתאגיד האחראי לתפעולו של כלי השיט או החלטות שעניינן מכירה או חיסול של רוב עסקי הבעלים הרשום או התאגיד האחראי לתפעולו של כלי השיט או שינוי מהותי בהם;</w:t>
      </w:r>
    </w:p>
    <w:p w14:paraId="31FCD8FD" w14:textId="77777777" w:rsidR="000F6A2A" w:rsidRDefault="000F6A2A" w:rsidP="000F6A2A">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לשם בחינת היכולת של גורם להורות על תפעולו של כלי שיט, יראו את ההחזקה של כמה גורמים באמצעי שליטה בתאגיד רשום או בתאגיד האחראי לתפעולו של כלי השיט, במצטבר, כהחזקה של גורם אחד, ויראו את יכולת ההשפעה של כמה גורמים על תפעולו של כלי השיט, במצטבר, כיכולת של גורם אחד;</w:t>
      </w:r>
    </w:p>
    <w:p w14:paraId="4C1D1FA7" w14:textId="77777777" w:rsidR="000F6A2A" w:rsidRDefault="000F6A2A">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 xml:space="preserve">"תפעול", לעניין כלי שיט </w:t>
      </w:r>
      <w:r>
        <w:rPr>
          <w:rStyle w:val="big-number"/>
          <w:rFonts w:cs="FrankRuehl"/>
          <w:sz w:val="26"/>
          <w:szCs w:val="26"/>
          <w:rtl/>
        </w:rPr>
        <w:t>–</w:t>
      </w:r>
      <w:r>
        <w:rPr>
          <w:rStyle w:val="big-number"/>
          <w:rFonts w:cs="FrankRuehl" w:hint="cs"/>
          <w:sz w:val="26"/>
          <w:szCs w:val="26"/>
          <w:rtl/>
        </w:rPr>
        <w:t xml:space="preserve"> ציוות כלי השיט באנשי צוות, ותפעולו של גוף כלי השיט, מערכותיו ומיתקניו.</w:t>
      </w:r>
    </w:p>
    <w:p w14:paraId="145416EC" w14:textId="77777777" w:rsidR="000F6A2A" w:rsidRDefault="00CD7A76" w:rsidP="000F6A2A">
      <w:pPr>
        <w:pStyle w:val="P00"/>
        <w:spacing w:before="72"/>
        <w:ind w:left="0" w:right="1134"/>
        <w:rPr>
          <w:rStyle w:val="big-number"/>
          <w:rFonts w:cs="FrankRuehl" w:hint="cs"/>
          <w:sz w:val="26"/>
          <w:szCs w:val="26"/>
          <w:rtl/>
        </w:rPr>
      </w:pPr>
      <w:bookmarkStart w:id="1" w:name="Seif2"/>
      <w:bookmarkEnd w:id="1"/>
      <w:r>
        <w:rPr>
          <w:rFonts w:cs="Miriam"/>
          <w:lang w:val="he-IL"/>
        </w:rPr>
        <w:pict w14:anchorId="0480CEC7">
          <v:rect id="_x0000_s1152" style="position:absolute;left:0;text-align:left;margin-left:468pt;margin-top:8.05pt;width:70.55pt;height:13.85pt;z-index:251657216" filled="f" stroked="f" strokecolor="lime" strokeweight=".25pt">
            <v:textbox style="mso-next-textbox:#_x0000_s1152" inset="1mm,0,1mm,0">
              <w:txbxContent>
                <w:p w14:paraId="648AF388" w14:textId="77777777" w:rsidR="00CD7A76" w:rsidRDefault="000F6A2A">
                  <w:pPr>
                    <w:spacing w:line="160" w:lineRule="exact"/>
                    <w:rPr>
                      <w:rFonts w:cs="Miriam" w:hint="cs"/>
                      <w:noProof/>
                      <w:sz w:val="18"/>
                      <w:szCs w:val="18"/>
                      <w:rtl/>
                    </w:rPr>
                  </w:pPr>
                  <w:r>
                    <w:rPr>
                      <w:rFonts w:cs="Miriam" w:hint="cs"/>
                      <w:sz w:val="18"/>
                      <w:szCs w:val="18"/>
                      <w:rtl/>
                    </w:rPr>
                    <w:t>איסור שיט</w:t>
                  </w:r>
                </w:p>
              </w:txbxContent>
            </v:textbox>
            <w10:anchorlock/>
          </v:rect>
        </w:pict>
      </w:r>
      <w:r>
        <w:rPr>
          <w:rStyle w:val="big-number"/>
          <w:rFonts w:cs="Miriam" w:hint="cs"/>
          <w:rtl/>
        </w:rPr>
        <w:t>2.</w:t>
      </w:r>
      <w:r>
        <w:rPr>
          <w:rStyle w:val="big-number"/>
          <w:rFonts w:cs="FrankRuehl"/>
          <w:sz w:val="26"/>
          <w:szCs w:val="26"/>
          <w:rtl/>
        </w:rPr>
        <w:tab/>
      </w:r>
      <w:r w:rsidR="000F6A2A">
        <w:rPr>
          <w:rStyle w:val="big-number"/>
          <w:rFonts w:cs="FrankRuehl" w:hint="cs"/>
          <w:sz w:val="26"/>
          <w:szCs w:val="26"/>
          <w:rtl/>
        </w:rPr>
        <w:t>(א)</w:t>
      </w:r>
      <w:r w:rsidR="000F6A2A">
        <w:rPr>
          <w:rStyle w:val="big-number"/>
          <w:rFonts w:cs="FrankRuehl" w:hint="cs"/>
          <w:sz w:val="26"/>
          <w:szCs w:val="26"/>
          <w:rtl/>
        </w:rPr>
        <w:tab/>
        <w:t>בעל כלי שיט או קברניטו לא ישיט כלי שיט באזור האסור לשיט, אלא באישור מראש מאת הרשות המאשרת, ובתנאים שהורתה עליהם.</w:t>
      </w:r>
    </w:p>
    <w:p w14:paraId="7900199F" w14:textId="77777777" w:rsidR="000F6A2A" w:rsidRDefault="000F6A2A" w:rsidP="000F6A2A">
      <w:pPr>
        <w:pStyle w:val="P00"/>
        <w:spacing w:before="72"/>
        <w:ind w:left="0" w:right="1134"/>
        <w:rPr>
          <w:rStyle w:val="big-number"/>
          <w:rFonts w:cs="FrankRuehl"/>
          <w:sz w:val="26"/>
          <w:szCs w:val="26"/>
          <w:rtl/>
        </w:rPr>
      </w:pPr>
      <w:r>
        <w:rPr>
          <w:rStyle w:val="big-number"/>
          <w:rFonts w:cs="FrankRuehl" w:hint="cs"/>
          <w:sz w:val="26"/>
          <w:szCs w:val="26"/>
          <w:rtl/>
        </w:rPr>
        <w:tab/>
        <w:t>(ב)</w:t>
      </w:r>
      <w:r>
        <w:rPr>
          <w:rStyle w:val="big-number"/>
          <w:rFonts w:cs="FrankRuehl" w:hint="cs"/>
          <w:sz w:val="26"/>
          <w:szCs w:val="26"/>
          <w:rtl/>
        </w:rPr>
        <w:tab/>
        <w:t>בעל כלי שיט או קברניטו לא יפליג בכלי שיט באזור האסור לשיט, אלא באישור מראש מאת הרשות המאשרת, ובתנאים שהורתה עליהם.</w:t>
      </w:r>
    </w:p>
    <w:p w14:paraId="13E3EA51" w14:textId="77777777" w:rsidR="000F6A2A" w:rsidRDefault="000F6A2A" w:rsidP="000F6A2A">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 xml:space="preserve">הוראות סעיפים (א) ו-(ב) יחולו גם על אזרח ישראלי, יחיד היושב בישראל או תאגיד ישראלי, שבידיו הבעלות במניה או בזכות אחרת בתאגיד שעל שמו רשומה הבעלות של כלי שיט </w:t>
      </w:r>
      <w:r>
        <w:rPr>
          <w:rStyle w:val="big-number"/>
          <w:rFonts w:cs="FrankRuehl" w:hint="cs"/>
          <w:sz w:val="26"/>
          <w:szCs w:val="26"/>
          <w:rtl/>
        </w:rPr>
        <w:lastRenderedPageBreak/>
        <w:t>הרשום במדינת חוץ או של חלק ממנו או שבידיו הזכות להורות במישרין או בעקיפין לתאגיד כאמור על הדרך להפעלת זכויות התאגיד בכלי שיט כאמור, ושהשליטה בכלי השיט בידיו.</w:t>
      </w:r>
    </w:p>
    <w:p w14:paraId="29A0DB27" w14:textId="77777777" w:rsidR="000F6A2A" w:rsidRDefault="000F6A2A" w:rsidP="000F6A2A">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sidR="000635EF">
        <w:rPr>
          <w:rStyle w:val="big-number"/>
          <w:rFonts w:cs="FrankRuehl" w:hint="cs"/>
          <w:sz w:val="26"/>
          <w:szCs w:val="26"/>
          <w:rtl/>
        </w:rPr>
        <w:t>הוראות סעיפים (א) ו-(ב) יחולו גם על אזרח ישראלי, יחיד היושב בישראל או תאגיד ישראלי שהוא חוכר כלי השיט הרשום במדינת חוץ.</w:t>
      </w:r>
    </w:p>
    <w:p w14:paraId="1B0423B6" w14:textId="77777777" w:rsidR="000635EF" w:rsidRDefault="000635EF" w:rsidP="000F6A2A">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ab/>
      </w:r>
      <w:r>
        <w:rPr>
          <w:rStyle w:val="big-number"/>
          <w:rFonts w:cs="FrankRuehl" w:hint="cs"/>
          <w:sz w:val="26"/>
          <w:szCs w:val="26"/>
          <w:rtl/>
        </w:rPr>
        <w:t>האיסורים הקבועים בסעיפים קטנים (א) עד (ד) לא יחולו על צבא הגנה לישראל, על משטרת ישראל ועל בעל זכות נפט מכוח חוק הנפש, התשי"ב-1952, בשטח האסור לשיט או על נותן שירותים לבעל זכות נפט כאמור, בכפוף לכך שכל השטה של כלי שיט או הפלגה בו באזור האסור לשיט ייעשו בתיאום מראש עם הרשות המאשרת ובתנאים שהורה עליהם קצין מוסמך כהגדרתו בחוק הסדרת הביטחון בגופים ציבוריים, התשנ"ח-1998, בהתאם לסעיף 10 לחוק זה; למרות האמור, ראתה הרשות המאשרת כי טעמי ביטחון מונעים זאת, לא יחול הסייג הקבוע ברישה לסעיף קטן זה כל עוד טעמי ביטחון אלה שרירים וקיימים.</w:t>
      </w:r>
    </w:p>
    <w:p w14:paraId="08DACDF8" w14:textId="77777777" w:rsidR="00CD7A76" w:rsidRDefault="00CD7A76" w:rsidP="00440E73">
      <w:pPr>
        <w:pStyle w:val="P00"/>
        <w:spacing w:before="72"/>
        <w:ind w:left="0" w:right="1134"/>
        <w:rPr>
          <w:rStyle w:val="big-number"/>
          <w:rFonts w:cs="FrankRuehl"/>
          <w:sz w:val="26"/>
          <w:szCs w:val="26"/>
          <w:rtl/>
        </w:rPr>
      </w:pPr>
      <w:bookmarkStart w:id="2" w:name="Seif3"/>
      <w:bookmarkEnd w:id="2"/>
      <w:r>
        <w:rPr>
          <w:rFonts w:cs="Miriam"/>
          <w:lang w:val="he-IL"/>
        </w:rPr>
        <w:pict w14:anchorId="5C896163">
          <v:rect id="_x0000_s1166" style="position:absolute;left:0;text-align:left;margin-left:468pt;margin-top:8.05pt;width:70.55pt;height:10.65pt;z-index:251658240" filled="f" stroked="f" strokecolor="lime" strokeweight=".25pt">
            <v:textbox style="mso-next-textbox:#_x0000_s1166" inset="1mm,0,1mm,0">
              <w:txbxContent>
                <w:p w14:paraId="39369361" w14:textId="77777777" w:rsidR="00CD7A76" w:rsidRDefault="00440E73">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אין בהוראות אלה כדי לגרוע מהוראות כל דין לענ</w:t>
      </w:r>
      <w:r w:rsidR="00440E73">
        <w:rPr>
          <w:rStyle w:val="big-number"/>
          <w:rFonts w:cs="FrankRuehl" w:hint="cs"/>
          <w:sz w:val="26"/>
          <w:szCs w:val="26"/>
          <w:rtl/>
        </w:rPr>
        <w:t>י</w:t>
      </w:r>
      <w:r>
        <w:rPr>
          <w:rStyle w:val="big-number"/>
          <w:rFonts w:cs="FrankRuehl" w:hint="cs"/>
          <w:sz w:val="26"/>
          <w:szCs w:val="26"/>
          <w:rtl/>
        </w:rPr>
        <w:t>ין חובות המוטלות על בעל כלי שיט, קברניטו או מי שבידו השליטה בכלי השיט.</w:t>
      </w:r>
    </w:p>
    <w:p w14:paraId="4D1C5632" w14:textId="77777777" w:rsidR="007F7892" w:rsidRDefault="007F7892" w:rsidP="007F7892">
      <w:pPr>
        <w:pStyle w:val="P00"/>
        <w:spacing w:before="72"/>
        <w:ind w:left="0" w:right="1134"/>
        <w:rPr>
          <w:rStyle w:val="big-number"/>
          <w:rFonts w:cs="FrankRuehl"/>
          <w:sz w:val="26"/>
          <w:szCs w:val="26"/>
          <w:rtl/>
        </w:rPr>
      </w:pPr>
      <w:bookmarkStart w:id="3" w:name="Seif4"/>
      <w:bookmarkEnd w:id="3"/>
      <w:r>
        <w:rPr>
          <w:rFonts w:cs="Miriam"/>
          <w:lang w:val="he-IL"/>
        </w:rPr>
        <w:pict w14:anchorId="1D69FC8B">
          <v:rect id="_x0000_s1170" style="position:absolute;left:0;text-align:left;margin-left:468pt;margin-top:8.05pt;width:70.55pt;height:10pt;z-index:251659264" filled="f" stroked="f" strokecolor="lime" strokeweight=".25pt">
            <v:textbox style="mso-next-textbox:#_x0000_s1170" inset="1mm,0,1mm,0">
              <w:txbxContent>
                <w:p w14:paraId="64693D3A" w14:textId="77777777" w:rsidR="007F7892" w:rsidRDefault="00440E73" w:rsidP="007F7892">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440E73">
        <w:rPr>
          <w:rStyle w:val="big-number"/>
          <w:rFonts w:cs="FrankRuehl" w:hint="cs"/>
          <w:sz w:val="26"/>
          <w:szCs w:val="26"/>
          <w:rtl/>
        </w:rPr>
        <w:t>הוראות אלה יפורסמו בהודעות לימאים בהתאם לתקנות הנמלים (בטיחות השיט), התשמ"ג-1982</w:t>
      </w:r>
      <w:r>
        <w:rPr>
          <w:rStyle w:val="big-number"/>
          <w:rFonts w:cs="FrankRuehl" w:hint="cs"/>
          <w:sz w:val="26"/>
          <w:szCs w:val="26"/>
          <w:rtl/>
        </w:rPr>
        <w:t>.</w:t>
      </w:r>
    </w:p>
    <w:p w14:paraId="5323915B" w14:textId="77777777" w:rsidR="00CD7A76" w:rsidRDefault="00CD7A76">
      <w:pPr>
        <w:pStyle w:val="P00"/>
        <w:spacing w:before="72"/>
        <w:ind w:left="0" w:right="1134"/>
        <w:rPr>
          <w:rStyle w:val="big-number"/>
          <w:rFonts w:cs="FrankRuehl" w:hint="cs"/>
          <w:sz w:val="26"/>
          <w:szCs w:val="26"/>
          <w:rtl/>
        </w:rPr>
      </w:pPr>
    </w:p>
    <w:p w14:paraId="168C3E0E" w14:textId="77777777" w:rsidR="00CD7A76" w:rsidRPr="007F7892" w:rsidRDefault="00CD7A76" w:rsidP="007F7892">
      <w:pPr>
        <w:pStyle w:val="medium2-header"/>
        <w:keepLines w:val="0"/>
        <w:spacing w:before="72"/>
        <w:ind w:left="0" w:right="1134"/>
        <w:rPr>
          <w:rFonts w:cs="FrankRuehl" w:hint="cs"/>
          <w:noProof/>
          <w:sz w:val="20"/>
          <w:rtl/>
        </w:rPr>
      </w:pPr>
      <w:bookmarkStart w:id="4" w:name="med0"/>
      <w:bookmarkEnd w:id="4"/>
      <w:r w:rsidRPr="007F7892">
        <w:rPr>
          <w:rFonts w:cs="FrankRuehl" w:hint="cs"/>
          <w:noProof/>
          <w:sz w:val="20"/>
          <w:rtl/>
        </w:rPr>
        <w:t>תוספת</w:t>
      </w:r>
    </w:p>
    <w:p w14:paraId="1D356B71" w14:textId="77777777" w:rsidR="00CD7A76" w:rsidRPr="007F7892" w:rsidRDefault="00CD7A76" w:rsidP="007F7892">
      <w:pPr>
        <w:pStyle w:val="P00"/>
        <w:spacing w:before="72"/>
        <w:ind w:left="0" w:right="1134"/>
        <w:jc w:val="center"/>
        <w:rPr>
          <w:rStyle w:val="big-number"/>
          <w:rFonts w:cs="FrankRuehl" w:hint="cs"/>
          <w:sz w:val="24"/>
          <w:szCs w:val="24"/>
          <w:rtl/>
        </w:rPr>
      </w:pPr>
      <w:r w:rsidRPr="007F7892">
        <w:rPr>
          <w:rStyle w:val="big-number"/>
          <w:rFonts w:cs="FrankRuehl" w:hint="cs"/>
          <w:sz w:val="24"/>
          <w:szCs w:val="24"/>
          <w:rtl/>
        </w:rPr>
        <w:t>(סעיף 1)</w:t>
      </w:r>
    </w:p>
    <w:p w14:paraId="2567850D" w14:textId="77777777" w:rsidR="007F7892" w:rsidRDefault="00440E73" w:rsidP="00440E73">
      <w:pPr>
        <w:pStyle w:val="P00"/>
        <w:spacing w:before="72"/>
        <w:ind w:left="0" w:right="1134"/>
        <w:jc w:val="center"/>
        <w:rPr>
          <w:rStyle w:val="big-number"/>
          <w:rFonts w:cs="FrankRuehl" w:hint="cs"/>
          <w:sz w:val="26"/>
          <w:szCs w:val="26"/>
          <w:rtl/>
        </w:rPr>
      </w:pPr>
      <w:r w:rsidRPr="007F7892">
        <w:rPr>
          <w:rStyle w:val="big-number"/>
          <w:rFonts w:cs="FrankRuehl"/>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2pt;height:287.4pt">
            <v:imagedata r:id="rId7" o:title=""/>
          </v:shape>
        </w:pict>
      </w:r>
    </w:p>
    <w:p w14:paraId="0F6803A4" w14:textId="77777777" w:rsidR="007F7892" w:rsidRPr="007F7892" w:rsidRDefault="007F7892">
      <w:pPr>
        <w:pStyle w:val="P00"/>
        <w:spacing w:before="72"/>
        <w:ind w:left="0" w:right="1134"/>
        <w:rPr>
          <w:rStyle w:val="big-number"/>
          <w:rFonts w:cs="FrankRuehl" w:hint="cs"/>
          <w:sz w:val="26"/>
          <w:szCs w:val="26"/>
          <w:rtl/>
        </w:rPr>
      </w:pPr>
    </w:p>
    <w:p w14:paraId="24605BBC" w14:textId="77777777" w:rsidR="00E909DD" w:rsidRPr="007F7892" w:rsidRDefault="00E909DD">
      <w:pPr>
        <w:pStyle w:val="P00"/>
        <w:spacing w:before="72"/>
        <w:ind w:left="0" w:right="1134"/>
        <w:rPr>
          <w:rStyle w:val="big-number"/>
          <w:rFonts w:cs="FrankRuehl" w:hint="cs"/>
          <w:sz w:val="26"/>
          <w:szCs w:val="26"/>
          <w:rtl/>
        </w:rPr>
      </w:pPr>
    </w:p>
    <w:p w14:paraId="1FABF4C5" w14:textId="77777777" w:rsidR="00CD7A76" w:rsidRDefault="00440E73" w:rsidP="00440E73">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י"ג באב התשע"ט (14 באוגוסט 2019</w:t>
      </w:r>
      <w:r w:rsidR="00CD7A76">
        <w:rPr>
          <w:rFonts w:cs="FrankRuehl" w:hint="cs"/>
          <w:sz w:val="26"/>
          <w:szCs w:val="26"/>
          <w:rtl/>
        </w:rPr>
        <w:t>)</w:t>
      </w:r>
      <w:r>
        <w:rPr>
          <w:rFonts w:cs="FrankRuehl"/>
          <w:sz w:val="26"/>
          <w:szCs w:val="26"/>
          <w:rtl/>
        </w:rPr>
        <w:tab/>
      </w:r>
      <w:r>
        <w:rPr>
          <w:rFonts w:cs="FrankRuehl" w:hint="cs"/>
          <w:sz w:val="26"/>
          <w:szCs w:val="26"/>
          <w:rtl/>
        </w:rPr>
        <w:t>בצלאל סמוטריץ'</w:t>
      </w:r>
    </w:p>
    <w:p w14:paraId="22D9E942" w14:textId="77777777" w:rsidR="00CD7A76" w:rsidRDefault="00CD7A76" w:rsidP="00440E73">
      <w:pPr>
        <w:pStyle w:val="sig-1"/>
        <w:widowControl/>
        <w:tabs>
          <w:tab w:val="clear" w:pos="851"/>
          <w:tab w:val="clear" w:pos="2835"/>
          <w:tab w:val="clear" w:pos="4820"/>
          <w:tab w:val="center" w:pos="5670"/>
        </w:tabs>
        <w:ind w:left="0" w:right="1134"/>
        <w:rPr>
          <w:rFonts w:cs="FrankRuehl"/>
          <w:sz w:val="22"/>
          <w:rtl/>
        </w:rPr>
      </w:pPr>
      <w:r>
        <w:rPr>
          <w:rFonts w:cs="FrankRuehl" w:hint="cs"/>
          <w:sz w:val="22"/>
          <w:rtl/>
        </w:rPr>
        <w:tab/>
      </w:r>
      <w:r w:rsidR="00440E73">
        <w:rPr>
          <w:rFonts w:cs="FrankRuehl" w:hint="cs"/>
          <w:sz w:val="22"/>
          <w:rtl/>
        </w:rPr>
        <w:t>שר התחבורה והבטיחות בדרכים</w:t>
      </w:r>
    </w:p>
    <w:p w14:paraId="1CD64B97" w14:textId="77777777" w:rsidR="007F7892" w:rsidRPr="007F7892" w:rsidRDefault="007F7892" w:rsidP="007F7892">
      <w:pPr>
        <w:pStyle w:val="P00"/>
        <w:spacing w:before="72"/>
        <w:ind w:left="0" w:right="1134"/>
        <w:rPr>
          <w:rStyle w:val="big-number"/>
          <w:rFonts w:cs="FrankRuehl"/>
          <w:sz w:val="26"/>
          <w:szCs w:val="26"/>
          <w:rtl/>
        </w:rPr>
      </w:pPr>
    </w:p>
    <w:p w14:paraId="641EA5B0" w14:textId="77777777" w:rsidR="00D115B3" w:rsidRDefault="00D115B3" w:rsidP="007F7892">
      <w:pPr>
        <w:pStyle w:val="P00"/>
        <w:spacing w:before="72"/>
        <w:ind w:left="0" w:right="1134"/>
        <w:rPr>
          <w:rStyle w:val="big-number"/>
          <w:rFonts w:cs="FrankRuehl"/>
          <w:sz w:val="26"/>
          <w:szCs w:val="26"/>
          <w:rtl/>
        </w:rPr>
      </w:pPr>
    </w:p>
    <w:p w14:paraId="06C735DF" w14:textId="77777777" w:rsidR="00D115B3" w:rsidRDefault="00D115B3" w:rsidP="007F7892">
      <w:pPr>
        <w:pStyle w:val="P00"/>
        <w:spacing w:before="72"/>
        <w:ind w:left="0" w:right="1134"/>
        <w:rPr>
          <w:rStyle w:val="big-number"/>
          <w:rFonts w:cs="FrankRuehl"/>
          <w:sz w:val="26"/>
          <w:szCs w:val="26"/>
          <w:rtl/>
        </w:rPr>
      </w:pPr>
    </w:p>
    <w:p w14:paraId="236A52D4" w14:textId="77777777" w:rsidR="00D115B3" w:rsidRDefault="00D115B3" w:rsidP="00D115B3">
      <w:pPr>
        <w:pStyle w:val="P00"/>
        <w:spacing w:before="72"/>
        <w:ind w:left="0" w:right="1134"/>
        <w:jc w:val="center"/>
        <w:rPr>
          <w:rStyle w:val="big-number"/>
          <w:rFonts w:cs="David"/>
          <w:color w:val="0000FF"/>
          <w:sz w:val="26"/>
          <w:szCs w:val="24"/>
          <w:u w:val="single"/>
          <w:rtl/>
        </w:rPr>
      </w:pPr>
      <w:hyperlink r:id="rId8" w:history="1">
        <w:r>
          <w:rPr>
            <w:rStyle w:val="big-number"/>
            <w:rFonts w:cs="David"/>
            <w:color w:val="0000FF"/>
            <w:sz w:val="26"/>
            <w:szCs w:val="24"/>
            <w:u w:val="single"/>
            <w:rtl/>
          </w:rPr>
          <w:t>הודעה למנויים על עריכה ושינויים במסמכי פסיקה, חקיקה ועוד באתר נבו - הקש כאן</w:t>
        </w:r>
      </w:hyperlink>
    </w:p>
    <w:p w14:paraId="40F845F0" w14:textId="77777777" w:rsidR="007F7892" w:rsidRPr="00D115B3" w:rsidRDefault="007F7892" w:rsidP="00D115B3">
      <w:pPr>
        <w:pStyle w:val="P00"/>
        <w:spacing w:before="72"/>
        <w:ind w:left="0" w:right="1134"/>
        <w:jc w:val="center"/>
        <w:rPr>
          <w:rStyle w:val="big-number"/>
          <w:rFonts w:cs="David" w:hint="cs"/>
          <w:color w:val="0000FF"/>
          <w:sz w:val="26"/>
          <w:szCs w:val="24"/>
          <w:u w:val="single"/>
          <w:rtl/>
        </w:rPr>
      </w:pPr>
    </w:p>
    <w:sectPr w:rsidR="007F7892" w:rsidRPr="00D115B3">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5A12" w14:textId="77777777" w:rsidR="0031651A" w:rsidRDefault="0031651A">
      <w:r>
        <w:separator/>
      </w:r>
    </w:p>
  </w:endnote>
  <w:endnote w:type="continuationSeparator" w:id="0">
    <w:p w14:paraId="6B901D26" w14:textId="77777777" w:rsidR="0031651A" w:rsidRDefault="00316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A6FD" w14:textId="77777777" w:rsidR="00CD7A76" w:rsidRDefault="00CD7A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E6EF96" w14:textId="77777777" w:rsidR="00CD7A76" w:rsidRDefault="00CD7A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81FF65" w14:textId="77777777" w:rsidR="00CD7A76" w:rsidRDefault="00CD7A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M:\00000000\law\index\001-100\999_293.doc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B7E4" w14:textId="77777777" w:rsidR="00CD7A76" w:rsidRDefault="00CD7A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115B3">
      <w:rPr>
        <w:rFonts w:hAnsi="FrankRuehl" w:cs="FrankRuehl"/>
        <w:noProof/>
        <w:sz w:val="24"/>
        <w:szCs w:val="24"/>
        <w:rtl/>
      </w:rPr>
      <w:t>3</w:t>
    </w:r>
    <w:r>
      <w:rPr>
        <w:rFonts w:hAnsi="FrankRuehl" w:cs="FrankRuehl"/>
        <w:sz w:val="24"/>
        <w:szCs w:val="24"/>
        <w:rtl/>
      </w:rPr>
      <w:fldChar w:fldCharType="end"/>
    </w:r>
  </w:p>
  <w:p w14:paraId="3E9E6C30" w14:textId="77777777" w:rsidR="00CD7A76" w:rsidRDefault="00CD7A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A9366B" w14:textId="77777777" w:rsidR="00CD7A76" w:rsidRDefault="00CD7A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M:\00000000\law\index\001-100\999_293.doc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115A" w14:textId="77777777" w:rsidR="0031651A" w:rsidRDefault="0031651A">
      <w:r>
        <w:separator/>
      </w:r>
    </w:p>
  </w:footnote>
  <w:footnote w:type="continuationSeparator" w:id="0">
    <w:p w14:paraId="34A39635" w14:textId="77777777" w:rsidR="0031651A" w:rsidRDefault="0031651A">
      <w:r>
        <w:continuationSeparator/>
      </w:r>
    </w:p>
  </w:footnote>
  <w:footnote w:id="1">
    <w:p w14:paraId="1C9D9A5E" w14:textId="77777777" w:rsidR="00EC6EF0" w:rsidRDefault="00E909DD" w:rsidP="00EC6E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EC6EF0">
          <w:rPr>
            <w:rStyle w:val="Hyperlink"/>
            <w:rFonts w:cs="FrankRuehl" w:hint="cs"/>
            <w:rtl/>
          </w:rPr>
          <w:t>ק"ת תש</w:t>
        </w:r>
        <w:r w:rsidR="007F7892" w:rsidRPr="00EC6EF0">
          <w:rPr>
            <w:rStyle w:val="Hyperlink"/>
            <w:rFonts w:cs="FrankRuehl" w:hint="cs"/>
            <w:rtl/>
          </w:rPr>
          <w:t>ע"ט</w:t>
        </w:r>
        <w:r w:rsidRPr="00EC6EF0">
          <w:rPr>
            <w:rStyle w:val="Hyperlink"/>
            <w:rFonts w:cs="FrankRuehl" w:hint="cs"/>
            <w:rtl/>
          </w:rPr>
          <w:t xml:space="preserve"> מס' </w:t>
        </w:r>
        <w:r w:rsidR="007F7892" w:rsidRPr="00EC6EF0">
          <w:rPr>
            <w:rStyle w:val="Hyperlink"/>
            <w:rFonts w:cs="FrankRuehl" w:hint="cs"/>
            <w:rtl/>
          </w:rPr>
          <w:t>8261</w:t>
        </w:r>
      </w:hyperlink>
      <w:r>
        <w:rPr>
          <w:rFonts w:cs="FrankRuehl" w:hint="cs"/>
          <w:rtl/>
        </w:rPr>
        <w:t xml:space="preserve"> מיום </w:t>
      </w:r>
      <w:r w:rsidR="007F7892">
        <w:rPr>
          <w:rFonts w:cs="FrankRuehl" w:hint="cs"/>
          <w:rtl/>
        </w:rPr>
        <w:t>19.8.2019</w:t>
      </w:r>
      <w:r>
        <w:rPr>
          <w:rFonts w:cs="FrankRuehl" w:hint="cs"/>
          <w:rtl/>
        </w:rPr>
        <w:t xml:space="preserve"> עמ' </w:t>
      </w:r>
      <w:r w:rsidR="007F7892">
        <w:rPr>
          <w:rFonts w:cs="FrankRuehl" w:hint="cs"/>
          <w:rtl/>
        </w:rPr>
        <w:t>3590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1C58" w14:textId="77777777" w:rsidR="00CD7A76" w:rsidRDefault="00CD7A7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80C3521" w14:textId="77777777" w:rsidR="00CD7A76" w:rsidRDefault="00CD7A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5F390A" w14:textId="77777777" w:rsidR="00CD7A76" w:rsidRDefault="00CD7A7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50EB1" w14:textId="77777777" w:rsidR="00CD7A76" w:rsidRDefault="00CD7A7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הוראות שעת חירום (פיקוח על כלי שיט) (איסור שיט סביב אסדת ההפקה </w:t>
    </w:r>
    <w:r w:rsidR="007F7892">
      <w:rPr>
        <w:rFonts w:hAnsi="FrankRuehl" w:cs="FrankRuehl" w:hint="cs"/>
        <w:color w:val="000000"/>
        <w:sz w:val="28"/>
        <w:szCs w:val="28"/>
        <w:rtl/>
      </w:rPr>
      <w:t>לוויתן), תשע"ט-2019</w:t>
    </w:r>
  </w:p>
  <w:p w14:paraId="47F15D43" w14:textId="77777777" w:rsidR="00CD7A76" w:rsidRDefault="00CD7A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93BFB0" w14:textId="77777777" w:rsidR="00CD7A76" w:rsidRDefault="00CD7A7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4672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D7E"/>
    <w:rsid w:val="000635EF"/>
    <w:rsid w:val="000F6A2A"/>
    <w:rsid w:val="002D4498"/>
    <w:rsid w:val="0031651A"/>
    <w:rsid w:val="003853E8"/>
    <w:rsid w:val="00440E73"/>
    <w:rsid w:val="005C274B"/>
    <w:rsid w:val="00634D7E"/>
    <w:rsid w:val="007F7892"/>
    <w:rsid w:val="008206CA"/>
    <w:rsid w:val="008F6646"/>
    <w:rsid w:val="00CD7A76"/>
    <w:rsid w:val="00D115B3"/>
    <w:rsid w:val="00E301EF"/>
    <w:rsid w:val="00E909DD"/>
    <w:rsid w:val="00EC6EF0"/>
    <w:rsid w:val="00F925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53829351"/>
  <w15:chartTrackingRefBased/>
  <w15:docId w15:val="{822EA3DD-AD61-4818-819E-88A6018F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4392</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7798795</vt:i4>
      </vt:variant>
      <vt:variant>
        <vt:i4>0</vt:i4>
      </vt:variant>
      <vt:variant>
        <vt:i4>0</vt:i4>
      </vt:variant>
      <vt:variant>
        <vt:i4>5</vt:i4>
      </vt:variant>
      <vt:variant>
        <vt:lpwstr>http://www.nevo.co.il/Law_word/law06/tak-8261.pdf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הוראות שעת חירום (פיקוח על כלי שיט) (איסור שיט סביב אסדת ההפקה לוויתן), תשע"ט-2019</vt:lpwstr>
  </property>
  <property fmtid="{D5CDD505-2E9C-101B-9397-08002B2CF9AE}" pid="4" name="LAWNUMBER">
    <vt:lpwstr>0166</vt:lpwstr>
  </property>
  <property fmtid="{D5CDD505-2E9C-101B-9397-08002B2CF9AE}" pid="5" name="TYPE">
    <vt:lpwstr>01</vt:lpwstr>
  </property>
  <property fmtid="{D5CDD505-2E9C-101B-9397-08002B2CF9AE}" pid="6" name="CHNAME">
    <vt:lpwstr>כלי שיט</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פיקוח על כלי שיט</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ספנות ונמלים</vt:lpwstr>
  </property>
  <property fmtid="{D5CDD505-2E9C-101B-9397-08002B2CF9AE}" pid="14" name="NOSE42">
    <vt:lpwstr>כלי שיט</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להארכת תוקף של תקנות שעת חירום (פיקוח על כלי שיט) [נוסח משולב], תשל"ג-1973</vt:lpwstr>
  </property>
  <property fmtid="{D5CDD505-2E9C-101B-9397-08002B2CF9AE}" pid="48" name="MEKOR_LAWID1">
    <vt:lpwstr>73209</vt:lpwstr>
  </property>
  <property fmtid="{D5CDD505-2E9C-101B-9397-08002B2CF9AE}" pid="49" name="MEKOR_SAIF1">
    <vt:lpwstr>2X6X;5גX;7XגX;8בX</vt:lpwstr>
  </property>
  <property fmtid="{D5CDD505-2E9C-101B-9397-08002B2CF9AE}" pid="50" name="MEKORSAMCHUT">
    <vt:lpwstr/>
  </property>
  <property fmtid="{D5CDD505-2E9C-101B-9397-08002B2CF9AE}" pid="51" name="LINKK1">
    <vt:lpwstr>http://www.nevo.co.il/Law_word/law06/tak-8261.pdf;‎רשומות - תקנות כלליות#פורסמו ק"ת ‏תשע"ט מס' 8261 #מיום 19.8.2019 עמ' 3590‏</vt:lpwstr>
  </property>
  <property fmtid="{D5CDD505-2E9C-101B-9397-08002B2CF9AE}" pid="52" name="LINKK2">
    <vt:lpwstr/>
  </property>
  <property fmtid="{D5CDD505-2E9C-101B-9397-08002B2CF9AE}" pid="53" name="LINKK3">
    <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y fmtid="{D5CDD505-2E9C-101B-9397-08002B2CF9AE}" pid="61" name="LINKI1">
    <vt:lpwstr/>
  </property>
  <property fmtid="{D5CDD505-2E9C-101B-9397-08002B2CF9AE}" pid="62" name="LINKI2">
    <vt:lpwstr/>
  </property>
  <property fmtid="{D5CDD505-2E9C-101B-9397-08002B2CF9AE}" pid="63" name="LINKI3">
    <vt:lpwstr/>
  </property>
  <property fmtid="{D5CDD505-2E9C-101B-9397-08002B2CF9AE}" pid="64" name="LINKI4">
    <vt:lpwstr/>
  </property>
  <property fmtid="{D5CDD505-2E9C-101B-9397-08002B2CF9AE}" pid="65" name="LINKI5">
    <vt:lpwstr/>
  </property>
</Properties>
</file>