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9E23" w14:textId="77777777" w:rsidR="00CD7A76" w:rsidRDefault="00CD7A76" w:rsidP="00E909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הוראות שעת חירום (פיקוח על כלי שיט) (איסור שיט סביב אסדת ההפקה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מרי-</w:t>
      </w:r>
      <w:r>
        <w:rPr>
          <w:rFonts w:cs="FrankRuehl"/>
          <w:sz w:val="24"/>
          <w:szCs w:val="24"/>
        </w:rPr>
        <w:t>B</w:t>
      </w:r>
      <w:r>
        <w:rPr>
          <w:rFonts w:cs="FrankRuehl" w:hint="cs"/>
          <w:sz w:val="32"/>
          <w:rtl/>
        </w:rPr>
        <w:t>), תשס"ד-2004</w:t>
      </w:r>
    </w:p>
    <w:p w14:paraId="4D5D861F" w14:textId="77777777" w:rsidR="00634D7E" w:rsidRPr="00634D7E" w:rsidRDefault="00634D7E" w:rsidP="00634D7E">
      <w:pPr>
        <w:spacing w:line="320" w:lineRule="auto"/>
        <w:rPr>
          <w:rFonts w:cs="FrankRuehl"/>
          <w:szCs w:val="26"/>
          <w:rtl/>
        </w:rPr>
      </w:pPr>
    </w:p>
    <w:p w14:paraId="17EF3233" w14:textId="77777777" w:rsidR="00634D7E" w:rsidRDefault="00634D7E" w:rsidP="00634D7E">
      <w:pPr>
        <w:spacing w:line="320" w:lineRule="auto"/>
        <w:rPr>
          <w:rFonts w:cs="Miriam"/>
          <w:szCs w:val="22"/>
          <w:rtl/>
        </w:rPr>
      </w:pPr>
      <w:r w:rsidRPr="00634D7E">
        <w:rPr>
          <w:rFonts w:cs="Miriam"/>
          <w:szCs w:val="22"/>
          <w:rtl/>
        </w:rPr>
        <w:t>בטחון</w:t>
      </w:r>
      <w:r w:rsidRPr="00634D7E">
        <w:rPr>
          <w:rFonts w:cs="FrankRuehl"/>
          <w:szCs w:val="26"/>
          <w:rtl/>
        </w:rPr>
        <w:t xml:space="preserve"> – שעת חירום – פיקוח על כלי שיט</w:t>
      </w:r>
    </w:p>
    <w:p w14:paraId="4E658753" w14:textId="77777777" w:rsidR="00634D7E" w:rsidRPr="00634D7E" w:rsidRDefault="00634D7E" w:rsidP="00634D7E">
      <w:pPr>
        <w:spacing w:line="320" w:lineRule="auto"/>
        <w:rPr>
          <w:rFonts w:cs="Miriam" w:hint="cs"/>
          <w:szCs w:val="22"/>
          <w:rtl/>
        </w:rPr>
      </w:pPr>
      <w:r w:rsidRPr="00634D7E">
        <w:rPr>
          <w:rFonts w:cs="Miriam"/>
          <w:szCs w:val="22"/>
          <w:rtl/>
        </w:rPr>
        <w:t>רשויות ומשפט מנהלי</w:t>
      </w:r>
      <w:r w:rsidRPr="00634D7E">
        <w:rPr>
          <w:rFonts w:cs="FrankRuehl"/>
          <w:szCs w:val="26"/>
          <w:rtl/>
        </w:rPr>
        <w:t xml:space="preserve"> – תשתיות – ספנות ונמלים – כלי שיט</w:t>
      </w:r>
    </w:p>
    <w:p w14:paraId="280548DB" w14:textId="77777777" w:rsidR="00634D7E" w:rsidRDefault="00634D7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D7A76" w14:paraId="34EA3F3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C8BAE5" w14:textId="77777777" w:rsidR="00CD7A76" w:rsidRDefault="00CD7A76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Seif0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1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8B6CC04" w14:textId="77777777" w:rsidR="00CD7A76" w:rsidRDefault="00CD7A76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7BD93CA" w14:textId="77777777" w:rsidR="00CD7A76" w:rsidRDefault="00CD7A76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הגדרות</w:t>
            </w:r>
          </w:p>
        </w:tc>
        <w:tc>
          <w:tcPr>
            <w:tcW w:w="1247" w:type="dxa"/>
          </w:tcPr>
          <w:p w14:paraId="2EDB7A29" w14:textId="77777777" w:rsidR="00CD7A76" w:rsidRDefault="00CD7A76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 </w:t>
            </w:r>
          </w:p>
        </w:tc>
      </w:tr>
      <w:tr w:rsidR="00CD7A76" w14:paraId="5BE75AA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9876C3C" w14:textId="77777777" w:rsidR="00CD7A76" w:rsidRDefault="00CD7A76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1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B4FF211" w14:textId="77777777" w:rsidR="00CD7A76" w:rsidRDefault="00CD7A76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" w:tooltip="חובת הקמת קש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5065FD3" w14:textId="77777777" w:rsidR="00CD7A76" w:rsidRDefault="00CD7A76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חובת הקמת קשר</w:t>
            </w:r>
          </w:p>
        </w:tc>
        <w:tc>
          <w:tcPr>
            <w:tcW w:w="1247" w:type="dxa"/>
          </w:tcPr>
          <w:p w14:paraId="2096FFFD" w14:textId="77777777" w:rsidR="00CD7A76" w:rsidRDefault="00CD7A76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2 </w:t>
            </w:r>
          </w:p>
        </w:tc>
      </w:tr>
      <w:tr w:rsidR="00CD7A76" w14:paraId="703B00D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58EDA3E" w14:textId="77777777" w:rsidR="00CD7A76" w:rsidRDefault="00CD7A76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Seif2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1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457613A" w14:textId="77777777" w:rsidR="00CD7A76" w:rsidRDefault="00CD7A76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2" w:tooltip="איסור ש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739CCB5" w14:textId="77777777" w:rsidR="00CD7A76" w:rsidRDefault="00CD7A76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איסור שיט</w:t>
            </w:r>
          </w:p>
        </w:tc>
        <w:tc>
          <w:tcPr>
            <w:tcW w:w="1247" w:type="dxa"/>
          </w:tcPr>
          <w:p w14:paraId="4F6EFF0A" w14:textId="77777777" w:rsidR="00CD7A76" w:rsidRDefault="00CD7A76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3 </w:t>
            </w:r>
          </w:p>
        </w:tc>
      </w:tr>
      <w:tr w:rsidR="00CD7A76" w14:paraId="4FC9B59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29B3821" w14:textId="77777777" w:rsidR="00CD7A76" w:rsidRDefault="00CD7A76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Seif3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1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7C51A89" w14:textId="77777777" w:rsidR="00CD7A76" w:rsidRDefault="00CD7A76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3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F97DDBA" w14:textId="77777777" w:rsidR="00CD7A76" w:rsidRDefault="00CD7A76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שמירת דינים</w:t>
            </w:r>
          </w:p>
        </w:tc>
        <w:tc>
          <w:tcPr>
            <w:tcW w:w="1247" w:type="dxa"/>
          </w:tcPr>
          <w:p w14:paraId="2021E7E3" w14:textId="77777777" w:rsidR="00CD7A76" w:rsidRDefault="00CD7A76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4 </w:t>
            </w:r>
          </w:p>
        </w:tc>
      </w:tr>
    </w:tbl>
    <w:p w14:paraId="08488906" w14:textId="77777777" w:rsidR="00E909DD" w:rsidRDefault="00E909DD" w:rsidP="00E909DD">
      <w:pPr>
        <w:pStyle w:val="big-header"/>
        <w:ind w:left="0" w:right="1134"/>
        <w:rPr>
          <w:rFonts w:hint="cs"/>
          <w:sz w:val="32"/>
          <w:rtl/>
        </w:rPr>
      </w:pPr>
    </w:p>
    <w:p w14:paraId="61BD67DF" w14:textId="77777777" w:rsidR="00E909DD" w:rsidRDefault="00E909DD" w:rsidP="00E909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 xml:space="preserve">הוראות שעת חירום (פיקוח על כלי שיט) (איסור שיט סביב אסדת ההפקה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מרי-</w:t>
      </w:r>
      <w:r>
        <w:rPr>
          <w:rFonts w:cs="FrankRuehl"/>
          <w:sz w:val="24"/>
          <w:szCs w:val="24"/>
        </w:rPr>
        <w:t>B</w:t>
      </w:r>
      <w:r>
        <w:rPr>
          <w:rFonts w:cs="FrankRuehl" w:hint="cs"/>
          <w:sz w:val="32"/>
          <w:rtl/>
        </w:rPr>
        <w:t>), תשס"ד-2004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A46B4CC" w14:textId="77777777" w:rsidR="00CD7A76" w:rsidRDefault="00CD7A7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 לפי תקנות 2(6) ו-22 בתוספת להארכת תוקף של תקנות שעת חירום (פיקוח על כלי שיט) [נוסח משולב], התשל"ג-1973, ומאחר שאני רואה בכך צורך מטעמים שבביטחון המדינה, באישור ועדת הכלכלה של הכנסת לפי סעיף 2(ב) לחוק העונשין, התשל"ז-1977, אני מורה לאמור:</w:t>
      </w:r>
    </w:p>
    <w:p w14:paraId="4592C755" w14:textId="77777777" w:rsidR="00CD7A76" w:rsidRDefault="00CD7A76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13275A64">
          <v:rect id="_x0000_s1026" style="position:absolute;left:0;text-align:left;margin-left:468pt;margin-top:8.05pt;width:70.55pt;height:10pt;z-index:251656192" filled="f" stroked="f" strokecolor="lime" strokeweight=".25pt">
            <v:textbox style="mso-next-textbox:#_x0000_s1026" inset="1mm,0,1mm,0">
              <w:txbxContent>
                <w:p w14:paraId="024A65BA" w14:textId="77777777" w:rsidR="00CD7A76" w:rsidRDefault="00CD7A7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 xml:space="preserve">בהוראות אלה </w:t>
      </w:r>
      <w:r>
        <w:rPr>
          <w:rStyle w:val="big-number"/>
          <w:rFonts w:cs="FrankRuehl"/>
          <w:sz w:val="26"/>
          <w:szCs w:val="26"/>
          <w:rtl/>
        </w:rPr>
        <w:t>–</w:t>
      </w:r>
    </w:p>
    <w:p w14:paraId="2AF5DDD3" w14:textId="77777777" w:rsidR="00CD7A76" w:rsidRDefault="00CD7A76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 xml:space="preserve">"אזור אסור לשיט"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שטח ברדיוס של </w:t>
      </w:r>
      <w:smartTag w:uri="urn:schemas-microsoft-com:office:smarttags" w:element="place">
        <w:smartTagPr>
          <w:attr w:name="ProductID" w:val="3 מייל"/>
        </w:smartTagPr>
        <w:r>
          <w:rPr>
            <w:rStyle w:val="big-number"/>
            <w:rFonts w:cs="FrankRuehl" w:hint="cs"/>
            <w:sz w:val="26"/>
            <w:szCs w:val="26"/>
            <w:rtl/>
          </w:rPr>
          <w:t>3 מייל</w:t>
        </w:r>
      </w:smartTag>
      <w:r>
        <w:rPr>
          <w:rStyle w:val="big-number"/>
          <w:rFonts w:cs="FrankRuehl" w:hint="cs"/>
          <w:sz w:val="26"/>
          <w:szCs w:val="26"/>
          <w:rtl/>
        </w:rPr>
        <w:t xml:space="preserve"> ימי, המקיף את האסדה והמסומן בקווים אלכסוניים בצבע אדום במפה שבתוספת;</w:t>
      </w:r>
    </w:p>
    <w:p w14:paraId="354BA83E" w14:textId="77777777" w:rsidR="00CD7A76" w:rsidRDefault="00CD7A76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 xml:space="preserve">"האסדה"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אסדת הפקה "מרי-</w:t>
      </w:r>
      <w:r>
        <w:rPr>
          <w:rStyle w:val="big-number"/>
          <w:rFonts w:cs="FrankRuehl"/>
          <w:sz w:val="20"/>
          <w:szCs w:val="20"/>
        </w:rPr>
        <w:t>B</w:t>
      </w:r>
      <w:r>
        <w:rPr>
          <w:rStyle w:val="big-number"/>
          <w:rFonts w:cs="FrankRuehl" w:hint="cs"/>
          <w:sz w:val="26"/>
          <w:szCs w:val="26"/>
          <w:rtl/>
        </w:rPr>
        <w:t>" (</w:t>
      </w:r>
      <w:r>
        <w:rPr>
          <w:rStyle w:val="big-number"/>
          <w:rFonts w:cs="FrankRuehl"/>
          <w:sz w:val="20"/>
          <w:szCs w:val="20"/>
        </w:rPr>
        <w:t>MARI-B</w:t>
      </w:r>
      <w:r>
        <w:rPr>
          <w:rStyle w:val="big-number"/>
          <w:rFonts w:cs="FrankRuehl" w:hint="cs"/>
          <w:sz w:val="26"/>
          <w:szCs w:val="26"/>
          <w:rtl/>
        </w:rPr>
        <w:t>), שמיקומה בנקודה:</w:t>
      </w:r>
    </w:p>
    <w:p w14:paraId="32821C07" w14:textId="77777777" w:rsidR="00CD7A76" w:rsidRDefault="00CD7A76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0"/>
          <w:szCs w:val="20"/>
        </w:rPr>
        <w:t>N</w:t>
      </w:r>
      <w:r>
        <w:rPr>
          <w:rStyle w:val="big-number"/>
          <w:rFonts w:cs="FrankRuehl" w:hint="cs"/>
          <w:sz w:val="26"/>
          <w:szCs w:val="26"/>
          <w:rtl/>
        </w:rPr>
        <w:t xml:space="preserve"> "08'44</w:t>
      </w:r>
      <w:r>
        <w:rPr>
          <w:rStyle w:val="big-number"/>
          <w:rFonts w:cs="FrankRuehl" w:hint="eastAsia"/>
          <w:sz w:val="26"/>
          <w:szCs w:val="26"/>
        </w:rPr>
        <w:t>º</w:t>
      </w:r>
      <w:r>
        <w:rPr>
          <w:rStyle w:val="big-number"/>
          <w:rFonts w:cs="FrankRuehl" w:hint="cs"/>
          <w:sz w:val="26"/>
          <w:szCs w:val="26"/>
          <w:rtl/>
        </w:rPr>
        <w:t>31;</w:t>
      </w:r>
    </w:p>
    <w:p w14:paraId="447A19A6" w14:textId="77777777" w:rsidR="00CD7A76" w:rsidRDefault="00CD7A76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0"/>
          <w:szCs w:val="20"/>
        </w:rPr>
        <w:t>E</w:t>
      </w:r>
      <w:r>
        <w:rPr>
          <w:rStyle w:val="big-number"/>
          <w:rFonts w:cs="FrankRuehl" w:hint="cs"/>
          <w:sz w:val="26"/>
          <w:szCs w:val="26"/>
          <w:rtl/>
        </w:rPr>
        <w:t xml:space="preserve"> "43'17</w:t>
      </w:r>
      <w:r>
        <w:rPr>
          <w:rStyle w:val="big-number"/>
          <w:rFonts w:cs="FrankRuehl" w:hint="eastAsia"/>
          <w:sz w:val="26"/>
          <w:szCs w:val="26"/>
        </w:rPr>
        <w:t>º</w:t>
      </w:r>
      <w:r>
        <w:rPr>
          <w:rStyle w:val="big-number"/>
          <w:rFonts w:cs="FrankRuehl" w:hint="cs"/>
          <w:sz w:val="26"/>
          <w:szCs w:val="26"/>
          <w:rtl/>
        </w:rPr>
        <w:t>34;</w:t>
      </w:r>
    </w:p>
    <w:p w14:paraId="1B36DEBB" w14:textId="77777777" w:rsidR="00CD7A76" w:rsidRDefault="00CD7A76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 xml:space="preserve">"הרשות המאשרת"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מפקד חיל הים של צבא הגנה לישראל או מי שהוסמך על ידו לענין הוראות אלה;</w:t>
      </w:r>
    </w:p>
    <w:p w14:paraId="230B7537" w14:textId="77777777" w:rsidR="00CD7A76" w:rsidRDefault="00CD7A76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 xml:space="preserve">"התג"מ הימי"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תדרים גבוהים מאוד בתחום הימי.</w:t>
      </w:r>
    </w:p>
    <w:p w14:paraId="099C8B30" w14:textId="77777777" w:rsidR="00CD7A76" w:rsidRDefault="00CD7A7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67C363AD">
          <v:rect id="_x0000_s1152" style="position:absolute;left:0;text-align:left;margin-left:468pt;margin-top:8.05pt;width:70.55pt;height:8.95pt;z-index:251657216" filled="f" stroked="f" strokecolor="lime" strokeweight=".25pt">
            <v:textbox style="mso-next-textbox:#_x0000_s1152" inset="1mm,0,1mm,0">
              <w:txbxContent>
                <w:p w14:paraId="72132011" w14:textId="77777777" w:rsidR="00CD7A76" w:rsidRDefault="00CD7A7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חובת הקמת קשר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בעל כלי שיט, קברניטו או מי שבידו השליטה בכלי שיט, המפליג במרחק שאינו עולה על </w:t>
      </w:r>
      <w:smartTag w:uri="urn:schemas-microsoft-com:office:smarttags" w:element="place">
        <w:smartTagPr>
          <w:attr w:name="ProductID" w:val="5 מייל"/>
        </w:smartTagPr>
        <w:r>
          <w:rPr>
            <w:rStyle w:val="default"/>
            <w:rFonts w:cs="FrankRuehl" w:hint="cs"/>
            <w:rtl/>
          </w:rPr>
          <w:t>5 מייל</w:t>
        </w:r>
      </w:smartTag>
      <w:r>
        <w:rPr>
          <w:rStyle w:val="default"/>
          <w:rFonts w:cs="FrankRuehl" w:hint="cs"/>
          <w:rtl/>
        </w:rPr>
        <w:t xml:space="preserve"> ימי מהאסדה, יקים קשר עם האסדה או עם תחנת החוף רדיו חיפה (0 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 w:hint="cs"/>
          <w:rtl/>
        </w:rPr>
        <w:t xml:space="preserve"> 4); הקשר יקוים על ערוץ 16 בתג"מ הימי.</w:t>
      </w:r>
    </w:p>
    <w:p w14:paraId="5594597F" w14:textId="77777777" w:rsidR="00CD7A76" w:rsidRDefault="00CD7A76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2" w:name="Seif2"/>
      <w:bookmarkEnd w:id="2"/>
      <w:r>
        <w:rPr>
          <w:rFonts w:cs="Miriam"/>
          <w:lang w:val="he-IL"/>
        </w:rPr>
        <w:pict w14:anchorId="4DD3CA46">
          <v:rect id="_x0000_s1166" style="position:absolute;left:0;text-align:left;margin-left:468pt;margin-top:8.05pt;width:70.55pt;height:10.65pt;z-index:251658240" filled="f" stroked="f" strokecolor="lime" strokeweight=".25pt">
            <v:textbox style="mso-next-textbox:#_x0000_s1166" inset="1mm,0,1mm,0">
              <w:txbxContent>
                <w:p w14:paraId="5B2EB020" w14:textId="77777777" w:rsidR="00CD7A76" w:rsidRDefault="00CD7A7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שיט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(א)</w:t>
      </w:r>
      <w:r>
        <w:rPr>
          <w:rStyle w:val="big-number"/>
          <w:rFonts w:cs="FrankRuehl" w:hint="cs"/>
          <w:sz w:val="26"/>
          <w:szCs w:val="26"/>
          <w:rtl/>
        </w:rPr>
        <w:tab/>
        <w:t>בעל כלי שיט, קברניטו או מי שבידו השליטה בכלי שיט, לא ישיט כלי שיט ולא יפליג בו באזור האסור לשיט, אלא באישור מראש מאת הרשות המאשרת, ובתנאים שהורתה עליהם.</w:t>
      </w:r>
    </w:p>
    <w:p w14:paraId="373A4BA8" w14:textId="77777777" w:rsidR="00CD7A76" w:rsidRDefault="00CD7A76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>(ב)</w:t>
      </w:r>
      <w:r>
        <w:rPr>
          <w:rStyle w:val="big-number"/>
          <w:rFonts w:cs="FrankRuehl" w:hint="cs"/>
          <w:sz w:val="26"/>
          <w:szCs w:val="26"/>
          <w:rtl/>
        </w:rPr>
        <w:tab/>
        <w:t>האיסור הקבוע בסעיף קטן (א) לא יחול על בעל זכות-נפט מכוח חוק הנפט, התשי"ב-1952, בשטח האסור לשיט או על נותן שירותים לבעל זכות-נפט כאמור, בכפוף לכך שכל השטה של כלי שיט או הפלגה בו באזור האסור לשיט ייעשו בתיאום מראש עם הרשות המאשרת ובתנאים שהורתה עליהם; למרות האמור, ראתה הרשות המאשרת כי טעמי ביטחון מונעים זאת, לא יחול הסייג הקבוע ברישה לסעיף קטן זה כל עוד טעמי ביטחון אלה שרירים וקיימים.</w:t>
      </w:r>
    </w:p>
    <w:p w14:paraId="527542CC" w14:textId="77777777" w:rsidR="00CD7A76" w:rsidRDefault="00CD7A76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3" w:name="Seif3"/>
      <w:bookmarkEnd w:id="3"/>
      <w:r>
        <w:rPr>
          <w:rFonts w:cs="Miriam"/>
          <w:lang w:val="he-IL"/>
        </w:rPr>
        <w:pict w14:anchorId="5103C4E2">
          <v:rect id="_x0000_s1169" style="position:absolute;left:0;text-align:left;margin-left:468pt;margin-top:8.05pt;width:70.55pt;height:10pt;z-index:251659264" filled="f" stroked="f" strokecolor="lime" strokeweight=".25pt">
            <v:textbox style="mso-next-textbox:#_x0000_s1169" inset="1mm,0,1mm,0">
              <w:txbxContent>
                <w:p w14:paraId="10A68218" w14:textId="77777777" w:rsidR="00CD7A76" w:rsidRDefault="00CD7A7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אין בהוראות אלה כדי לגרוע מהוראות כל דין לענין חובות המוטלות על בעל כלי שיט, קברניטו או מי שבידו השליטה בכלי השיט.</w:t>
      </w:r>
    </w:p>
    <w:p w14:paraId="779072FC" w14:textId="77777777" w:rsidR="00CD7A76" w:rsidRDefault="00CD7A76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p w14:paraId="7B981671" w14:textId="77777777" w:rsidR="00E909DD" w:rsidRDefault="00E909DD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br w:type="page"/>
      </w:r>
    </w:p>
    <w:p w14:paraId="14A1F8A5" w14:textId="77777777" w:rsidR="00CD7A76" w:rsidRDefault="00CD7A76">
      <w:pPr>
        <w:pStyle w:val="P00"/>
        <w:spacing w:before="72"/>
        <w:ind w:left="0" w:right="1134"/>
        <w:jc w:val="center"/>
        <w:rPr>
          <w:rStyle w:val="big-number"/>
          <w:rFonts w:cs="FrankRuehl" w:hint="cs"/>
          <w:b/>
          <w:bCs/>
          <w:sz w:val="24"/>
          <w:szCs w:val="24"/>
          <w:rtl/>
        </w:rPr>
      </w:pPr>
      <w:r>
        <w:rPr>
          <w:rStyle w:val="big-number"/>
          <w:rFonts w:cs="FrankRuehl" w:hint="cs"/>
          <w:b/>
          <w:bCs/>
          <w:sz w:val="24"/>
          <w:szCs w:val="24"/>
          <w:rtl/>
        </w:rPr>
        <w:t>תוספת</w:t>
      </w:r>
    </w:p>
    <w:p w14:paraId="24CC94B4" w14:textId="77777777" w:rsidR="00CD7A76" w:rsidRDefault="00CD7A76">
      <w:pPr>
        <w:pStyle w:val="P00"/>
        <w:spacing w:before="72"/>
        <w:ind w:left="0" w:right="1134"/>
        <w:jc w:val="center"/>
        <w:rPr>
          <w:rStyle w:val="big-number"/>
          <w:rFonts w:cs="FrankRuehl" w:hint="cs"/>
          <w:sz w:val="24"/>
          <w:szCs w:val="24"/>
          <w:rtl/>
        </w:rPr>
      </w:pPr>
      <w:r>
        <w:rPr>
          <w:rStyle w:val="big-number"/>
          <w:rFonts w:cs="FrankRuehl" w:hint="cs"/>
          <w:sz w:val="24"/>
          <w:szCs w:val="24"/>
          <w:rtl/>
        </w:rPr>
        <w:t>(סעיף 1)</w:t>
      </w:r>
    </w:p>
    <w:p w14:paraId="57719129" w14:textId="77777777" w:rsidR="00CD7A76" w:rsidRPr="00E909DD" w:rsidRDefault="00E909DD" w:rsidP="00E909D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Cs w:val="20"/>
          <w:rtl/>
        </w:rPr>
      </w:pPr>
      <w:r w:rsidRPr="00E909DD">
        <w:rPr>
          <w:rStyle w:val="default"/>
          <w:rFonts w:cs="FrankRueh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6pt;height:161.7pt">
            <v:imagedata r:id="rId7" o:title=""/>
          </v:shape>
        </w:pict>
      </w:r>
    </w:p>
    <w:p w14:paraId="3ADAAE95" w14:textId="77777777" w:rsidR="00E909DD" w:rsidRDefault="00E909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68580D" w14:textId="77777777" w:rsidR="00E909DD" w:rsidRDefault="00E909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06E755" w14:textId="77777777" w:rsidR="00CD7A76" w:rsidRDefault="00CD7A76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ט' בניסן התשס"ד (31 במרס 2004)</w:t>
      </w:r>
    </w:p>
    <w:p w14:paraId="2BE55E0E" w14:textId="77777777" w:rsidR="00CD7A76" w:rsidRDefault="00CD7A76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ab/>
        <w:t>אריה רונה</w:t>
      </w:r>
    </w:p>
    <w:p w14:paraId="1955FF14" w14:textId="77777777" w:rsidR="00CD7A76" w:rsidRDefault="00CD7A76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מנהל מינהל הספנות והנמלים</w:t>
      </w:r>
    </w:p>
    <w:sectPr w:rsidR="00CD7A76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DA861" w14:textId="77777777" w:rsidR="003853E8" w:rsidRDefault="003853E8">
      <w:r>
        <w:separator/>
      </w:r>
    </w:p>
  </w:endnote>
  <w:endnote w:type="continuationSeparator" w:id="0">
    <w:p w14:paraId="47685E26" w14:textId="77777777" w:rsidR="003853E8" w:rsidRDefault="00385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28CB0" w14:textId="77777777" w:rsidR="00CD7A76" w:rsidRDefault="00CD7A7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37C0CCA" w14:textId="77777777" w:rsidR="00CD7A76" w:rsidRDefault="00CD7A7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903547B" w14:textId="77777777" w:rsidR="00CD7A76" w:rsidRDefault="00CD7A7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M:\00000000\law\index\001-100\999_293.doc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C8828" w14:textId="77777777" w:rsidR="00CD7A76" w:rsidRDefault="00CD7A7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909D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E6032E2" w14:textId="77777777" w:rsidR="00CD7A76" w:rsidRDefault="00CD7A7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B8CE576" w14:textId="77777777" w:rsidR="00CD7A76" w:rsidRDefault="00CD7A7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M:\00000000\law\index\001-100\999_293.doc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4E9B2" w14:textId="77777777" w:rsidR="003853E8" w:rsidRDefault="003853E8">
      <w:r>
        <w:separator/>
      </w:r>
    </w:p>
  </w:footnote>
  <w:footnote w:type="continuationSeparator" w:id="0">
    <w:p w14:paraId="43115160" w14:textId="77777777" w:rsidR="003853E8" w:rsidRDefault="003853E8">
      <w:r>
        <w:continuationSeparator/>
      </w:r>
    </w:p>
  </w:footnote>
  <w:footnote w:id="1">
    <w:p w14:paraId="3117A6D7" w14:textId="77777777" w:rsidR="00E909DD" w:rsidRDefault="00E909DD" w:rsidP="00E909D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634D7E">
          <w:rPr>
            <w:rStyle w:val="Hyperlink"/>
            <w:rFonts w:cs="FrankRuehl" w:hint="cs"/>
            <w:rtl/>
          </w:rPr>
          <w:t>ק"ת תשס"ד מס' 6310</w:t>
        </w:r>
      </w:hyperlink>
      <w:r>
        <w:rPr>
          <w:rFonts w:cs="FrankRuehl" w:hint="cs"/>
          <w:rtl/>
        </w:rPr>
        <w:t xml:space="preserve"> מיום 2.5.2004 עמ' 475.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C910E" w14:textId="77777777" w:rsidR="00CD7A76" w:rsidRDefault="00CD7A76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015AB17" w14:textId="77777777" w:rsidR="00CD7A76" w:rsidRDefault="00CD7A7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A516580" w14:textId="77777777" w:rsidR="00CD7A76" w:rsidRDefault="00CD7A7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C3172" w14:textId="77777777" w:rsidR="00CD7A76" w:rsidRDefault="00CD7A76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הוראות שעת חירום (פיקוח על כלי שיט) (איסור שיט סביב אסדת ההפקה מרי-</w:t>
    </w:r>
    <w:r>
      <w:rPr>
        <w:rFonts w:hAnsi="FrankRuehl" w:cs="FrankRuehl"/>
        <w:color w:val="000000"/>
        <w:sz w:val="22"/>
        <w:szCs w:val="22"/>
      </w:rPr>
      <w:t>B</w:t>
    </w:r>
    <w:r>
      <w:rPr>
        <w:rFonts w:hAnsi="FrankRuehl" w:cs="FrankRuehl" w:hint="cs"/>
        <w:color w:val="000000"/>
        <w:sz w:val="28"/>
        <w:szCs w:val="28"/>
        <w:rtl/>
      </w:rPr>
      <w:t>), תשס"ד-2004</w:t>
    </w:r>
  </w:p>
  <w:p w14:paraId="1D11942B" w14:textId="77777777" w:rsidR="00CD7A76" w:rsidRDefault="00CD7A7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66E007A" w14:textId="77777777" w:rsidR="00CD7A76" w:rsidRDefault="00CD7A7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1326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4D7E"/>
    <w:rsid w:val="003853E8"/>
    <w:rsid w:val="005C274B"/>
    <w:rsid w:val="00634D7E"/>
    <w:rsid w:val="00744DA1"/>
    <w:rsid w:val="008206CA"/>
    <w:rsid w:val="00CD7A76"/>
    <w:rsid w:val="00E301EF"/>
    <w:rsid w:val="00E9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4:docId w14:val="5FF5A13F"/>
  <w15:chartTrackingRefBased/>
  <w15:docId w15:val="{83FB5614-AB6A-4F8C-B1EA-B21D7E4A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3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2154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הוראות שעת חירום (פיקוח על כלי שיט) (איסור שיט סביב אסדת ההפקה מרי-B), תשס"ד-2004</vt:lpwstr>
  </property>
  <property fmtid="{D5CDD505-2E9C-101B-9397-08002B2CF9AE}" pid="4" name="LAWNUMBER">
    <vt:lpwstr>0293</vt:lpwstr>
  </property>
  <property fmtid="{D5CDD505-2E9C-101B-9397-08002B2CF9AE}" pid="5" name="TYPE">
    <vt:lpwstr>01</vt:lpwstr>
  </property>
  <property fmtid="{D5CDD505-2E9C-101B-9397-08002B2CF9AE}" pid="6" name="CHNAME">
    <vt:lpwstr>כלי שיט</vt:lpwstr>
  </property>
  <property fmtid="{D5CDD505-2E9C-101B-9397-08002B2CF9AE}" pid="7" name="NOSE11">
    <vt:lpwstr>בטחון</vt:lpwstr>
  </property>
  <property fmtid="{D5CDD505-2E9C-101B-9397-08002B2CF9AE}" pid="8" name="NOSE21">
    <vt:lpwstr>שעת חירום</vt:lpwstr>
  </property>
  <property fmtid="{D5CDD505-2E9C-101B-9397-08002B2CF9AE}" pid="9" name="NOSE31">
    <vt:lpwstr>פיקוח על כלי שיט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תשתיות</vt:lpwstr>
  </property>
  <property fmtid="{D5CDD505-2E9C-101B-9397-08002B2CF9AE}" pid="13" name="NOSE32">
    <vt:lpwstr>ספנות ונמלים</vt:lpwstr>
  </property>
  <property fmtid="{D5CDD505-2E9C-101B-9397-08002B2CF9AE}" pid="14" name="NOSE42">
    <vt:lpwstr>כלי שיט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תקנות שעת חירום (פיקוח על כלי שיט)‏</vt:lpwstr>
  </property>
  <property fmtid="{D5CDD505-2E9C-101B-9397-08002B2CF9AE}" pid="48" name="MEKOR_SAIF1">
    <vt:lpwstr>2X6X;22X</vt:lpwstr>
  </property>
  <property fmtid="{D5CDD505-2E9C-101B-9397-08002B2CF9AE}" pid="49" name="MEKOR_NAME2">
    <vt:lpwstr>חוק העונשין</vt:lpwstr>
  </property>
  <property fmtid="{D5CDD505-2E9C-101B-9397-08002B2CF9AE}" pid="50" name="MEKOR_SAIF2">
    <vt:lpwstr>2XבX</vt:lpwstr>
  </property>
</Properties>
</file>