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C044F" w14:textId="77777777" w:rsidR="00CD7A76" w:rsidRDefault="00CD7A76" w:rsidP="00E909DD">
      <w:pPr>
        <w:pStyle w:val="big-header"/>
        <w:ind w:left="0" w:right="1134"/>
        <w:rPr>
          <w:rFonts w:cs="FrankRuehl" w:hint="cs"/>
          <w:sz w:val="32"/>
          <w:rtl/>
        </w:rPr>
      </w:pPr>
      <w:r>
        <w:rPr>
          <w:rFonts w:cs="FrankRuehl" w:hint="cs"/>
          <w:sz w:val="32"/>
          <w:rtl/>
        </w:rPr>
        <w:t xml:space="preserve">הוראות שעת חירום (פיקוח על כלי שיט) (איסור שיט סביב אסדת </w:t>
      </w:r>
      <w:r w:rsidR="007B483B">
        <w:rPr>
          <w:rFonts w:cs="FrankRuehl" w:hint="cs"/>
          <w:sz w:val="32"/>
          <w:rtl/>
        </w:rPr>
        <w:t>כריש), תשפ"ב-2022</w:t>
      </w:r>
    </w:p>
    <w:p w14:paraId="75DE32B2" w14:textId="77777777" w:rsidR="00634D7E" w:rsidRPr="00634D7E" w:rsidRDefault="00634D7E" w:rsidP="00634D7E">
      <w:pPr>
        <w:spacing w:line="320" w:lineRule="auto"/>
        <w:rPr>
          <w:rFonts w:cs="FrankRuehl"/>
          <w:szCs w:val="26"/>
          <w:rtl/>
        </w:rPr>
      </w:pPr>
    </w:p>
    <w:p w14:paraId="684BDB5C" w14:textId="77777777" w:rsidR="00634D7E" w:rsidRDefault="00634D7E" w:rsidP="00634D7E">
      <w:pPr>
        <w:spacing w:line="320" w:lineRule="auto"/>
        <w:rPr>
          <w:rFonts w:cs="Miriam"/>
          <w:szCs w:val="22"/>
          <w:rtl/>
        </w:rPr>
      </w:pPr>
      <w:r w:rsidRPr="00634D7E">
        <w:rPr>
          <w:rFonts w:cs="Miriam"/>
          <w:szCs w:val="22"/>
          <w:rtl/>
        </w:rPr>
        <w:t>בטחון</w:t>
      </w:r>
      <w:r w:rsidRPr="00634D7E">
        <w:rPr>
          <w:rFonts w:cs="FrankRuehl"/>
          <w:szCs w:val="26"/>
          <w:rtl/>
        </w:rPr>
        <w:t xml:space="preserve"> – שעת חירום – פיקוח על כלי שיט</w:t>
      </w:r>
    </w:p>
    <w:p w14:paraId="412B4CA3" w14:textId="77777777" w:rsidR="00634D7E" w:rsidRPr="00634D7E" w:rsidRDefault="00634D7E" w:rsidP="00634D7E">
      <w:pPr>
        <w:spacing w:line="320" w:lineRule="auto"/>
        <w:rPr>
          <w:rFonts w:cs="Miriam" w:hint="cs"/>
          <w:szCs w:val="22"/>
          <w:rtl/>
        </w:rPr>
      </w:pPr>
      <w:r w:rsidRPr="00634D7E">
        <w:rPr>
          <w:rFonts w:cs="Miriam"/>
          <w:szCs w:val="22"/>
          <w:rtl/>
        </w:rPr>
        <w:t>רשויות ומשפט מנהלי</w:t>
      </w:r>
      <w:r w:rsidRPr="00634D7E">
        <w:rPr>
          <w:rFonts w:cs="FrankRuehl"/>
          <w:szCs w:val="26"/>
          <w:rtl/>
        </w:rPr>
        <w:t xml:space="preserve"> – תשתיות – ספנות ונמלים – כלי שיט</w:t>
      </w:r>
    </w:p>
    <w:p w14:paraId="3527D87D" w14:textId="77777777" w:rsidR="00634D7E" w:rsidRDefault="00634D7E">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2250E" w:rsidRPr="0052250E" w14:paraId="5F3B7707" w14:textId="77777777" w:rsidTr="0052250E">
        <w:tblPrEx>
          <w:tblCellMar>
            <w:top w:w="0" w:type="dxa"/>
            <w:bottom w:w="0" w:type="dxa"/>
          </w:tblCellMar>
        </w:tblPrEx>
        <w:tc>
          <w:tcPr>
            <w:tcW w:w="1247" w:type="dxa"/>
          </w:tcPr>
          <w:p w14:paraId="54A913FE" w14:textId="77777777" w:rsidR="0052250E" w:rsidRPr="0052250E" w:rsidRDefault="0052250E" w:rsidP="0052250E">
            <w:pPr>
              <w:rPr>
                <w:rFonts w:cs="Frankruhel" w:hint="cs"/>
                <w:rtl/>
              </w:rPr>
            </w:pPr>
            <w:r>
              <w:rPr>
                <w:rtl/>
              </w:rPr>
              <w:t xml:space="preserve">סעיף 1 </w:t>
            </w:r>
          </w:p>
        </w:tc>
        <w:tc>
          <w:tcPr>
            <w:tcW w:w="5669" w:type="dxa"/>
          </w:tcPr>
          <w:p w14:paraId="7570D648" w14:textId="77777777" w:rsidR="0052250E" w:rsidRPr="0052250E" w:rsidRDefault="0052250E" w:rsidP="0052250E">
            <w:pPr>
              <w:rPr>
                <w:rFonts w:cs="Frankruhel" w:hint="cs"/>
                <w:rtl/>
              </w:rPr>
            </w:pPr>
            <w:r>
              <w:rPr>
                <w:rtl/>
              </w:rPr>
              <w:t>הגדרות</w:t>
            </w:r>
          </w:p>
        </w:tc>
        <w:tc>
          <w:tcPr>
            <w:tcW w:w="567" w:type="dxa"/>
          </w:tcPr>
          <w:p w14:paraId="04D96E4A" w14:textId="77777777" w:rsidR="0052250E" w:rsidRPr="0052250E" w:rsidRDefault="0052250E" w:rsidP="0052250E">
            <w:pPr>
              <w:rPr>
                <w:rStyle w:val="Hyperlink"/>
                <w:rFonts w:hint="cs"/>
                <w:rtl/>
              </w:rPr>
            </w:pPr>
            <w:hyperlink w:anchor="Seif1" w:tooltip="הגדרות" w:history="1">
              <w:r w:rsidRPr="0052250E">
                <w:rPr>
                  <w:rStyle w:val="Hyperlink"/>
                </w:rPr>
                <w:t>Go</w:t>
              </w:r>
            </w:hyperlink>
          </w:p>
        </w:tc>
        <w:tc>
          <w:tcPr>
            <w:tcW w:w="850" w:type="dxa"/>
          </w:tcPr>
          <w:p w14:paraId="2468B02D" w14:textId="77777777" w:rsidR="0052250E" w:rsidRPr="0052250E" w:rsidRDefault="0052250E" w:rsidP="0052250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2250E" w:rsidRPr="0052250E" w14:paraId="3CA54FBD" w14:textId="77777777" w:rsidTr="0052250E">
        <w:tblPrEx>
          <w:tblCellMar>
            <w:top w:w="0" w:type="dxa"/>
            <w:bottom w:w="0" w:type="dxa"/>
          </w:tblCellMar>
        </w:tblPrEx>
        <w:tc>
          <w:tcPr>
            <w:tcW w:w="1247" w:type="dxa"/>
          </w:tcPr>
          <w:p w14:paraId="075228BB" w14:textId="77777777" w:rsidR="0052250E" w:rsidRPr="0052250E" w:rsidRDefault="0052250E" w:rsidP="0052250E">
            <w:pPr>
              <w:rPr>
                <w:rFonts w:cs="Frankruhel" w:hint="cs"/>
                <w:rtl/>
              </w:rPr>
            </w:pPr>
            <w:r>
              <w:rPr>
                <w:rtl/>
              </w:rPr>
              <w:t xml:space="preserve">סעיף 2 </w:t>
            </w:r>
          </w:p>
        </w:tc>
        <w:tc>
          <w:tcPr>
            <w:tcW w:w="5669" w:type="dxa"/>
          </w:tcPr>
          <w:p w14:paraId="75F13199" w14:textId="77777777" w:rsidR="0052250E" w:rsidRPr="0052250E" w:rsidRDefault="0052250E" w:rsidP="0052250E">
            <w:pPr>
              <w:rPr>
                <w:rFonts w:cs="Frankruhel" w:hint="cs"/>
                <w:rtl/>
              </w:rPr>
            </w:pPr>
            <w:r>
              <w:rPr>
                <w:rtl/>
              </w:rPr>
              <w:t>איסור שיט</w:t>
            </w:r>
          </w:p>
        </w:tc>
        <w:tc>
          <w:tcPr>
            <w:tcW w:w="567" w:type="dxa"/>
          </w:tcPr>
          <w:p w14:paraId="4108A61B" w14:textId="77777777" w:rsidR="0052250E" w:rsidRPr="0052250E" w:rsidRDefault="0052250E" w:rsidP="0052250E">
            <w:pPr>
              <w:rPr>
                <w:rStyle w:val="Hyperlink"/>
                <w:rFonts w:hint="cs"/>
                <w:rtl/>
              </w:rPr>
            </w:pPr>
            <w:hyperlink w:anchor="Seif2" w:tooltip="איסור שיט" w:history="1">
              <w:r w:rsidRPr="0052250E">
                <w:rPr>
                  <w:rStyle w:val="Hyperlink"/>
                </w:rPr>
                <w:t>Go</w:t>
              </w:r>
            </w:hyperlink>
          </w:p>
        </w:tc>
        <w:tc>
          <w:tcPr>
            <w:tcW w:w="850" w:type="dxa"/>
          </w:tcPr>
          <w:p w14:paraId="03D92677" w14:textId="77777777" w:rsidR="0052250E" w:rsidRPr="0052250E" w:rsidRDefault="0052250E" w:rsidP="0052250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2250E" w:rsidRPr="0052250E" w14:paraId="04F9D86D" w14:textId="77777777" w:rsidTr="0052250E">
        <w:tblPrEx>
          <w:tblCellMar>
            <w:top w:w="0" w:type="dxa"/>
            <w:bottom w:w="0" w:type="dxa"/>
          </w:tblCellMar>
        </w:tblPrEx>
        <w:tc>
          <w:tcPr>
            <w:tcW w:w="1247" w:type="dxa"/>
          </w:tcPr>
          <w:p w14:paraId="2CF0DB74" w14:textId="77777777" w:rsidR="0052250E" w:rsidRPr="0052250E" w:rsidRDefault="0052250E" w:rsidP="0052250E">
            <w:pPr>
              <w:rPr>
                <w:rFonts w:cs="Frankruhel" w:hint="cs"/>
                <w:rtl/>
              </w:rPr>
            </w:pPr>
            <w:r>
              <w:rPr>
                <w:rtl/>
              </w:rPr>
              <w:t xml:space="preserve">סעיף 3 </w:t>
            </w:r>
          </w:p>
        </w:tc>
        <w:tc>
          <w:tcPr>
            <w:tcW w:w="5669" w:type="dxa"/>
          </w:tcPr>
          <w:p w14:paraId="2F1FCA28" w14:textId="77777777" w:rsidR="0052250E" w:rsidRPr="0052250E" w:rsidRDefault="0052250E" w:rsidP="0052250E">
            <w:pPr>
              <w:rPr>
                <w:rFonts w:cs="Frankruhel" w:hint="cs"/>
                <w:rtl/>
              </w:rPr>
            </w:pPr>
            <w:r>
              <w:rPr>
                <w:rtl/>
              </w:rPr>
              <w:t>הרשות המאשרת</w:t>
            </w:r>
          </w:p>
        </w:tc>
        <w:tc>
          <w:tcPr>
            <w:tcW w:w="567" w:type="dxa"/>
          </w:tcPr>
          <w:p w14:paraId="719B3246" w14:textId="77777777" w:rsidR="0052250E" w:rsidRPr="0052250E" w:rsidRDefault="0052250E" w:rsidP="0052250E">
            <w:pPr>
              <w:rPr>
                <w:rStyle w:val="Hyperlink"/>
                <w:rFonts w:hint="cs"/>
                <w:rtl/>
              </w:rPr>
            </w:pPr>
            <w:hyperlink w:anchor="Seif3" w:tooltip="הרשות המאשרת" w:history="1">
              <w:r w:rsidRPr="0052250E">
                <w:rPr>
                  <w:rStyle w:val="Hyperlink"/>
                </w:rPr>
                <w:t>Go</w:t>
              </w:r>
            </w:hyperlink>
          </w:p>
        </w:tc>
        <w:tc>
          <w:tcPr>
            <w:tcW w:w="850" w:type="dxa"/>
          </w:tcPr>
          <w:p w14:paraId="69E4AE26" w14:textId="77777777" w:rsidR="0052250E" w:rsidRPr="0052250E" w:rsidRDefault="0052250E" w:rsidP="0052250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52250E" w:rsidRPr="0052250E" w14:paraId="4DA54435" w14:textId="77777777" w:rsidTr="0052250E">
        <w:tblPrEx>
          <w:tblCellMar>
            <w:top w:w="0" w:type="dxa"/>
            <w:bottom w:w="0" w:type="dxa"/>
          </w:tblCellMar>
        </w:tblPrEx>
        <w:tc>
          <w:tcPr>
            <w:tcW w:w="1247" w:type="dxa"/>
          </w:tcPr>
          <w:p w14:paraId="7FF0814B" w14:textId="77777777" w:rsidR="0052250E" w:rsidRPr="0052250E" w:rsidRDefault="0052250E" w:rsidP="0052250E">
            <w:pPr>
              <w:rPr>
                <w:rFonts w:cs="Frankruhel" w:hint="cs"/>
                <w:rtl/>
              </w:rPr>
            </w:pPr>
            <w:r>
              <w:rPr>
                <w:rtl/>
              </w:rPr>
              <w:t xml:space="preserve">סעיף 4 </w:t>
            </w:r>
          </w:p>
        </w:tc>
        <w:tc>
          <w:tcPr>
            <w:tcW w:w="5669" w:type="dxa"/>
          </w:tcPr>
          <w:p w14:paraId="489D2730" w14:textId="77777777" w:rsidR="0052250E" w:rsidRPr="0052250E" w:rsidRDefault="0052250E" w:rsidP="0052250E">
            <w:pPr>
              <w:rPr>
                <w:rFonts w:cs="Frankruhel" w:hint="cs"/>
                <w:rtl/>
              </w:rPr>
            </w:pPr>
            <w:r>
              <w:rPr>
                <w:rtl/>
              </w:rPr>
              <w:t>שמירת דינים</w:t>
            </w:r>
          </w:p>
        </w:tc>
        <w:tc>
          <w:tcPr>
            <w:tcW w:w="567" w:type="dxa"/>
          </w:tcPr>
          <w:p w14:paraId="4FF5298A" w14:textId="77777777" w:rsidR="0052250E" w:rsidRPr="0052250E" w:rsidRDefault="0052250E" w:rsidP="0052250E">
            <w:pPr>
              <w:rPr>
                <w:rStyle w:val="Hyperlink"/>
                <w:rFonts w:hint="cs"/>
                <w:rtl/>
              </w:rPr>
            </w:pPr>
            <w:hyperlink w:anchor="Seif4" w:tooltip="שמירת דינים" w:history="1">
              <w:r w:rsidRPr="0052250E">
                <w:rPr>
                  <w:rStyle w:val="Hyperlink"/>
                </w:rPr>
                <w:t>Go</w:t>
              </w:r>
            </w:hyperlink>
          </w:p>
        </w:tc>
        <w:tc>
          <w:tcPr>
            <w:tcW w:w="850" w:type="dxa"/>
          </w:tcPr>
          <w:p w14:paraId="0B476974" w14:textId="77777777" w:rsidR="0052250E" w:rsidRPr="0052250E" w:rsidRDefault="0052250E" w:rsidP="0052250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52250E" w:rsidRPr="0052250E" w14:paraId="3EE4B54E" w14:textId="77777777" w:rsidTr="0052250E">
        <w:tblPrEx>
          <w:tblCellMar>
            <w:top w:w="0" w:type="dxa"/>
            <w:bottom w:w="0" w:type="dxa"/>
          </w:tblCellMar>
        </w:tblPrEx>
        <w:tc>
          <w:tcPr>
            <w:tcW w:w="1247" w:type="dxa"/>
          </w:tcPr>
          <w:p w14:paraId="58368084" w14:textId="77777777" w:rsidR="0052250E" w:rsidRPr="0052250E" w:rsidRDefault="0052250E" w:rsidP="0052250E">
            <w:pPr>
              <w:rPr>
                <w:rFonts w:cs="Frankruhel" w:hint="cs"/>
                <w:rtl/>
              </w:rPr>
            </w:pPr>
          </w:p>
        </w:tc>
        <w:tc>
          <w:tcPr>
            <w:tcW w:w="5669" w:type="dxa"/>
          </w:tcPr>
          <w:p w14:paraId="3DED2AEF" w14:textId="77777777" w:rsidR="0052250E" w:rsidRPr="0052250E" w:rsidRDefault="0052250E" w:rsidP="0052250E">
            <w:pPr>
              <w:rPr>
                <w:rFonts w:cs="Frankruhel" w:hint="cs"/>
                <w:rtl/>
              </w:rPr>
            </w:pPr>
            <w:r>
              <w:rPr>
                <w:rtl/>
              </w:rPr>
              <w:t>תוספת</w:t>
            </w:r>
          </w:p>
        </w:tc>
        <w:tc>
          <w:tcPr>
            <w:tcW w:w="567" w:type="dxa"/>
          </w:tcPr>
          <w:p w14:paraId="4E94EAA4" w14:textId="77777777" w:rsidR="0052250E" w:rsidRPr="0052250E" w:rsidRDefault="0052250E" w:rsidP="0052250E">
            <w:pPr>
              <w:rPr>
                <w:rStyle w:val="Hyperlink"/>
                <w:rFonts w:hint="cs"/>
                <w:rtl/>
              </w:rPr>
            </w:pPr>
            <w:hyperlink w:anchor="med0" w:tooltip="תוספת" w:history="1">
              <w:r w:rsidRPr="0052250E">
                <w:rPr>
                  <w:rStyle w:val="Hyperlink"/>
                </w:rPr>
                <w:t>Go</w:t>
              </w:r>
            </w:hyperlink>
          </w:p>
        </w:tc>
        <w:tc>
          <w:tcPr>
            <w:tcW w:w="850" w:type="dxa"/>
          </w:tcPr>
          <w:p w14:paraId="41FA6AEC" w14:textId="77777777" w:rsidR="0052250E" w:rsidRPr="0052250E" w:rsidRDefault="0052250E" w:rsidP="0052250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670C3572" w14:textId="77777777" w:rsidR="00E909DD" w:rsidRDefault="00E909DD" w:rsidP="00E909DD">
      <w:pPr>
        <w:pStyle w:val="big-header"/>
        <w:ind w:left="0" w:right="1134"/>
        <w:rPr>
          <w:rFonts w:hint="cs"/>
          <w:sz w:val="32"/>
          <w:rtl/>
        </w:rPr>
      </w:pPr>
    </w:p>
    <w:p w14:paraId="5A6B3486" w14:textId="77777777" w:rsidR="00E909DD" w:rsidRDefault="00E909DD" w:rsidP="00E909DD">
      <w:pPr>
        <w:pStyle w:val="big-header"/>
        <w:ind w:left="0" w:right="1134"/>
        <w:rPr>
          <w:rFonts w:cs="FrankRuehl" w:hint="cs"/>
          <w:sz w:val="32"/>
          <w:rtl/>
        </w:rPr>
      </w:pPr>
      <w:r>
        <w:rPr>
          <w:sz w:val="32"/>
          <w:rtl/>
        </w:rPr>
        <w:br w:type="page"/>
      </w:r>
      <w:r>
        <w:rPr>
          <w:rFonts w:cs="FrankRuehl" w:hint="cs"/>
          <w:sz w:val="32"/>
          <w:rtl/>
        </w:rPr>
        <w:lastRenderedPageBreak/>
        <w:t>הוראות שעת חירום (פיקוח על כלי שיט) (</w:t>
      </w:r>
      <w:r w:rsidR="007B483B">
        <w:rPr>
          <w:rFonts w:cs="FrankRuehl" w:hint="cs"/>
          <w:sz w:val="32"/>
          <w:rtl/>
        </w:rPr>
        <w:t>איסור שיט סביב אסדת כריש), תשפ"ב-2022</w:t>
      </w:r>
      <w:r>
        <w:rPr>
          <w:rStyle w:val="default"/>
          <w:sz w:val="22"/>
          <w:szCs w:val="22"/>
          <w:rtl/>
        </w:rPr>
        <w:footnoteReference w:customMarkFollows="1" w:id="1"/>
        <w:t>*</w:t>
      </w:r>
    </w:p>
    <w:p w14:paraId="5DCAD7E9" w14:textId="77777777" w:rsidR="00CD7A76" w:rsidRDefault="00CD7A76">
      <w:pPr>
        <w:pStyle w:val="P00"/>
        <w:spacing w:before="72"/>
        <w:ind w:left="0" w:right="1134"/>
        <w:rPr>
          <w:rStyle w:val="default"/>
          <w:rFonts w:cs="FrankRuehl"/>
          <w:rtl/>
        </w:rPr>
      </w:pPr>
      <w:r>
        <w:rPr>
          <w:rStyle w:val="default"/>
          <w:rFonts w:cs="FrankRuehl" w:hint="cs"/>
          <w:rtl/>
        </w:rPr>
        <w:tab/>
        <w:t>בתוקף סמכותי לפי תקנות 2(6)</w:t>
      </w:r>
      <w:r w:rsidR="007F7892">
        <w:rPr>
          <w:rStyle w:val="default"/>
          <w:rFonts w:cs="FrankRuehl" w:hint="cs"/>
          <w:rtl/>
        </w:rPr>
        <w:t>, 5ג, 7(ג)</w:t>
      </w:r>
      <w:r w:rsidR="00521C2D">
        <w:rPr>
          <w:rStyle w:val="default"/>
          <w:rFonts w:cs="FrankRuehl" w:hint="cs"/>
          <w:rtl/>
        </w:rPr>
        <w:t>,</w:t>
      </w:r>
      <w:r>
        <w:rPr>
          <w:rStyle w:val="default"/>
          <w:rFonts w:cs="FrankRuehl" w:hint="cs"/>
          <w:rtl/>
        </w:rPr>
        <w:t xml:space="preserve"> </w:t>
      </w:r>
      <w:r w:rsidR="007F7892">
        <w:rPr>
          <w:rStyle w:val="default"/>
          <w:rFonts w:cs="FrankRuehl" w:hint="cs"/>
          <w:rtl/>
        </w:rPr>
        <w:t>8ב</w:t>
      </w:r>
      <w:r>
        <w:rPr>
          <w:rStyle w:val="default"/>
          <w:rFonts w:cs="FrankRuehl" w:hint="cs"/>
          <w:rtl/>
        </w:rPr>
        <w:t xml:space="preserve"> </w:t>
      </w:r>
      <w:r w:rsidR="00521C2D">
        <w:rPr>
          <w:rStyle w:val="default"/>
          <w:rFonts w:cs="FrankRuehl" w:hint="cs"/>
          <w:rtl/>
        </w:rPr>
        <w:t xml:space="preserve">ו-22 </w:t>
      </w:r>
      <w:r>
        <w:rPr>
          <w:rStyle w:val="default"/>
          <w:rFonts w:cs="FrankRuehl" w:hint="cs"/>
          <w:rtl/>
        </w:rPr>
        <w:t>בתוספת ל</w:t>
      </w:r>
      <w:r w:rsidR="007F7892">
        <w:rPr>
          <w:rStyle w:val="default"/>
          <w:rFonts w:cs="FrankRuehl" w:hint="cs"/>
          <w:rtl/>
        </w:rPr>
        <w:t>חוק ל</w:t>
      </w:r>
      <w:r>
        <w:rPr>
          <w:rStyle w:val="default"/>
          <w:rFonts w:cs="FrankRuehl" w:hint="cs"/>
          <w:rtl/>
        </w:rPr>
        <w:t xml:space="preserve">הארכת תוקף של תקנות שעת חירום (פיקוח על כלי שיט) [נוסח משולב], התשל"ג-1973, ומאחר שאני רואה צורך </w:t>
      </w:r>
      <w:r w:rsidR="007F7892">
        <w:rPr>
          <w:rStyle w:val="default"/>
          <w:rFonts w:cs="FrankRuehl" w:hint="cs"/>
          <w:rtl/>
        </w:rPr>
        <w:t xml:space="preserve">בכך </w:t>
      </w:r>
      <w:r>
        <w:rPr>
          <w:rStyle w:val="default"/>
          <w:rFonts w:cs="FrankRuehl" w:hint="cs"/>
          <w:rtl/>
        </w:rPr>
        <w:t>מטעמים שבביטחון המדינה</w:t>
      </w:r>
      <w:r w:rsidR="007F7892">
        <w:rPr>
          <w:rStyle w:val="default"/>
          <w:rFonts w:cs="FrankRuehl" w:hint="cs"/>
          <w:rtl/>
        </w:rPr>
        <w:t xml:space="preserve"> ושבקיום אספקה ושירותים חיוניים</w:t>
      </w:r>
      <w:r>
        <w:rPr>
          <w:rStyle w:val="default"/>
          <w:rFonts w:cs="FrankRuehl" w:hint="cs"/>
          <w:rtl/>
        </w:rPr>
        <w:t xml:space="preserve">, באישור </w:t>
      </w:r>
      <w:r w:rsidR="00521C2D">
        <w:rPr>
          <w:rStyle w:val="default"/>
          <w:rFonts w:cs="FrankRuehl" w:hint="cs"/>
          <w:rtl/>
        </w:rPr>
        <w:t xml:space="preserve">ועדת הכלכלה </w:t>
      </w:r>
      <w:r>
        <w:rPr>
          <w:rStyle w:val="default"/>
          <w:rFonts w:cs="FrankRuehl" w:hint="cs"/>
          <w:rtl/>
        </w:rPr>
        <w:t>של הכנסת לפי סעיף 2(ב) לחוק העונשין, התשל"ז-1977, אני מורה לאמור:</w:t>
      </w:r>
    </w:p>
    <w:p w14:paraId="49CA00AD" w14:textId="77777777" w:rsidR="00CD7A76" w:rsidRDefault="00CD7A76">
      <w:pPr>
        <w:pStyle w:val="P00"/>
        <w:spacing w:before="72"/>
        <w:ind w:left="0" w:right="1134"/>
        <w:rPr>
          <w:rStyle w:val="big-number"/>
          <w:rFonts w:cs="FrankRuehl" w:hint="cs"/>
          <w:sz w:val="26"/>
          <w:szCs w:val="26"/>
          <w:rtl/>
        </w:rPr>
      </w:pPr>
      <w:bookmarkStart w:id="0" w:name="Seif1"/>
      <w:bookmarkEnd w:id="0"/>
      <w:r>
        <w:rPr>
          <w:rFonts w:cs="Miriam"/>
          <w:lang w:val="he-IL"/>
        </w:rPr>
        <w:pict w14:anchorId="09388AA8">
          <v:rect id="_x0000_s2050" style="position:absolute;left:0;text-align:left;margin-left:468pt;margin-top:8.05pt;width:70.55pt;height:10pt;z-index:251656192" filled="f" stroked="f" strokecolor="lime" strokeweight=".25pt">
            <v:textbox style="mso-next-textbox:#_x0000_s2050" inset="1mm,0,1mm,0">
              <w:txbxContent>
                <w:p w14:paraId="1839C1A5" w14:textId="77777777" w:rsidR="00CD7A76" w:rsidRDefault="00CD7A76">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בהוראות אלה </w:t>
      </w:r>
      <w:r>
        <w:rPr>
          <w:rStyle w:val="big-number"/>
          <w:rFonts w:cs="FrankRuehl"/>
          <w:sz w:val="26"/>
          <w:szCs w:val="26"/>
          <w:rtl/>
        </w:rPr>
        <w:t>–</w:t>
      </w:r>
    </w:p>
    <w:p w14:paraId="6588D06D" w14:textId="77777777" w:rsidR="00CD7A76" w:rsidRDefault="00CD7A76">
      <w:pPr>
        <w:pStyle w:val="P00"/>
        <w:spacing w:before="72"/>
        <w:ind w:left="0" w:right="1134"/>
        <w:rPr>
          <w:rStyle w:val="big-number"/>
          <w:rFonts w:cs="FrankRuehl"/>
          <w:sz w:val="26"/>
          <w:szCs w:val="26"/>
          <w:rtl/>
        </w:rPr>
      </w:pPr>
      <w:r>
        <w:rPr>
          <w:rStyle w:val="big-number"/>
          <w:rFonts w:cs="FrankRuehl" w:hint="cs"/>
          <w:sz w:val="26"/>
          <w:szCs w:val="26"/>
          <w:rtl/>
        </w:rPr>
        <w:tab/>
        <w:t xml:space="preserve">"אזור אסור לשיט" </w:t>
      </w:r>
      <w:r>
        <w:rPr>
          <w:rStyle w:val="big-number"/>
          <w:rFonts w:cs="FrankRuehl"/>
          <w:sz w:val="26"/>
          <w:szCs w:val="26"/>
          <w:rtl/>
        </w:rPr>
        <w:t>–</w:t>
      </w:r>
      <w:r>
        <w:rPr>
          <w:rStyle w:val="big-number"/>
          <w:rFonts w:cs="FrankRuehl" w:hint="cs"/>
          <w:sz w:val="26"/>
          <w:szCs w:val="26"/>
          <w:rtl/>
        </w:rPr>
        <w:t xml:space="preserve"> שטח </w:t>
      </w:r>
      <w:r w:rsidR="00521C2D">
        <w:rPr>
          <w:rStyle w:val="big-number"/>
          <w:rFonts w:cs="FrankRuehl" w:hint="cs"/>
          <w:sz w:val="26"/>
          <w:szCs w:val="26"/>
          <w:rtl/>
        </w:rPr>
        <w:t>במרחק 500 מטרים משוליה החיצוניים של האסדה, שהוא ברדיוס של 1,500 מטרים המקיף את מיקום האסדה, המסומן בעיגול בצבע שחור במפה שבתוספת</w:t>
      </w:r>
      <w:r>
        <w:rPr>
          <w:rStyle w:val="big-number"/>
          <w:rFonts w:cs="FrankRuehl" w:hint="cs"/>
          <w:sz w:val="26"/>
          <w:szCs w:val="26"/>
          <w:rtl/>
        </w:rPr>
        <w:t>;</w:t>
      </w:r>
    </w:p>
    <w:p w14:paraId="4CB0CECC" w14:textId="77777777" w:rsidR="007F7892" w:rsidRDefault="007F7892">
      <w:pPr>
        <w:pStyle w:val="P00"/>
        <w:spacing w:before="72"/>
        <w:ind w:left="0" w:right="1134"/>
        <w:rPr>
          <w:rStyle w:val="big-number"/>
          <w:rFonts w:cs="FrankRuehl" w:hint="cs"/>
          <w:sz w:val="26"/>
          <w:szCs w:val="26"/>
          <w:rtl/>
        </w:rPr>
      </w:pPr>
      <w:r>
        <w:rPr>
          <w:rStyle w:val="big-number"/>
          <w:rFonts w:cs="FrankRuehl"/>
          <w:sz w:val="26"/>
          <w:szCs w:val="26"/>
          <w:rtl/>
        </w:rPr>
        <w:tab/>
      </w:r>
      <w:r>
        <w:rPr>
          <w:rStyle w:val="big-number"/>
          <w:rFonts w:cs="FrankRuehl" w:hint="cs"/>
          <w:sz w:val="26"/>
          <w:szCs w:val="26"/>
          <w:rtl/>
        </w:rPr>
        <w:t>"אמצעי השליטה", בתאגיד, "הבעלים</w:t>
      </w:r>
      <w:r w:rsidR="00521C2D">
        <w:rPr>
          <w:rStyle w:val="big-number"/>
          <w:rFonts w:cs="FrankRuehl" w:hint="cs"/>
          <w:sz w:val="26"/>
          <w:szCs w:val="26"/>
          <w:rtl/>
        </w:rPr>
        <w:t xml:space="preserve"> הרשום</w:t>
      </w:r>
      <w:r>
        <w:rPr>
          <w:rStyle w:val="big-number"/>
          <w:rFonts w:cs="FrankRuehl" w:hint="cs"/>
          <w:sz w:val="26"/>
          <w:szCs w:val="26"/>
          <w:rtl/>
        </w:rPr>
        <w:t>"</w:t>
      </w:r>
      <w:r w:rsidR="00521C2D">
        <w:rPr>
          <w:rStyle w:val="big-number"/>
          <w:rFonts w:cs="FrankRuehl" w:hint="cs"/>
          <w:sz w:val="26"/>
          <w:szCs w:val="26"/>
          <w:rtl/>
        </w:rPr>
        <w:t>,</w:t>
      </w:r>
      <w:r>
        <w:rPr>
          <w:rStyle w:val="big-number"/>
          <w:rFonts w:cs="FrankRuehl" w:hint="cs"/>
          <w:sz w:val="26"/>
          <w:szCs w:val="26"/>
          <w:rtl/>
        </w:rPr>
        <w:t xml:space="preserve"> "החזקה"</w:t>
      </w:r>
      <w:r w:rsidR="00521C2D">
        <w:rPr>
          <w:rStyle w:val="big-number"/>
          <w:rFonts w:cs="FrankRuehl" w:hint="cs"/>
          <w:sz w:val="26"/>
          <w:szCs w:val="26"/>
          <w:rtl/>
        </w:rPr>
        <w:t xml:space="preserve"> ו"כלי שיט זר" –</w:t>
      </w:r>
      <w:r>
        <w:rPr>
          <w:rStyle w:val="big-number"/>
          <w:rFonts w:cs="FrankRuehl" w:hint="cs"/>
          <w:sz w:val="26"/>
          <w:szCs w:val="26"/>
          <w:rtl/>
        </w:rPr>
        <w:t xml:space="preserve"> כהגדרתם בחוק הספנות (כלי שיט זר בשליטה של גורם ישראלי), התשס"ה-2005;</w:t>
      </w:r>
    </w:p>
    <w:p w14:paraId="35FA42D9" w14:textId="77777777" w:rsidR="00CD7A76" w:rsidRPr="00CE4A7F" w:rsidRDefault="00CD7A76">
      <w:pPr>
        <w:pStyle w:val="P00"/>
        <w:spacing w:before="72"/>
        <w:ind w:left="0" w:right="1134"/>
        <w:rPr>
          <w:rStyle w:val="big-number"/>
          <w:rFonts w:ascii="FrankRuehl" w:hAnsi="FrankRuehl" w:cs="FrankRuehl"/>
          <w:sz w:val="20"/>
          <w:szCs w:val="26"/>
          <w:rtl/>
        </w:rPr>
      </w:pPr>
      <w:r w:rsidRPr="00521C2D">
        <w:rPr>
          <w:rStyle w:val="big-number"/>
          <w:rFonts w:cs="FrankRuehl" w:hint="cs"/>
          <w:sz w:val="20"/>
          <w:szCs w:val="26"/>
          <w:rtl/>
        </w:rPr>
        <w:tab/>
        <w:t xml:space="preserve">"האסדה" </w:t>
      </w:r>
      <w:r w:rsidRPr="00521C2D">
        <w:rPr>
          <w:rStyle w:val="big-number"/>
          <w:rFonts w:cs="FrankRuehl"/>
          <w:sz w:val="20"/>
          <w:szCs w:val="26"/>
          <w:rtl/>
        </w:rPr>
        <w:t>–</w:t>
      </w:r>
      <w:r w:rsidRPr="00521C2D">
        <w:rPr>
          <w:rStyle w:val="big-number"/>
          <w:rFonts w:cs="FrankRuehl" w:hint="cs"/>
          <w:sz w:val="20"/>
          <w:szCs w:val="26"/>
          <w:rtl/>
        </w:rPr>
        <w:t xml:space="preserve"> אסדת "</w:t>
      </w:r>
      <w:r w:rsidR="00521C2D" w:rsidRPr="00521C2D">
        <w:rPr>
          <w:rStyle w:val="big-number"/>
          <w:rFonts w:cs="FrankRuehl" w:hint="cs"/>
          <w:sz w:val="20"/>
          <w:szCs w:val="26"/>
          <w:rtl/>
        </w:rPr>
        <w:t>כריש</w:t>
      </w:r>
      <w:r w:rsidR="007F7892" w:rsidRPr="00521C2D">
        <w:rPr>
          <w:rStyle w:val="big-number"/>
          <w:rFonts w:cs="FrankRuehl" w:hint="cs"/>
          <w:sz w:val="20"/>
          <w:szCs w:val="26"/>
          <w:rtl/>
        </w:rPr>
        <w:t>"</w:t>
      </w:r>
      <w:r w:rsidRPr="00521C2D">
        <w:rPr>
          <w:rStyle w:val="big-number"/>
          <w:rFonts w:cs="FrankRuehl" w:hint="cs"/>
          <w:sz w:val="20"/>
          <w:szCs w:val="26"/>
          <w:rtl/>
        </w:rPr>
        <w:t xml:space="preserve"> שמיקומה בנקודה:</w:t>
      </w:r>
      <w:r w:rsidR="00521C2D" w:rsidRPr="00521C2D">
        <w:rPr>
          <w:rStyle w:val="big-number"/>
          <w:rFonts w:cs="FrankRuehl" w:hint="cs"/>
          <w:sz w:val="20"/>
          <w:szCs w:val="26"/>
          <w:rtl/>
        </w:rPr>
        <w:t xml:space="preserve"> </w:t>
      </w:r>
      <w:r w:rsidR="00521C2D" w:rsidRPr="00521C2D">
        <w:rPr>
          <w:rStyle w:val="big-number"/>
          <w:rFonts w:cs="FrankRuehl"/>
          <w:sz w:val="20"/>
          <w:szCs w:val="26"/>
        </w:rPr>
        <w:t>N</w:t>
      </w:r>
      <w:r w:rsidR="00521C2D">
        <w:rPr>
          <w:rStyle w:val="big-number"/>
          <w:rFonts w:cs="FrankRuehl"/>
          <w:sz w:val="20"/>
          <w:szCs w:val="26"/>
        </w:rPr>
        <w:t xml:space="preserve"> 33</w:t>
      </w:r>
      <w:r w:rsidR="00521C2D">
        <w:rPr>
          <w:rStyle w:val="big-number"/>
          <w:sz w:val="20"/>
          <w:szCs w:val="26"/>
        </w:rPr>
        <w:t>º</w:t>
      </w:r>
      <w:r w:rsidR="00521C2D">
        <w:rPr>
          <w:rStyle w:val="big-number"/>
          <w:rFonts w:cs="FrankRuehl"/>
          <w:sz w:val="20"/>
          <w:szCs w:val="26"/>
        </w:rPr>
        <w:t xml:space="preserve"> 12</w:t>
      </w:r>
      <w:r w:rsidR="00CE4A7F">
        <w:rPr>
          <w:rStyle w:val="big-number"/>
          <w:sz w:val="20"/>
          <w:szCs w:val="26"/>
        </w:rPr>
        <w:t>'' 14", E 34º 17'' 04"</w:t>
      </w:r>
      <w:r w:rsidR="00CE4A7F">
        <w:rPr>
          <w:rStyle w:val="big-number"/>
          <w:rFonts w:ascii="FrankRuehl" w:hAnsi="FrankRuehl" w:cs="FrankRuehl" w:hint="cs"/>
          <w:sz w:val="20"/>
          <w:szCs w:val="26"/>
          <w:rtl/>
        </w:rPr>
        <w:t>;</w:t>
      </w:r>
    </w:p>
    <w:p w14:paraId="5CE35765" w14:textId="77777777" w:rsidR="00CD7A76" w:rsidRDefault="00CD7A76">
      <w:pPr>
        <w:pStyle w:val="P00"/>
        <w:spacing w:before="72"/>
        <w:ind w:left="0" w:right="1134"/>
        <w:rPr>
          <w:rStyle w:val="big-number"/>
          <w:rFonts w:cs="FrankRuehl"/>
          <w:sz w:val="26"/>
          <w:szCs w:val="26"/>
          <w:rtl/>
        </w:rPr>
      </w:pPr>
      <w:r>
        <w:rPr>
          <w:rStyle w:val="big-number"/>
          <w:rFonts w:cs="FrankRuehl" w:hint="cs"/>
          <w:sz w:val="26"/>
          <w:szCs w:val="26"/>
          <w:rtl/>
        </w:rPr>
        <w:tab/>
        <w:t xml:space="preserve">"הרשות המאשרת" </w:t>
      </w:r>
      <w:r>
        <w:rPr>
          <w:rStyle w:val="big-number"/>
          <w:rFonts w:cs="FrankRuehl"/>
          <w:sz w:val="26"/>
          <w:szCs w:val="26"/>
          <w:rtl/>
        </w:rPr>
        <w:t>–</w:t>
      </w:r>
      <w:r>
        <w:rPr>
          <w:rStyle w:val="big-number"/>
          <w:rFonts w:cs="FrankRuehl" w:hint="cs"/>
          <w:sz w:val="26"/>
          <w:szCs w:val="26"/>
          <w:rtl/>
        </w:rPr>
        <w:t xml:space="preserve"> </w:t>
      </w:r>
      <w:r w:rsidR="00CE4A7F">
        <w:rPr>
          <w:rStyle w:val="big-number"/>
          <w:rFonts w:cs="FrankRuehl" w:hint="cs"/>
          <w:sz w:val="26"/>
          <w:szCs w:val="26"/>
          <w:rtl/>
        </w:rPr>
        <w:t>כמשמעותה בסעיף 3</w:t>
      </w:r>
      <w:r>
        <w:rPr>
          <w:rStyle w:val="big-number"/>
          <w:rFonts w:cs="FrankRuehl" w:hint="cs"/>
          <w:sz w:val="26"/>
          <w:szCs w:val="26"/>
          <w:rtl/>
        </w:rPr>
        <w:t>;</w:t>
      </w:r>
    </w:p>
    <w:p w14:paraId="189CB25C" w14:textId="77777777" w:rsidR="00CE4A7F" w:rsidRDefault="00CE4A7F">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 xml:space="preserve">"חוק הנפט" </w:t>
      </w:r>
      <w:r>
        <w:rPr>
          <w:rStyle w:val="big-number"/>
          <w:rFonts w:cs="FrankRuehl"/>
          <w:sz w:val="26"/>
          <w:szCs w:val="26"/>
          <w:rtl/>
        </w:rPr>
        <w:t>–</w:t>
      </w:r>
      <w:r>
        <w:rPr>
          <w:rStyle w:val="big-number"/>
          <w:rFonts w:cs="FrankRuehl" w:hint="cs"/>
          <w:sz w:val="26"/>
          <w:szCs w:val="26"/>
          <w:rtl/>
        </w:rPr>
        <w:t xml:space="preserve"> חוק הנפט, התשי"ב-1952;</w:t>
      </w:r>
    </w:p>
    <w:p w14:paraId="4E731FC7" w14:textId="77777777" w:rsidR="00CD7A76" w:rsidRDefault="00CD7A76">
      <w:pPr>
        <w:pStyle w:val="P00"/>
        <w:spacing w:before="72"/>
        <w:ind w:left="0" w:right="1134"/>
        <w:rPr>
          <w:rStyle w:val="big-number"/>
          <w:rFonts w:cs="FrankRuehl"/>
          <w:sz w:val="26"/>
          <w:szCs w:val="26"/>
          <w:rtl/>
        </w:rPr>
      </w:pPr>
      <w:r>
        <w:rPr>
          <w:rStyle w:val="big-number"/>
          <w:rFonts w:cs="FrankRuehl" w:hint="cs"/>
          <w:sz w:val="26"/>
          <w:szCs w:val="26"/>
          <w:rtl/>
        </w:rPr>
        <w:tab/>
        <w:t>"</w:t>
      </w:r>
      <w:r w:rsidR="007F7892">
        <w:rPr>
          <w:rStyle w:val="big-number"/>
          <w:rFonts w:cs="FrankRuehl" w:hint="cs"/>
          <w:sz w:val="26"/>
          <w:szCs w:val="26"/>
          <w:rtl/>
        </w:rPr>
        <w:t>שליטה"</w:t>
      </w:r>
      <w:r w:rsidR="00CE4A7F">
        <w:rPr>
          <w:rStyle w:val="big-number"/>
          <w:rFonts w:cs="FrankRuehl" w:hint="cs"/>
          <w:sz w:val="26"/>
          <w:szCs w:val="26"/>
          <w:rtl/>
        </w:rPr>
        <w:t xml:space="preserve"> </w:t>
      </w:r>
      <w:r w:rsidR="007F7892">
        <w:rPr>
          <w:rStyle w:val="big-number"/>
          <w:rFonts w:cs="FrankRuehl"/>
          <w:sz w:val="26"/>
          <w:szCs w:val="26"/>
          <w:rtl/>
        </w:rPr>
        <w:t>–</w:t>
      </w:r>
      <w:r w:rsidR="007F7892">
        <w:rPr>
          <w:rStyle w:val="big-number"/>
          <w:rFonts w:cs="FrankRuehl" w:hint="cs"/>
          <w:sz w:val="26"/>
          <w:szCs w:val="26"/>
          <w:rtl/>
        </w:rPr>
        <w:t xml:space="preserve"> היכולת של גורם להורות </w:t>
      </w:r>
      <w:r w:rsidR="000F6A2A">
        <w:rPr>
          <w:rStyle w:val="big-number"/>
          <w:rFonts w:cs="FrankRuehl" w:hint="cs"/>
          <w:sz w:val="26"/>
          <w:szCs w:val="26"/>
          <w:rtl/>
        </w:rPr>
        <w:t xml:space="preserve">על תפעולו של כלי השיט הזר, בין לבד ובין יחד עם אחרים או באמצעותם, בין במישרין ובין בעקיפין, לרבות יכולת כאמור הנובעת מכוח החזקת אמצעי שליטה בבעלים הרשום או בתאגיד האחראי לתפעולו של כלי השיט, מכוח תקנון הבעלים הרשום או התאגיד האחראי לתפעולו של כלי השיט, מכוח חוזה בכתב או בעל פה או באופן אחר, או מכל מקור אחר, ולמעט יכולת כאמור הנובעת רק ממילוי תפקיד של נושא משרה בתאגיד; לעניין הגדרה זו </w:t>
      </w:r>
      <w:r w:rsidR="000F6A2A">
        <w:rPr>
          <w:rStyle w:val="big-number"/>
          <w:rFonts w:cs="FrankRuehl"/>
          <w:sz w:val="26"/>
          <w:szCs w:val="26"/>
          <w:rtl/>
        </w:rPr>
        <w:t>–</w:t>
      </w:r>
    </w:p>
    <w:p w14:paraId="31970384" w14:textId="77777777" w:rsidR="000F6A2A" w:rsidRDefault="000F6A2A" w:rsidP="000F6A2A">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בלי לגרוע מכלליות האמור, חזקה היא כי גורם הוא בעל יכולת להורות על תפעולו של כלי שיט</w:t>
      </w:r>
      <w:r w:rsidR="00CE4A7F">
        <w:rPr>
          <w:rStyle w:val="big-number"/>
          <w:rFonts w:cs="FrankRuehl" w:hint="cs"/>
          <w:sz w:val="26"/>
          <w:szCs w:val="26"/>
          <w:rtl/>
        </w:rPr>
        <w:t>,</w:t>
      </w:r>
      <w:r>
        <w:rPr>
          <w:rStyle w:val="big-number"/>
          <w:rFonts w:cs="FrankRuehl" w:hint="cs"/>
          <w:sz w:val="26"/>
          <w:szCs w:val="26"/>
          <w:rtl/>
        </w:rPr>
        <w:t xml:space="preserve"> אם הוא מחזיק בשיעור הגדול ביותר של אמצעי שליטה מסוג כלשהו בבעלים הרשום או בתאגיד האחראי לתפעולו של כלי השיט, או ש</w:t>
      </w:r>
      <w:r w:rsidR="00CE4A7F">
        <w:rPr>
          <w:rStyle w:val="big-number"/>
          <w:rFonts w:cs="FrankRuehl" w:hint="cs"/>
          <w:sz w:val="26"/>
          <w:szCs w:val="26"/>
          <w:rtl/>
        </w:rPr>
        <w:t>ב</w:t>
      </w:r>
      <w:r>
        <w:rPr>
          <w:rStyle w:val="big-number"/>
          <w:rFonts w:cs="FrankRuehl" w:hint="cs"/>
          <w:sz w:val="26"/>
          <w:szCs w:val="26"/>
          <w:rtl/>
        </w:rPr>
        <w:t>ידו היכולת למנוע קבלת החלטות עסקיות של הבעלים הרשום או של התאגיד האחראי לתפעולו של כלי השיט, למעט החלטות שעניינן הנפקה של אמצעי שליטה בבעלים הרשום או בתאגיד האחראי לתפעולו של כלי השיט או החלטות שעניינן מכירה או חיסול של רוב עסקי הבעלים הרשום או התאגיד האחראי לתפעולו של כלי השיט או שינוי מהותי בהם;</w:t>
      </w:r>
    </w:p>
    <w:p w14:paraId="096E99DA" w14:textId="77777777" w:rsidR="000F6A2A" w:rsidRDefault="000F6A2A" w:rsidP="000F6A2A">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לשם בחינת היכולת של גורם להורות על תפעולו של כלי שיט, יראו את ההחזקה של כמה גורמים באמצעי שליטה בתאגיד רשום או בתאגיד האחראי לתפעולו של כלי השיט, במצטבר, כהחזקה של גורם אחד, ויראו את יכולת ההשפעה של כמה גורמים על תפעולו של כלי השיט, במצטבר, כיכולת של גורם אחד;</w:t>
      </w:r>
    </w:p>
    <w:p w14:paraId="7310EAD4" w14:textId="77777777" w:rsidR="000F6A2A" w:rsidRDefault="000F6A2A">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"תפעול"</w:t>
      </w:r>
      <w:r w:rsidR="00CE4A7F">
        <w:rPr>
          <w:rStyle w:val="big-number"/>
          <w:rFonts w:cs="FrankRuehl" w:hint="cs"/>
          <w:sz w:val="26"/>
          <w:szCs w:val="26"/>
          <w:rtl/>
        </w:rPr>
        <w:t xml:space="preserve"> –</w:t>
      </w:r>
      <w:r>
        <w:rPr>
          <w:rStyle w:val="big-number"/>
          <w:rFonts w:cs="FrankRuehl" w:hint="cs"/>
          <w:sz w:val="26"/>
          <w:szCs w:val="26"/>
          <w:rtl/>
        </w:rPr>
        <w:t xml:space="preserve"> </w:t>
      </w:r>
      <w:r w:rsidR="00CE4A7F">
        <w:rPr>
          <w:rStyle w:val="big-number"/>
          <w:rFonts w:cs="FrankRuehl" w:hint="cs"/>
          <w:sz w:val="26"/>
          <w:szCs w:val="26"/>
          <w:rtl/>
        </w:rPr>
        <w:t xml:space="preserve">ציוות </w:t>
      </w:r>
      <w:r>
        <w:rPr>
          <w:rStyle w:val="big-number"/>
          <w:rFonts w:cs="FrankRuehl" w:hint="cs"/>
          <w:sz w:val="26"/>
          <w:szCs w:val="26"/>
          <w:rtl/>
        </w:rPr>
        <w:t xml:space="preserve">כלי </w:t>
      </w:r>
      <w:r w:rsidR="00CE4A7F">
        <w:rPr>
          <w:rStyle w:val="big-number"/>
          <w:rFonts w:cs="FrankRuehl" w:hint="cs"/>
          <w:sz w:val="26"/>
          <w:szCs w:val="26"/>
          <w:rtl/>
        </w:rPr>
        <w:t>ה</w:t>
      </w:r>
      <w:r>
        <w:rPr>
          <w:rStyle w:val="big-number"/>
          <w:rFonts w:cs="FrankRuehl" w:hint="cs"/>
          <w:sz w:val="26"/>
          <w:szCs w:val="26"/>
          <w:rtl/>
        </w:rPr>
        <w:t>שיט באנשי צוות, ותפעולו של גוף כלי השיט, מערכותיו ומיתקניו.</w:t>
      </w:r>
    </w:p>
    <w:p w14:paraId="6B0DAE6A" w14:textId="77777777" w:rsidR="000F6A2A" w:rsidRDefault="00CD7A76" w:rsidP="000F6A2A">
      <w:pPr>
        <w:pStyle w:val="P00"/>
        <w:spacing w:before="72"/>
        <w:ind w:left="0" w:right="1134"/>
        <w:rPr>
          <w:rStyle w:val="big-number"/>
          <w:rFonts w:cs="FrankRuehl" w:hint="cs"/>
          <w:sz w:val="26"/>
          <w:szCs w:val="26"/>
          <w:rtl/>
        </w:rPr>
      </w:pPr>
      <w:bookmarkStart w:id="1" w:name="Seif2"/>
      <w:bookmarkEnd w:id="1"/>
      <w:r>
        <w:rPr>
          <w:rFonts w:cs="Miriam"/>
          <w:lang w:val="he-IL"/>
        </w:rPr>
        <w:pict w14:anchorId="592C1157">
          <v:rect id="_x0000_s2176" style="position:absolute;left:0;text-align:left;margin-left:468pt;margin-top:8.05pt;width:70.55pt;height:13.85pt;z-index:251657216" filled="f" stroked="f" strokecolor="lime" strokeweight=".25pt">
            <v:textbox style="mso-next-textbox:#_x0000_s2176" inset="1mm,0,1mm,0">
              <w:txbxContent>
                <w:p w14:paraId="2EBE90C7" w14:textId="77777777" w:rsidR="00CD7A76" w:rsidRDefault="000F6A2A">
                  <w:pPr>
                    <w:spacing w:line="160" w:lineRule="exact"/>
                    <w:rPr>
                      <w:rFonts w:cs="Miriam" w:hint="cs"/>
                      <w:noProof/>
                      <w:sz w:val="18"/>
                      <w:szCs w:val="18"/>
                      <w:rtl/>
                    </w:rPr>
                  </w:pPr>
                  <w:r>
                    <w:rPr>
                      <w:rFonts w:cs="Miriam" w:hint="cs"/>
                      <w:sz w:val="18"/>
                      <w:szCs w:val="18"/>
                      <w:rtl/>
                    </w:rPr>
                    <w:t>איסור שיט</w:t>
                  </w:r>
                </w:p>
              </w:txbxContent>
            </v:textbox>
            <w10:anchorlock/>
          </v:rect>
        </w:pict>
      </w:r>
      <w:r>
        <w:rPr>
          <w:rStyle w:val="big-number"/>
          <w:rFonts w:cs="Miriam" w:hint="cs"/>
          <w:rtl/>
        </w:rPr>
        <w:t>2.</w:t>
      </w:r>
      <w:r>
        <w:rPr>
          <w:rStyle w:val="big-number"/>
          <w:rFonts w:cs="FrankRuehl"/>
          <w:sz w:val="26"/>
          <w:szCs w:val="26"/>
          <w:rtl/>
        </w:rPr>
        <w:tab/>
      </w:r>
      <w:r w:rsidR="000F6A2A">
        <w:rPr>
          <w:rStyle w:val="big-number"/>
          <w:rFonts w:cs="FrankRuehl" w:hint="cs"/>
          <w:sz w:val="26"/>
          <w:szCs w:val="26"/>
          <w:rtl/>
        </w:rPr>
        <w:t>(א)</w:t>
      </w:r>
      <w:r w:rsidR="000F6A2A">
        <w:rPr>
          <w:rStyle w:val="big-number"/>
          <w:rFonts w:cs="FrankRuehl" w:hint="cs"/>
          <w:sz w:val="26"/>
          <w:szCs w:val="26"/>
          <w:rtl/>
        </w:rPr>
        <w:tab/>
      </w:r>
      <w:r w:rsidR="00EA27AD">
        <w:rPr>
          <w:rStyle w:val="big-number"/>
          <w:rFonts w:cs="FrankRuehl" w:hint="cs"/>
          <w:sz w:val="26"/>
          <w:szCs w:val="26"/>
          <w:rtl/>
        </w:rPr>
        <w:t>הבעלים הרשום של</w:t>
      </w:r>
      <w:r w:rsidR="000F6A2A">
        <w:rPr>
          <w:rStyle w:val="big-number"/>
          <w:rFonts w:cs="FrankRuehl" w:hint="cs"/>
          <w:sz w:val="26"/>
          <w:szCs w:val="26"/>
          <w:rtl/>
        </w:rPr>
        <w:t xml:space="preserve"> כלי שיט או קברניטו לא ישיט כלי שיט באזור האסור לשיט, אלא באישור מראש מאת הרשות המאשרת, ובתנאים שהורתה עליהם</w:t>
      </w:r>
      <w:r w:rsidR="00EA27AD">
        <w:rPr>
          <w:rStyle w:val="big-number"/>
          <w:rFonts w:cs="FrankRuehl" w:hint="cs"/>
          <w:sz w:val="26"/>
          <w:szCs w:val="26"/>
          <w:rtl/>
        </w:rPr>
        <w:t>, אם הורתה על תנאים כאמור</w:t>
      </w:r>
      <w:r w:rsidR="000F6A2A">
        <w:rPr>
          <w:rStyle w:val="big-number"/>
          <w:rFonts w:cs="FrankRuehl" w:hint="cs"/>
          <w:sz w:val="26"/>
          <w:szCs w:val="26"/>
          <w:rtl/>
        </w:rPr>
        <w:t>.</w:t>
      </w:r>
    </w:p>
    <w:p w14:paraId="06E90BD4" w14:textId="77777777" w:rsidR="000F6A2A" w:rsidRDefault="000F6A2A" w:rsidP="000F6A2A">
      <w:pPr>
        <w:pStyle w:val="P00"/>
        <w:spacing w:before="72"/>
        <w:ind w:left="0" w:right="1134"/>
        <w:rPr>
          <w:rStyle w:val="big-number"/>
          <w:rFonts w:cs="FrankRuehl"/>
          <w:sz w:val="26"/>
          <w:szCs w:val="26"/>
          <w:rtl/>
        </w:rPr>
      </w:pPr>
      <w:r>
        <w:rPr>
          <w:rStyle w:val="big-number"/>
          <w:rFonts w:cs="FrankRuehl" w:hint="cs"/>
          <w:sz w:val="26"/>
          <w:szCs w:val="26"/>
          <w:rtl/>
        </w:rPr>
        <w:tab/>
        <w:t>(ב)</w:t>
      </w:r>
      <w:r>
        <w:rPr>
          <w:rStyle w:val="big-number"/>
          <w:rFonts w:cs="FrankRuehl" w:hint="cs"/>
          <w:sz w:val="26"/>
          <w:szCs w:val="26"/>
          <w:rtl/>
        </w:rPr>
        <w:tab/>
      </w:r>
      <w:r w:rsidR="00EA27AD">
        <w:rPr>
          <w:rStyle w:val="big-number"/>
          <w:rFonts w:cs="FrankRuehl" w:hint="cs"/>
          <w:sz w:val="26"/>
          <w:szCs w:val="26"/>
          <w:rtl/>
        </w:rPr>
        <w:t>הבעלים הרשום של</w:t>
      </w:r>
      <w:r>
        <w:rPr>
          <w:rStyle w:val="big-number"/>
          <w:rFonts w:cs="FrankRuehl" w:hint="cs"/>
          <w:sz w:val="26"/>
          <w:szCs w:val="26"/>
          <w:rtl/>
        </w:rPr>
        <w:t xml:space="preserve"> כלי שיט או קברניטו לא יפליג בכלי שיט באזור האסור לשיט, אלא באישור מראש מאת הרשות המאשרת, ובתנאים שהורתה עליהם</w:t>
      </w:r>
      <w:r w:rsidR="00EA27AD">
        <w:rPr>
          <w:rStyle w:val="big-number"/>
          <w:rFonts w:cs="FrankRuehl" w:hint="cs"/>
          <w:sz w:val="26"/>
          <w:szCs w:val="26"/>
          <w:rtl/>
        </w:rPr>
        <w:t>, אם הורתה על תנאים כאמור</w:t>
      </w:r>
      <w:r>
        <w:rPr>
          <w:rStyle w:val="big-number"/>
          <w:rFonts w:cs="FrankRuehl" w:hint="cs"/>
          <w:sz w:val="26"/>
          <w:szCs w:val="26"/>
          <w:rtl/>
        </w:rPr>
        <w:t>.</w:t>
      </w:r>
    </w:p>
    <w:p w14:paraId="3577661C" w14:textId="77777777" w:rsidR="000F6A2A" w:rsidRDefault="000F6A2A" w:rsidP="000F6A2A">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 xml:space="preserve">סעיפים </w:t>
      </w:r>
      <w:r w:rsidR="005F22CC">
        <w:rPr>
          <w:rStyle w:val="big-number"/>
          <w:rFonts w:cs="FrankRuehl" w:hint="cs"/>
          <w:sz w:val="26"/>
          <w:szCs w:val="26"/>
          <w:rtl/>
        </w:rPr>
        <w:t xml:space="preserve">קטנים </w:t>
      </w:r>
      <w:r>
        <w:rPr>
          <w:rStyle w:val="big-number"/>
          <w:rFonts w:cs="FrankRuehl" w:hint="cs"/>
          <w:sz w:val="26"/>
          <w:szCs w:val="26"/>
          <w:rtl/>
        </w:rPr>
        <w:t xml:space="preserve">(א) ו-(ב) יחולו גם על </w:t>
      </w:r>
      <w:r w:rsidR="005F22CC">
        <w:rPr>
          <w:rStyle w:val="big-number"/>
          <w:rFonts w:cs="FrankRuehl" w:hint="cs"/>
          <w:sz w:val="26"/>
          <w:szCs w:val="26"/>
          <w:rtl/>
        </w:rPr>
        <w:t>אדם או תאגיד שבידיו הזכות להורות, במישרין או בעקיפין, לתאגיד שהוא הבעלים של כלי השיט, על הדרך להפעלת זכויות התאגיד בכלי השיט כאמור, ושהשליטה בכלי השיט בידיו</w:t>
      </w:r>
      <w:r>
        <w:rPr>
          <w:rStyle w:val="big-number"/>
          <w:rFonts w:cs="FrankRuehl" w:hint="cs"/>
          <w:sz w:val="26"/>
          <w:szCs w:val="26"/>
          <w:rtl/>
        </w:rPr>
        <w:t>.</w:t>
      </w:r>
    </w:p>
    <w:p w14:paraId="40950C73" w14:textId="77777777" w:rsidR="000F6A2A" w:rsidRDefault="000F6A2A" w:rsidP="000F6A2A">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(ד)</w:t>
      </w:r>
      <w:r>
        <w:rPr>
          <w:rStyle w:val="big-number"/>
          <w:rFonts w:cs="FrankRuehl"/>
          <w:sz w:val="26"/>
          <w:szCs w:val="26"/>
          <w:rtl/>
        </w:rPr>
        <w:tab/>
      </w:r>
      <w:r w:rsidR="000635EF">
        <w:rPr>
          <w:rStyle w:val="big-number"/>
          <w:rFonts w:cs="FrankRuehl" w:hint="cs"/>
          <w:sz w:val="26"/>
          <w:szCs w:val="26"/>
          <w:rtl/>
        </w:rPr>
        <w:t xml:space="preserve">סעיפים </w:t>
      </w:r>
      <w:r w:rsidR="005F22CC">
        <w:rPr>
          <w:rStyle w:val="big-number"/>
          <w:rFonts w:cs="FrankRuehl" w:hint="cs"/>
          <w:sz w:val="26"/>
          <w:szCs w:val="26"/>
          <w:rtl/>
        </w:rPr>
        <w:t xml:space="preserve">קטנים </w:t>
      </w:r>
      <w:r w:rsidR="000635EF">
        <w:rPr>
          <w:rStyle w:val="big-number"/>
          <w:rFonts w:cs="FrankRuehl" w:hint="cs"/>
          <w:sz w:val="26"/>
          <w:szCs w:val="26"/>
          <w:rtl/>
        </w:rPr>
        <w:t xml:space="preserve">(א) ו-(ב) יחולו גם על אזרח ישראלי, </w:t>
      </w:r>
      <w:r w:rsidR="005F22CC">
        <w:rPr>
          <w:rStyle w:val="big-number"/>
          <w:rFonts w:cs="FrankRuehl" w:hint="cs"/>
          <w:sz w:val="26"/>
          <w:szCs w:val="26"/>
          <w:rtl/>
        </w:rPr>
        <w:t xml:space="preserve">על </w:t>
      </w:r>
      <w:r w:rsidR="000635EF">
        <w:rPr>
          <w:rStyle w:val="big-number"/>
          <w:rFonts w:cs="FrankRuehl" w:hint="cs"/>
          <w:sz w:val="26"/>
          <w:szCs w:val="26"/>
          <w:rtl/>
        </w:rPr>
        <w:t xml:space="preserve">יחיד היושב בישראל או </w:t>
      </w:r>
      <w:r w:rsidR="005F22CC">
        <w:rPr>
          <w:rStyle w:val="big-number"/>
          <w:rFonts w:cs="FrankRuehl" w:hint="cs"/>
          <w:sz w:val="26"/>
          <w:szCs w:val="26"/>
          <w:rtl/>
        </w:rPr>
        <w:t xml:space="preserve">על </w:t>
      </w:r>
      <w:r w:rsidR="000635EF">
        <w:rPr>
          <w:rStyle w:val="big-number"/>
          <w:rFonts w:cs="FrankRuehl" w:hint="cs"/>
          <w:sz w:val="26"/>
          <w:szCs w:val="26"/>
          <w:rtl/>
        </w:rPr>
        <w:lastRenderedPageBreak/>
        <w:t>תאגיד ישראלי שהוא חוכר כלי השיט.</w:t>
      </w:r>
    </w:p>
    <w:p w14:paraId="310B6E2C" w14:textId="77777777" w:rsidR="000635EF" w:rsidRDefault="000635EF" w:rsidP="000F6A2A">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(ה)</w:t>
      </w:r>
      <w:r>
        <w:rPr>
          <w:rStyle w:val="big-number"/>
          <w:rFonts w:cs="FrankRuehl"/>
          <w:sz w:val="26"/>
          <w:szCs w:val="26"/>
          <w:rtl/>
        </w:rPr>
        <w:tab/>
      </w:r>
      <w:r>
        <w:rPr>
          <w:rStyle w:val="big-number"/>
          <w:rFonts w:cs="FrankRuehl" w:hint="cs"/>
          <w:sz w:val="26"/>
          <w:szCs w:val="26"/>
          <w:rtl/>
        </w:rPr>
        <w:t xml:space="preserve">האיסורים הקבועים בסעיפים קטנים (א) עד (ד) לא יחולו על צבא </w:t>
      </w:r>
      <w:r w:rsidR="005F22CC">
        <w:rPr>
          <w:rStyle w:val="big-number"/>
          <w:rFonts w:cs="FrankRuehl" w:hint="cs"/>
          <w:sz w:val="26"/>
          <w:szCs w:val="26"/>
          <w:rtl/>
        </w:rPr>
        <w:t>ה</w:t>
      </w:r>
      <w:r>
        <w:rPr>
          <w:rStyle w:val="big-number"/>
          <w:rFonts w:cs="FrankRuehl" w:hint="cs"/>
          <w:sz w:val="26"/>
          <w:szCs w:val="26"/>
          <w:rtl/>
        </w:rPr>
        <w:t>הגנה לישראל, על משטרת ישראל</w:t>
      </w:r>
      <w:r w:rsidR="005F22CC">
        <w:rPr>
          <w:rStyle w:val="big-number"/>
          <w:rFonts w:cs="FrankRuehl" w:hint="cs"/>
          <w:sz w:val="26"/>
          <w:szCs w:val="26"/>
          <w:rtl/>
        </w:rPr>
        <w:t>, על מפקח הגנת הסביבה שמונה לפי סעיף 58 לחוק גנים לאומיים, שמורות טבע, אתרים לאומיים ואתרי הנצחה, התשנ"ח-1998, לשם מילוי תפקידיהם לפי החוקים האמורים,</w:t>
      </w:r>
      <w:r>
        <w:rPr>
          <w:rStyle w:val="big-number"/>
          <w:rFonts w:cs="FrankRuehl" w:hint="cs"/>
          <w:sz w:val="26"/>
          <w:szCs w:val="26"/>
          <w:rtl/>
        </w:rPr>
        <w:t xml:space="preserve"> ועל בעל זכות נפט מכוח חוק הנפ</w:t>
      </w:r>
      <w:r w:rsidR="005F22CC">
        <w:rPr>
          <w:rStyle w:val="big-number"/>
          <w:rFonts w:cs="FrankRuehl" w:hint="cs"/>
          <w:sz w:val="26"/>
          <w:szCs w:val="26"/>
          <w:rtl/>
        </w:rPr>
        <w:t>ט</w:t>
      </w:r>
      <w:r>
        <w:rPr>
          <w:rStyle w:val="big-number"/>
          <w:rFonts w:cs="FrankRuehl" w:hint="cs"/>
          <w:sz w:val="26"/>
          <w:szCs w:val="26"/>
          <w:rtl/>
        </w:rPr>
        <w:t xml:space="preserve"> בשטח האסור לשיט או על נותן שירותים לבעל זכות נפט כאמור, בכפוף לכך שכל השטה של כלי שיט או הפלגה בו </w:t>
      </w:r>
      <w:r w:rsidR="005F22CC">
        <w:rPr>
          <w:rStyle w:val="big-number"/>
          <w:rFonts w:cs="FrankRuehl" w:hint="cs"/>
          <w:sz w:val="26"/>
          <w:szCs w:val="26"/>
          <w:rtl/>
        </w:rPr>
        <w:t xml:space="preserve">על ידיהם </w:t>
      </w:r>
      <w:r>
        <w:rPr>
          <w:rStyle w:val="big-number"/>
          <w:rFonts w:cs="FrankRuehl" w:hint="cs"/>
          <w:sz w:val="26"/>
          <w:szCs w:val="26"/>
          <w:rtl/>
        </w:rPr>
        <w:t>באזור האסור לשיט ייעשו בתיאום מראש עם הרשות המאשרת</w:t>
      </w:r>
      <w:r w:rsidR="005F22CC">
        <w:rPr>
          <w:rStyle w:val="big-number"/>
          <w:rFonts w:cs="FrankRuehl" w:hint="cs"/>
          <w:sz w:val="26"/>
          <w:szCs w:val="26"/>
          <w:rtl/>
        </w:rPr>
        <w:t xml:space="preserve">, ולגבי בעל זכות נפט כאמור </w:t>
      </w:r>
      <w:r w:rsidR="005F22CC">
        <w:rPr>
          <w:rStyle w:val="big-number"/>
          <w:rFonts w:cs="FrankRuehl"/>
          <w:sz w:val="26"/>
          <w:szCs w:val="26"/>
          <w:rtl/>
        </w:rPr>
        <w:t>–</w:t>
      </w:r>
      <w:r w:rsidR="005F22CC">
        <w:rPr>
          <w:rStyle w:val="big-number"/>
          <w:rFonts w:cs="FrankRuehl" w:hint="cs"/>
          <w:sz w:val="26"/>
          <w:szCs w:val="26"/>
          <w:rtl/>
        </w:rPr>
        <w:t xml:space="preserve"> גם בכפוף לתנאים שהורה עליהם </w:t>
      </w:r>
      <w:r>
        <w:rPr>
          <w:rStyle w:val="big-number"/>
          <w:rFonts w:cs="FrankRuehl" w:hint="cs"/>
          <w:sz w:val="26"/>
          <w:szCs w:val="26"/>
          <w:rtl/>
        </w:rPr>
        <w:t>קצין מוסמך כהגדרתו בחוק הסדרת הביטחון בגופים ציבוריים, התשנ"ח-1998, ל</w:t>
      </w:r>
      <w:r w:rsidR="005F22CC">
        <w:rPr>
          <w:rStyle w:val="big-number"/>
          <w:rFonts w:cs="FrankRuehl" w:hint="cs"/>
          <w:sz w:val="26"/>
          <w:szCs w:val="26"/>
          <w:rtl/>
        </w:rPr>
        <w:t xml:space="preserve">פי </w:t>
      </w:r>
      <w:r>
        <w:rPr>
          <w:rStyle w:val="big-number"/>
          <w:rFonts w:cs="FrankRuehl" w:hint="cs"/>
          <w:sz w:val="26"/>
          <w:szCs w:val="26"/>
          <w:rtl/>
        </w:rPr>
        <w:t xml:space="preserve">סעיף 10 לחוק </w:t>
      </w:r>
      <w:r w:rsidR="005F22CC">
        <w:rPr>
          <w:rStyle w:val="big-number"/>
          <w:rFonts w:cs="FrankRuehl" w:hint="cs"/>
          <w:sz w:val="26"/>
          <w:szCs w:val="26"/>
          <w:rtl/>
        </w:rPr>
        <w:t>האמור, אם הורה על תנאים כאמור</w:t>
      </w:r>
      <w:r>
        <w:rPr>
          <w:rStyle w:val="big-number"/>
          <w:rFonts w:cs="FrankRuehl" w:hint="cs"/>
          <w:sz w:val="26"/>
          <w:szCs w:val="26"/>
          <w:rtl/>
        </w:rPr>
        <w:t>.</w:t>
      </w:r>
    </w:p>
    <w:p w14:paraId="1E8E5206" w14:textId="77777777" w:rsidR="005F22CC" w:rsidRDefault="005F22CC" w:rsidP="000F6A2A">
      <w:pPr>
        <w:pStyle w:val="P00"/>
        <w:spacing w:before="72"/>
        <w:ind w:left="0" w:right="1134"/>
        <w:rPr>
          <w:rStyle w:val="big-number"/>
          <w:rFonts w:cs="FrankRuehl" w:hint="cs"/>
          <w:sz w:val="26"/>
          <w:szCs w:val="26"/>
          <w:rtl/>
        </w:rPr>
      </w:pPr>
      <w:r>
        <w:rPr>
          <w:rStyle w:val="big-number"/>
          <w:rFonts w:cs="FrankRuehl"/>
          <w:sz w:val="26"/>
          <w:szCs w:val="26"/>
          <w:rtl/>
        </w:rPr>
        <w:tab/>
      </w:r>
      <w:r>
        <w:rPr>
          <w:rStyle w:val="big-number"/>
          <w:rFonts w:cs="FrankRuehl" w:hint="cs"/>
          <w:sz w:val="26"/>
          <w:szCs w:val="26"/>
          <w:rtl/>
        </w:rPr>
        <w:t>(ו)</w:t>
      </w:r>
      <w:r>
        <w:rPr>
          <w:rStyle w:val="big-number"/>
          <w:rFonts w:cs="FrankRuehl"/>
          <w:sz w:val="26"/>
          <w:szCs w:val="26"/>
          <w:rtl/>
        </w:rPr>
        <w:tab/>
      </w:r>
      <w:r>
        <w:rPr>
          <w:rStyle w:val="big-number"/>
          <w:rFonts w:cs="FrankRuehl" w:hint="cs"/>
          <w:sz w:val="26"/>
          <w:szCs w:val="26"/>
          <w:rtl/>
        </w:rPr>
        <w:t>על אף האמור בסעיף קטן (ה), ראתה הרשות המאשרת כי טעמי ביטחון מחייבים זאת, היא רשאית להודיע לבעל זכות נפט מכוח חוק הנפט או לנותן שירותים לו, כי האיסורים הקבועים בסעיפים קטנים (א) עד (ד) יחולו עליהם לפרק זמן שתורה, כל עוד טעמי הביטחון האמורים מתקיימים.</w:t>
      </w:r>
    </w:p>
    <w:p w14:paraId="54ED60F5" w14:textId="77777777" w:rsidR="00CD7A76" w:rsidRDefault="00CD7A76" w:rsidP="00440E73">
      <w:pPr>
        <w:pStyle w:val="P00"/>
        <w:spacing w:before="72"/>
        <w:ind w:left="0" w:right="1134"/>
        <w:rPr>
          <w:rStyle w:val="big-number"/>
          <w:rFonts w:cs="FrankRuehl"/>
          <w:sz w:val="26"/>
          <w:szCs w:val="26"/>
          <w:rtl/>
        </w:rPr>
      </w:pPr>
      <w:bookmarkStart w:id="2" w:name="Seif3"/>
      <w:bookmarkEnd w:id="2"/>
      <w:r>
        <w:rPr>
          <w:rFonts w:cs="Miriam"/>
          <w:lang w:val="he-IL"/>
        </w:rPr>
        <w:pict w14:anchorId="0AA22D4C">
          <v:rect id="_x0000_s2190" style="position:absolute;left:0;text-align:left;margin-left:468pt;margin-top:8.05pt;width:70.55pt;height:10.65pt;z-index:251658240" filled="f" stroked="f" strokecolor="lime" strokeweight=".25pt">
            <v:textbox style="mso-next-textbox:#_x0000_s2190" inset="1mm,0,1mm,0">
              <w:txbxContent>
                <w:p w14:paraId="1E85EA04" w14:textId="77777777" w:rsidR="00CD7A76" w:rsidRDefault="005F2BAB">
                  <w:pPr>
                    <w:spacing w:line="160" w:lineRule="exact"/>
                    <w:rPr>
                      <w:rFonts w:cs="Miriam" w:hint="cs"/>
                      <w:noProof/>
                      <w:sz w:val="18"/>
                      <w:szCs w:val="18"/>
                      <w:rtl/>
                    </w:rPr>
                  </w:pPr>
                  <w:r>
                    <w:rPr>
                      <w:rFonts w:cs="Miriam" w:hint="cs"/>
                      <w:sz w:val="18"/>
                      <w:szCs w:val="18"/>
                      <w:rtl/>
                    </w:rPr>
                    <w:t>הרשות המאשרת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5F2BAB">
        <w:rPr>
          <w:rStyle w:val="big-number"/>
          <w:rFonts w:cs="FrankRuehl" w:hint="cs"/>
          <w:sz w:val="26"/>
          <w:szCs w:val="26"/>
          <w:rtl/>
        </w:rPr>
        <w:t xml:space="preserve">מפקד חיל הים של צבא ההגנה לישראל או קצין שהוא הסמיך לכך, יהיה הרשות המאשרת לעניין הוראות אלה; רשות הספנות והנמלים תפרסם הודעה בדבר הסמכה כאמור ובדבר פרטי התקשרות עם הרשות המאשרת באתר האינטרנט של משרד התחבורה והבטיחות בדרכים </w:t>
      </w:r>
      <w:r w:rsidR="005F2BAB">
        <w:rPr>
          <w:rStyle w:val="big-number"/>
          <w:rFonts w:cs="FrankRuehl"/>
          <w:sz w:val="26"/>
          <w:szCs w:val="26"/>
          <w:rtl/>
        </w:rPr>
        <w:t>–</w:t>
      </w:r>
      <w:r w:rsidR="005F2BAB">
        <w:rPr>
          <w:rStyle w:val="big-number"/>
          <w:rFonts w:cs="FrankRuehl" w:hint="cs"/>
          <w:sz w:val="26"/>
          <w:szCs w:val="26"/>
          <w:rtl/>
        </w:rPr>
        <w:t xml:space="preserve"> רשות הספנות והנמלים</w:t>
      </w:r>
      <w:r>
        <w:rPr>
          <w:rStyle w:val="big-number"/>
          <w:rFonts w:cs="FrankRuehl" w:hint="cs"/>
          <w:sz w:val="26"/>
          <w:szCs w:val="26"/>
          <w:rtl/>
        </w:rPr>
        <w:t>.</w:t>
      </w:r>
    </w:p>
    <w:p w14:paraId="31AD7A5C" w14:textId="77777777" w:rsidR="007F7892" w:rsidRDefault="007F7892" w:rsidP="007F7892">
      <w:pPr>
        <w:pStyle w:val="P00"/>
        <w:spacing w:before="72"/>
        <w:ind w:left="0" w:right="1134"/>
        <w:rPr>
          <w:rStyle w:val="big-number"/>
          <w:rFonts w:cs="FrankRuehl"/>
          <w:sz w:val="26"/>
          <w:szCs w:val="26"/>
          <w:rtl/>
        </w:rPr>
      </w:pPr>
      <w:bookmarkStart w:id="3" w:name="Seif4"/>
      <w:bookmarkEnd w:id="3"/>
      <w:r>
        <w:rPr>
          <w:rFonts w:cs="Miriam"/>
          <w:lang w:val="he-IL"/>
        </w:rPr>
        <w:pict w14:anchorId="0AB0654D">
          <v:rect id="_x0000_s2194" style="position:absolute;left:0;text-align:left;margin-left:468pt;margin-top:8.05pt;width:70.55pt;height:10pt;z-index:251659264" filled="f" stroked="f" strokecolor="lime" strokeweight=".25pt">
            <v:textbox style="mso-next-textbox:#_x0000_s2194" inset="1mm,0,1mm,0">
              <w:txbxContent>
                <w:p w14:paraId="5430C6C0" w14:textId="77777777" w:rsidR="007F7892" w:rsidRDefault="005F2BAB" w:rsidP="007F7892">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5F2BAB">
        <w:rPr>
          <w:rStyle w:val="big-number"/>
          <w:rFonts w:cs="FrankRuehl" w:hint="cs"/>
          <w:sz w:val="26"/>
          <w:szCs w:val="26"/>
          <w:rtl/>
        </w:rPr>
        <w:t>אין בהוראות אלה כדי לגרוע מהוראות כל דין לעניין חובות המוטלות על הבעלים הרשום של כלי השיט, קברניטו או מי שבידו השליטה בכלי השיט</w:t>
      </w:r>
      <w:r>
        <w:rPr>
          <w:rStyle w:val="big-number"/>
          <w:rFonts w:cs="FrankRuehl" w:hint="cs"/>
          <w:sz w:val="26"/>
          <w:szCs w:val="26"/>
          <w:rtl/>
        </w:rPr>
        <w:t>.</w:t>
      </w:r>
    </w:p>
    <w:p w14:paraId="673BEFB7" w14:textId="77777777" w:rsidR="00CD7A76" w:rsidRDefault="00CD7A76">
      <w:pPr>
        <w:pStyle w:val="P00"/>
        <w:spacing w:before="72"/>
        <w:ind w:left="0" w:right="1134"/>
        <w:rPr>
          <w:rStyle w:val="big-number"/>
          <w:rFonts w:cs="FrankRuehl" w:hint="cs"/>
          <w:sz w:val="26"/>
          <w:szCs w:val="26"/>
          <w:rtl/>
        </w:rPr>
      </w:pPr>
    </w:p>
    <w:p w14:paraId="01682696" w14:textId="77777777" w:rsidR="00CD7A76" w:rsidRPr="007F7892" w:rsidRDefault="00CD7A76" w:rsidP="007F7892">
      <w:pPr>
        <w:pStyle w:val="medium2-header"/>
        <w:keepLines w:val="0"/>
        <w:spacing w:before="72"/>
        <w:ind w:left="0" w:right="1134"/>
        <w:rPr>
          <w:rFonts w:cs="FrankRuehl" w:hint="cs"/>
          <w:noProof/>
          <w:sz w:val="20"/>
          <w:rtl/>
        </w:rPr>
      </w:pPr>
      <w:bookmarkStart w:id="4" w:name="med0"/>
      <w:bookmarkEnd w:id="4"/>
      <w:r w:rsidRPr="007F7892">
        <w:rPr>
          <w:rFonts w:cs="FrankRuehl" w:hint="cs"/>
          <w:noProof/>
          <w:sz w:val="20"/>
          <w:rtl/>
        </w:rPr>
        <w:t>תוספת</w:t>
      </w:r>
    </w:p>
    <w:p w14:paraId="139CF993" w14:textId="77777777" w:rsidR="00CD7A76" w:rsidRDefault="00CD7A76" w:rsidP="007F7892">
      <w:pPr>
        <w:pStyle w:val="P00"/>
        <w:spacing w:before="72"/>
        <w:ind w:left="0" w:right="1134"/>
        <w:jc w:val="center"/>
        <w:rPr>
          <w:rStyle w:val="big-number"/>
          <w:rFonts w:cs="FrankRuehl"/>
          <w:sz w:val="24"/>
          <w:szCs w:val="24"/>
          <w:rtl/>
        </w:rPr>
      </w:pPr>
      <w:r w:rsidRPr="007F7892">
        <w:rPr>
          <w:rStyle w:val="big-number"/>
          <w:rFonts w:cs="FrankRuehl" w:hint="cs"/>
          <w:sz w:val="24"/>
          <w:szCs w:val="24"/>
          <w:rtl/>
        </w:rPr>
        <w:t>(סעיף 1)</w:t>
      </w:r>
    </w:p>
    <w:p w14:paraId="081F2EE9" w14:textId="77777777" w:rsidR="001616A4" w:rsidRPr="005F2BAB" w:rsidRDefault="001616A4" w:rsidP="005F2BAB">
      <w:pPr>
        <w:pStyle w:val="P00"/>
        <w:spacing w:before="0"/>
        <w:ind w:left="0" w:right="1134"/>
        <w:rPr>
          <w:rStyle w:val="big-number"/>
          <w:rFonts w:cs="FrankRuehl" w:hint="cs"/>
          <w:sz w:val="20"/>
          <w:szCs w:val="20"/>
          <w:rtl/>
        </w:rPr>
      </w:pPr>
    </w:p>
    <w:p w14:paraId="2F574998" w14:textId="77777777" w:rsidR="007F7892" w:rsidRDefault="005F2BAB" w:rsidP="00440E73">
      <w:pPr>
        <w:pStyle w:val="P00"/>
        <w:spacing w:before="72"/>
        <w:ind w:left="0" w:right="1134"/>
        <w:jc w:val="center"/>
        <w:rPr>
          <w:rStyle w:val="big-number"/>
          <w:rFonts w:cs="FrankRuehl" w:hint="cs"/>
          <w:sz w:val="26"/>
          <w:szCs w:val="26"/>
          <w:rtl/>
        </w:rPr>
      </w:pPr>
      <w:r w:rsidRPr="00521C2D">
        <w:rPr>
          <w:rStyle w:val="big-number"/>
          <w:rFonts w:cs="FrankRuehl" w:hint="cs"/>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4pt;height:322.8pt">
            <v:imagedata r:id="rId7" o:title=""/>
          </v:shape>
        </w:pict>
      </w:r>
    </w:p>
    <w:p w14:paraId="42AF1D1B" w14:textId="77777777" w:rsidR="007F7892" w:rsidRPr="007F7892" w:rsidRDefault="007F7892">
      <w:pPr>
        <w:pStyle w:val="P00"/>
        <w:spacing w:before="72"/>
        <w:ind w:left="0" w:right="1134"/>
        <w:rPr>
          <w:rStyle w:val="big-number"/>
          <w:rFonts w:cs="FrankRuehl" w:hint="cs"/>
          <w:sz w:val="26"/>
          <w:szCs w:val="26"/>
          <w:rtl/>
        </w:rPr>
      </w:pPr>
    </w:p>
    <w:p w14:paraId="52FC5E93" w14:textId="77777777" w:rsidR="00E909DD" w:rsidRPr="007F7892" w:rsidRDefault="00E909DD">
      <w:pPr>
        <w:pStyle w:val="P00"/>
        <w:spacing w:before="72"/>
        <w:ind w:left="0" w:right="1134"/>
        <w:rPr>
          <w:rStyle w:val="big-number"/>
          <w:rFonts w:cs="FrankRuehl" w:hint="cs"/>
          <w:sz w:val="26"/>
          <w:szCs w:val="26"/>
          <w:rtl/>
        </w:rPr>
      </w:pPr>
    </w:p>
    <w:p w14:paraId="36C513C1" w14:textId="77777777" w:rsidR="00CD7A76" w:rsidRDefault="005F2BAB" w:rsidP="00440E73">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ב' בסיוון התשפ"ב (1 ביוני 2022</w:t>
      </w:r>
      <w:r w:rsidR="00CD7A76">
        <w:rPr>
          <w:rFonts w:cs="FrankRuehl" w:hint="cs"/>
          <w:sz w:val="26"/>
          <w:szCs w:val="26"/>
          <w:rtl/>
        </w:rPr>
        <w:t>)</w:t>
      </w:r>
      <w:r w:rsidR="00440E73">
        <w:rPr>
          <w:rFonts w:cs="FrankRuehl"/>
          <w:sz w:val="26"/>
          <w:szCs w:val="26"/>
          <w:rtl/>
        </w:rPr>
        <w:tab/>
      </w:r>
      <w:r>
        <w:rPr>
          <w:rFonts w:cs="FrankRuehl" w:hint="cs"/>
          <w:sz w:val="26"/>
          <w:szCs w:val="26"/>
          <w:rtl/>
        </w:rPr>
        <w:t>יגאל מאור</w:t>
      </w:r>
    </w:p>
    <w:p w14:paraId="4193B199" w14:textId="77777777" w:rsidR="00CD7A76" w:rsidRDefault="00CD7A76" w:rsidP="00440E73">
      <w:pPr>
        <w:pStyle w:val="sig-1"/>
        <w:widowControl/>
        <w:tabs>
          <w:tab w:val="clear" w:pos="851"/>
          <w:tab w:val="clear" w:pos="2835"/>
          <w:tab w:val="clear" w:pos="4820"/>
          <w:tab w:val="center" w:pos="5670"/>
        </w:tabs>
        <w:ind w:left="0" w:right="1134"/>
        <w:rPr>
          <w:rFonts w:cs="FrankRuehl"/>
          <w:sz w:val="22"/>
          <w:rtl/>
        </w:rPr>
      </w:pPr>
      <w:r>
        <w:rPr>
          <w:rFonts w:cs="FrankRuehl" w:hint="cs"/>
          <w:sz w:val="22"/>
          <w:rtl/>
        </w:rPr>
        <w:tab/>
      </w:r>
      <w:r w:rsidR="005F2BAB">
        <w:rPr>
          <w:rFonts w:cs="FrankRuehl" w:hint="cs"/>
          <w:sz w:val="22"/>
          <w:rtl/>
        </w:rPr>
        <w:t>מנהל רשות הספנות והנמלים</w:t>
      </w:r>
    </w:p>
    <w:p w14:paraId="5A11164B" w14:textId="77777777" w:rsidR="00521C2D" w:rsidRPr="007F7892" w:rsidRDefault="00521C2D" w:rsidP="007F7892">
      <w:pPr>
        <w:pStyle w:val="P00"/>
        <w:spacing w:before="72"/>
        <w:ind w:left="0" w:right="1134"/>
        <w:rPr>
          <w:rStyle w:val="big-number"/>
          <w:rFonts w:cs="FrankRuehl"/>
          <w:sz w:val="26"/>
          <w:szCs w:val="26"/>
          <w:rtl/>
        </w:rPr>
      </w:pPr>
    </w:p>
    <w:p w14:paraId="5C9121AC" w14:textId="77777777" w:rsidR="00D115B3" w:rsidRDefault="00D115B3" w:rsidP="007F7892">
      <w:pPr>
        <w:pStyle w:val="P00"/>
        <w:spacing w:before="72"/>
        <w:ind w:left="0" w:right="1134"/>
        <w:rPr>
          <w:rStyle w:val="big-number"/>
          <w:rFonts w:cs="FrankRuehl"/>
          <w:sz w:val="26"/>
          <w:szCs w:val="26"/>
          <w:rtl/>
        </w:rPr>
      </w:pPr>
    </w:p>
    <w:p w14:paraId="46C5A8F0" w14:textId="77777777" w:rsidR="0052250E" w:rsidRDefault="0052250E" w:rsidP="007F7892">
      <w:pPr>
        <w:pStyle w:val="P00"/>
        <w:spacing w:before="72"/>
        <w:ind w:left="0" w:right="1134"/>
        <w:rPr>
          <w:rStyle w:val="big-number"/>
          <w:rFonts w:cs="FrankRuehl"/>
          <w:sz w:val="26"/>
          <w:szCs w:val="26"/>
          <w:rtl/>
        </w:rPr>
      </w:pPr>
    </w:p>
    <w:p w14:paraId="27EED6C8" w14:textId="77777777" w:rsidR="0052250E" w:rsidRDefault="0052250E" w:rsidP="007F7892">
      <w:pPr>
        <w:pStyle w:val="P00"/>
        <w:spacing w:before="72"/>
        <w:ind w:left="0" w:right="1134"/>
        <w:rPr>
          <w:rStyle w:val="big-number"/>
          <w:rFonts w:cs="FrankRuehl"/>
          <w:sz w:val="26"/>
          <w:szCs w:val="26"/>
          <w:rtl/>
        </w:rPr>
      </w:pPr>
    </w:p>
    <w:p w14:paraId="10B27719" w14:textId="77777777" w:rsidR="0052250E" w:rsidRDefault="0052250E" w:rsidP="0052250E">
      <w:pPr>
        <w:pStyle w:val="P00"/>
        <w:spacing w:before="72"/>
        <w:ind w:left="0" w:right="1134"/>
        <w:jc w:val="center"/>
        <w:rPr>
          <w:rStyle w:val="big-number"/>
          <w:rFonts w:cs="David"/>
          <w:color w:val="0000FF"/>
          <w:sz w:val="26"/>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298FB5A7" w14:textId="77777777" w:rsidR="00D115B3" w:rsidRPr="0052250E" w:rsidRDefault="00D115B3" w:rsidP="0052250E">
      <w:pPr>
        <w:pStyle w:val="P00"/>
        <w:spacing w:before="72"/>
        <w:ind w:left="0" w:right="1134"/>
        <w:jc w:val="center"/>
        <w:rPr>
          <w:rStyle w:val="big-number"/>
          <w:rFonts w:cs="David"/>
          <w:color w:val="0000FF"/>
          <w:sz w:val="26"/>
          <w:szCs w:val="24"/>
          <w:u w:val="single"/>
          <w:rtl/>
        </w:rPr>
      </w:pPr>
    </w:p>
    <w:sectPr w:rsidR="00D115B3" w:rsidRPr="0052250E">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23EEB" w14:textId="77777777" w:rsidR="00FC2769" w:rsidRDefault="00FC2769">
      <w:r>
        <w:separator/>
      </w:r>
    </w:p>
  </w:endnote>
  <w:endnote w:type="continuationSeparator" w:id="0">
    <w:p w14:paraId="73754E2C" w14:textId="77777777" w:rsidR="00FC2769" w:rsidRDefault="00FC2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F5818" w14:textId="77777777" w:rsidR="00CD7A76" w:rsidRDefault="00CD7A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7536038" w14:textId="77777777" w:rsidR="00CD7A76" w:rsidRDefault="00CD7A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9F1379" w14:textId="77777777" w:rsidR="00CD7A76" w:rsidRDefault="00CD7A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M:\00000000\law\index\001-100\999_293.doc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CC69" w14:textId="77777777" w:rsidR="00CD7A76" w:rsidRDefault="00CD7A7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2250E">
      <w:rPr>
        <w:rFonts w:hAnsi="FrankRuehl" w:cs="FrankRuehl"/>
        <w:noProof/>
        <w:sz w:val="24"/>
        <w:szCs w:val="24"/>
        <w:rtl/>
      </w:rPr>
      <w:t>4</w:t>
    </w:r>
    <w:r>
      <w:rPr>
        <w:rFonts w:hAnsi="FrankRuehl" w:cs="FrankRuehl"/>
        <w:sz w:val="24"/>
        <w:szCs w:val="24"/>
        <w:rtl/>
      </w:rPr>
      <w:fldChar w:fldCharType="end"/>
    </w:r>
  </w:p>
  <w:p w14:paraId="49F9BD86" w14:textId="77777777" w:rsidR="00CD7A76" w:rsidRDefault="00CD7A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E88E4E" w14:textId="77777777" w:rsidR="00CD7A76" w:rsidRDefault="00CD7A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M:\00000000\law\index\001-100\999_293.doc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AE04A" w14:textId="77777777" w:rsidR="00FC2769" w:rsidRDefault="00FC2769">
      <w:r>
        <w:separator/>
      </w:r>
    </w:p>
  </w:footnote>
  <w:footnote w:type="continuationSeparator" w:id="0">
    <w:p w14:paraId="72657ED4" w14:textId="77777777" w:rsidR="00FC2769" w:rsidRDefault="00FC2769">
      <w:r>
        <w:continuationSeparator/>
      </w:r>
    </w:p>
  </w:footnote>
  <w:footnote w:id="1">
    <w:p w14:paraId="560C9042" w14:textId="77777777" w:rsidR="00C953FC" w:rsidRDefault="00E909DD" w:rsidP="00C953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C953FC">
          <w:rPr>
            <w:rStyle w:val="Hyperlink"/>
            <w:rFonts w:cs="FrankRuehl" w:hint="cs"/>
            <w:rtl/>
          </w:rPr>
          <w:t>ק"ת תש</w:t>
        </w:r>
        <w:r w:rsidR="007B483B" w:rsidRPr="00C953FC">
          <w:rPr>
            <w:rStyle w:val="Hyperlink"/>
            <w:rFonts w:cs="FrankRuehl" w:hint="cs"/>
            <w:rtl/>
          </w:rPr>
          <w:t>פ"ב</w:t>
        </w:r>
        <w:r w:rsidRPr="00C953FC">
          <w:rPr>
            <w:rStyle w:val="Hyperlink"/>
            <w:rFonts w:cs="FrankRuehl" w:hint="cs"/>
            <w:rtl/>
          </w:rPr>
          <w:t xml:space="preserve"> מס' </w:t>
        </w:r>
        <w:r w:rsidR="007B483B" w:rsidRPr="00C953FC">
          <w:rPr>
            <w:rStyle w:val="Hyperlink"/>
            <w:rFonts w:cs="FrankRuehl" w:hint="cs"/>
            <w:rtl/>
          </w:rPr>
          <w:t>10195</w:t>
        </w:r>
      </w:hyperlink>
      <w:r>
        <w:rPr>
          <w:rFonts w:cs="FrankRuehl" w:hint="cs"/>
          <w:rtl/>
        </w:rPr>
        <w:t xml:space="preserve"> מיום </w:t>
      </w:r>
      <w:r w:rsidR="007B483B">
        <w:rPr>
          <w:rFonts w:cs="FrankRuehl" w:hint="cs"/>
          <w:rtl/>
        </w:rPr>
        <w:t>2.6.2022</w:t>
      </w:r>
      <w:r>
        <w:rPr>
          <w:rFonts w:cs="FrankRuehl" w:hint="cs"/>
          <w:rtl/>
        </w:rPr>
        <w:t xml:space="preserve"> עמ' </w:t>
      </w:r>
      <w:r w:rsidR="007B483B">
        <w:rPr>
          <w:rFonts w:cs="FrankRuehl" w:hint="cs"/>
          <w:rtl/>
        </w:rPr>
        <w:t>3110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F254" w14:textId="77777777" w:rsidR="00CD7A76" w:rsidRDefault="00CD7A7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BFA57F5" w14:textId="77777777" w:rsidR="00CD7A76" w:rsidRDefault="00CD7A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0D2ADF" w14:textId="77777777" w:rsidR="00CD7A76" w:rsidRDefault="00CD7A7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10E3" w14:textId="77777777" w:rsidR="00CD7A76" w:rsidRDefault="00CD7A7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הוראות שעת חירום (פיקוח על כלי שיט) (איסור שיט סביב אסדת </w:t>
    </w:r>
    <w:r w:rsidR="007B483B">
      <w:rPr>
        <w:rFonts w:hAnsi="FrankRuehl" w:cs="FrankRuehl" w:hint="cs"/>
        <w:color w:val="000000"/>
        <w:sz w:val="28"/>
        <w:szCs w:val="28"/>
        <w:rtl/>
      </w:rPr>
      <w:t>כריש</w:t>
    </w:r>
    <w:r w:rsidR="007F7892">
      <w:rPr>
        <w:rFonts w:hAnsi="FrankRuehl" w:cs="FrankRuehl" w:hint="cs"/>
        <w:color w:val="000000"/>
        <w:sz w:val="28"/>
        <w:szCs w:val="28"/>
        <w:rtl/>
      </w:rPr>
      <w:t xml:space="preserve">), </w:t>
    </w:r>
    <w:r w:rsidR="007B483B">
      <w:rPr>
        <w:rFonts w:hAnsi="FrankRuehl" w:cs="FrankRuehl" w:hint="cs"/>
        <w:color w:val="000000"/>
        <w:sz w:val="28"/>
        <w:szCs w:val="28"/>
        <w:rtl/>
      </w:rPr>
      <w:t>תשפ"ב-2022</w:t>
    </w:r>
  </w:p>
  <w:p w14:paraId="7ED7C42E" w14:textId="77777777" w:rsidR="00CD7A76" w:rsidRDefault="00CD7A7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8E1252" w14:textId="77777777" w:rsidR="00CD7A76" w:rsidRDefault="00CD7A7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9660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D7E"/>
    <w:rsid w:val="000635EF"/>
    <w:rsid w:val="000F6A2A"/>
    <w:rsid w:val="001616A4"/>
    <w:rsid w:val="00296F8A"/>
    <w:rsid w:val="0031651A"/>
    <w:rsid w:val="003853E8"/>
    <w:rsid w:val="00440E73"/>
    <w:rsid w:val="00521C2D"/>
    <w:rsid w:val="0052250E"/>
    <w:rsid w:val="005C274B"/>
    <w:rsid w:val="005F22CC"/>
    <w:rsid w:val="005F2BAB"/>
    <w:rsid w:val="00634D7E"/>
    <w:rsid w:val="007B483B"/>
    <w:rsid w:val="007F7892"/>
    <w:rsid w:val="008206CA"/>
    <w:rsid w:val="008F6646"/>
    <w:rsid w:val="00C953FC"/>
    <w:rsid w:val="00CD7A76"/>
    <w:rsid w:val="00CE4A7F"/>
    <w:rsid w:val="00D115B3"/>
    <w:rsid w:val="00E301EF"/>
    <w:rsid w:val="00E909DD"/>
    <w:rsid w:val="00EA27AD"/>
    <w:rsid w:val="00EC6EF0"/>
    <w:rsid w:val="00ED6176"/>
    <w:rsid w:val="00F92573"/>
    <w:rsid w:val="00FC27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2"/>
    </o:shapelayout>
  </w:shapeDefaults>
  <w:decimalSymbol w:val="."/>
  <w:listSeparator w:val=","/>
  <w14:docId w14:val="2349CF1C"/>
  <w15:chartTrackingRefBased/>
  <w15:docId w15:val="{29CF74E8-EB2F-41DC-8EBA-F533DE2E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101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4781</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2293789</vt:i4>
      </vt:variant>
      <vt:variant>
        <vt:i4>0</vt:i4>
      </vt:variant>
      <vt:variant>
        <vt:i4>0</vt:i4>
      </vt:variant>
      <vt:variant>
        <vt:i4>5</vt:i4>
      </vt:variant>
      <vt:variant>
        <vt:lpwstr>https://www.nevo.co.il/law_word/law06/tak-10195.pdf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הוראות שעת חירום (פיקוח על כלי שיט) (איסור שיט סביב אסדת כריש), תשפ"ב-2022</vt:lpwstr>
  </property>
  <property fmtid="{D5CDD505-2E9C-101B-9397-08002B2CF9AE}" pid="4" name="LAWNUMBER">
    <vt:lpwstr>0616</vt:lpwstr>
  </property>
  <property fmtid="{D5CDD505-2E9C-101B-9397-08002B2CF9AE}" pid="5" name="TYPE">
    <vt:lpwstr>01</vt:lpwstr>
  </property>
  <property fmtid="{D5CDD505-2E9C-101B-9397-08002B2CF9AE}" pid="6" name="CHNAME">
    <vt:lpwstr>כלי שיט</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פיקוח על כלי שיט</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תשתיות</vt:lpwstr>
  </property>
  <property fmtid="{D5CDD505-2E9C-101B-9397-08002B2CF9AE}" pid="13" name="NOSE32">
    <vt:lpwstr>ספנות ונמלים</vt:lpwstr>
  </property>
  <property fmtid="{D5CDD505-2E9C-101B-9397-08002B2CF9AE}" pid="14" name="NOSE42">
    <vt:lpwstr>כלי שיט</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להארכת תוקף של תקנות שעת חירום (פיקוח על כלי שיט) [נוסח משולב], תשל"ג-1973</vt:lpwstr>
  </property>
  <property fmtid="{D5CDD505-2E9C-101B-9397-08002B2CF9AE}" pid="48" name="MEKOR_LAWID1">
    <vt:lpwstr>73209</vt:lpwstr>
  </property>
  <property fmtid="{D5CDD505-2E9C-101B-9397-08002B2CF9AE}" pid="49" name="MEKOR_SAIF1">
    <vt:lpwstr>2X6X;5גX;7XגX;8בX</vt:lpwstr>
  </property>
  <property fmtid="{D5CDD505-2E9C-101B-9397-08002B2CF9AE}" pid="50" name="MEKORSAMCHUT">
    <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y fmtid="{D5CDD505-2E9C-101B-9397-08002B2CF9AE}" pid="65" name="LINKK1">
    <vt:lpwstr>https://www.nevo.co.il/law_word/law06/tak-10195.pdf;‎רשומות - תקנות כלליות#פורסמו ק"ת ‏תשפ"ב מס' 10195 #מיום 2.6.2022 עמ' 3110‏</vt:lpwstr>
  </property>
</Properties>
</file>