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906" w:rsidRDefault="00AC4906">
      <w:pPr>
        <w:pStyle w:val="big-header"/>
        <w:ind w:left="0" w:right="1134"/>
        <w:rPr>
          <w:rFonts w:cs="FrankRuehl"/>
          <w:sz w:val="32"/>
        </w:rPr>
      </w:pPr>
      <w:r>
        <w:rPr>
          <w:rFonts w:cs="FrankRuehl"/>
          <w:sz w:val="32"/>
          <w:rtl/>
        </w:rPr>
        <w:t>החוק המסחרי העותומני</w:t>
      </w:r>
    </w:p>
    <w:p w:rsidR="007E5C67" w:rsidRPr="007E5C67" w:rsidRDefault="007E5C67" w:rsidP="007E5C67">
      <w:pPr>
        <w:spacing w:line="320" w:lineRule="auto"/>
        <w:jc w:val="left"/>
        <w:rPr>
          <w:rFonts w:cs="FrankRuehl"/>
          <w:szCs w:val="26"/>
          <w:rtl/>
        </w:rPr>
      </w:pPr>
    </w:p>
    <w:p w:rsidR="007E5C67" w:rsidRDefault="007E5C67" w:rsidP="007E5C67">
      <w:pPr>
        <w:spacing w:line="320" w:lineRule="auto"/>
        <w:jc w:val="left"/>
        <w:rPr>
          <w:rtl/>
        </w:rPr>
      </w:pPr>
    </w:p>
    <w:p w:rsidR="007E5C67" w:rsidRPr="007E5C67" w:rsidRDefault="007E5C67" w:rsidP="007E5C67">
      <w:pPr>
        <w:spacing w:line="320" w:lineRule="auto"/>
        <w:jc w:val="left"/>
        <w:rPr>
          <w:rFonts w:cs="Miriam"/>
          <w:szCs w:val="22"/>
          <w:rtl/>
        </w:rPr>
      </w:pPr>
      <w:r w:rsidRPr="007E5C67">
        <w:rPr>
          <w:rFonts w:cs="Miriam"/>
          <w:szCs w:val="22"/>
          <w:rtl/>
        </w:rPr>
        <w:t>משפט פרטי וכלכלה</w:t>
      </w:r>
      <w:r w:rsidRPr="007E5C67">
        <w:rPr>
          <w:rFonts w:cs="FrankRuehl"/>
          <w:szCs w:val="26"/>
          <w:rtl/>
        </w:rPr>
        <w:t xml:space="preserve"> – מסחר  – סחר</w:t>
      </w:r>
    </w:p>
    <w:p w:rsidR="00AC4906" w:rsidRDefault="00AC490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p>
        </w:tc>
        <w:tc>
          <w:tcPr>
            <w:tcW w:w="5669" w:type="dxa"/>
          </w:tcPr>
          <w:p w:rsidR="00E529CC" w:rsidRPr="00E529CC" w:rsidRDefault="00E529CC" w:rsidP="00E529CC">
            <w:pPr>
              <w:spacing w:line="240" w:lineRule="auto"/>
              <w:jc w:val="left"/>
              <w:rPr>
                <w:rFonts w:cs="Frankruhel"/>
                <w:sz w:val="24"/>
                <w:rtl/>
              </w:rPr>
            </w:pPr>
            <w:r>
              <w:rPr>
                <w:sz w:val="24"/>
                <w:rtl/>
              </w:rPr>
              <w:t>פרק ראשון</w:t>
            </w:r>
          </w:p>
        </w:tc>
        <w:tc>
          <w:tcPr>
            <w:tcW w:w="567" w:type="dxa"/>
          </w:tcPr>
          <w:p w:rsidR="00E529CC" w:rsidRPr="00E529CC" w:rsidRDefault="00E529CC" w:rsidP="00E529CC">
            <w:pPr>
              <w:spacing w:line="240" w:lineRule="auto"/>
              <w:jc w:val="left"/>
              <w:rPr>
                <w:rStyle w:val="Hyperlink"/>
                <w:rtl/>
              </w:rPr>
            </w:pPr>
            <w:hyperlink w:anchor="med0" w:tooltip="פרק ראשון"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r>
              <w:rPr>
                <w:sz w:val="24"/>
                <w:rtl/>
              </w:rPr>
              <w:t xml:space="preserve">סעיף 2 </w:t>
            </w:r>
          </w:p>
        </w:tc>
        <w:tc>
          <w:tcPr>
            <w:tcW w:w="5669" w:type="dxa"/>
          </w:tcPr>
          <w:p w:rsidR="00E529CC" w:rsidRPr="00E529CC" w:rsidRDefault="00E529CC" w:rsidP="00E529CC">
            <w:pPr>
              <w:spacing w:line="240" w:lineRule="auto"/>
              <w:jc w:val="left"/>
              <w:rPr>
                <w:rFonts w:cs="Frankruhel"/>
                <w:sz w:val="24"/>
                <w:rtl/>
              </w:rPr>
            </w:pPr>
            <w:r>
              <w:rPr>
                <w:sz w:val="24"/>
                <w:rtl/>
              </w:rPr>
              <w:t>חוק הכשרות המשפטית והאפוטרופסות תשכ"ב 1962</w:t>
            </w:r>
          </w:p>
        </w:tc>
        <w:tc>
          <w:tcPr>
            <w:tcW w:w="567" w:type="dxa"/>
          </w:tcPr>
          <w:p w:rsidR="00E529CC" w:rsidRPr="00E529CC" w:rsidRDefault="00E529CC" w:rsidP="00E529CC">
            <w:pPr>
              <w:spacing w:line="240" w:lineRule="auto"/>
              <w:jc w:val="left"/>
              <w:rPr>
                <w:rStyle w:val="Hyperlink"/>
                <w:rtl/>
              </w:rPr>
            </w:pPr>
            <w:hyperlink w:anchor="Seif1" w:tooltip="חוק הכשרות המשפטית והאפוטרופסות תשכב 1962"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p>
        </w:tc>
        <w:tc>
          <w:tcPr>
            <w:tcW w:w="5669" w:type="dxa"/>
          </w:tcPr>
          <w:p w:rsidR="00E529CC" w:rsidRPr="00E529CC" w:rsidRDefault="00E529CC" w:rsidP="00E529CC">
            <w:pPr>
              <w:spacing w:line="240" w:lineRule="auto"/>
              <w:jc w:val="left"/>
              <w:rPr>
                <w:rFonts w:cs="Frankruhel"/>
                <w:sz w:val="24"/>
                <w:rtl/>
              </w:rPr>
            </w:pPr>
            <w:r>
              <w:rPr>
                <w:sz w:val="24"/>
                <w:rtl/>
              </w:rPr>
              <w:t>פרק שני</w:t>
            </w:r>
          </w:p>
        </w:tc>
        <w:tc>
          <w:tcPr>
            <w:tcW w:w="567" w:type="dxa"/>
          </w:tcPr>
          <w:p w:rsidR="00E529CC" w:rsidRPr="00E529CC" w:rsidRDefault="00E529CC" w:rsidP="00E529CC">
            <w:pPr>
              <w:spacing w:line="240" w:lineRule="auto"/>
              <w:jc w:val="left"/>
              <w:rPr>
                <w:rStyle w:val="Hyperlink"/>
                <w:rtl/>
              </w:rPr>
            </w:pPr>
            <w:hyperlink w:anchor="med1" w:tooltip="פרק שני"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p>
        </w:tc>
        <w:tc>
          <w:tcPr>
            <w:tcW w:w="5669" w:type="dxa"/>
          </w:tcPr>
          <w:p w:rsidR="00E529CC" w:rsidRPr="00E529CC" w:rsidRDefault="00E529CC" w:rsidP="00E529CC">
            <w:pPr>
              <w:spacing w:line="240" w:lineRule="auto"/>
              <w:jc w:val="left"/>
              <w:rPr>
                <w:rFonts w:cs="Frankruhel"/>
                <w:sz w:val="24"/>
                <w:rtl/>
              </w:rPr>
            </w:pPr>
            <w:r>
              <w:rPr>
                <w:sz w:val="24"/>
                <w:rtl/>
              </w:rPr>
              <w:t>פרק שלישי</w:t>
            </w:r>
          </w:p>
        </w:tc>
        <w:tc>
          <w:tcPr>
            <w:tcW w:w="567" w:type="dxa"/>
          </w:tcPr>
          <w:p w:rsidR="00E529CC" w:rsidRPr="00E529CC" w:rsidRDefault="00E529CC" w:rsidP="00E529CC">
            <w:pPr>
              <w:spacing w:line="240" w:lineRule="auto"/>
              <w:jc w:val="left"/>
              <w:rPr>
                <w:rStyle w:val="Hyperlink"/>
                <w:rtl/>
              </w:rPr>
            </w:pPr>
            <w:hyperlink w:anchor="med2" w:tooltip="פרק שלישי"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p>
        </w:tc>
        <w:tc>
          <w:tcPr>
            <w:tcW w:w="5669" w:type="dxa"/>
          </w:tcPr>
          <w:p w:rsidR="00E529CC" w:rsidRPr="00E529CC" w:rsidRDefault="00E529CC" w:rsidP="00E529CC">
            <w:pPr>
              <w:spacing w:line="240" w:lineRule="auto"/>
              <w:jc w:val="left"/>
              <w:rPr>
                <w:rFonts w:cs="Frankruhel"/>
                <w:sz w:val="24"/>
                <w:rtl/>
              </w:rPr>
            </w:pPr>
            <w:r>
              <w:rPr>
                <w:sz w:val="24"/>
                <w:rtl/>
              </w:rPr>
              <w:t>פרק רביעי</w:t>
            </w:r>
          </w:p>
        </w:tc>
        <w:tc>
          <w:tcPr>
            <w:tcW w:w="567" w:type="dxa"/>
          </w:tcPr>
          <w:p w:rsidR="00E529CC" w:rsidRPr="00E529CC" w:rsidRDefault="00E529CC" w:rsidP="00E529CC">
            <w:pPr>
              <w:spacing w:line="240" w:lineRule="auto"/>
              <w:jc w:val="left"/>
              <w:rPr>
                <w:rStyle w:val="Hyperlink"/>
                <w:rtl/>
              </w:rPr>
            </w:pPr>
            <w:hyperlink w:anchor="med3" w:tooltip="פרק רביעי"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p>
        </w:tc>
        <w:tc>
          <w:tcPr>
            <w:tcW w:w="5669" w:type="dxa"/>
          </w:tcPr>
          <w:p w:rsidR="00E529CC" w:rsidRPr="00E529CC" w:rsidRDefault="00E529CC" w:rsidP="00E529CC">
            <w:pPr>
              <w:spacing w:line="240" w:lineRule="auto"/>
              <w:jc w:val="left"/>
              <w:rPr>
                <w:rFonts w:cs="Frankruhel"/>
                <w:sz w:val="24"/>
                <w:rtl/>
              </w:rPr>
            </w:pPr>
            <w:r>
              <w:rPr>
                <w:sz w:val="24"/>
                <w:rtl/>
              </w:rPr>
              <w:t>פרק חמישי</w:t>
            </w:r>
          </w:p>
        </w:tc>
        <w:tc>
          <w:tcPr>
            <w:tcW w:w="567" w:type="dxa"/>
          </w:tcPr>
          <w:p w:rsidR="00E529CC" w:rsidRPr="00E529CC" w:rsidRDefault="00E529CC" w:rsidP="00E529CC">
            <w:pPr>
              <w:spacing w:line="240" w:lineRule="auto"/>
              <w:jc w:val="left"/>
              <w:rPr>
                <w:rStyle w:val="Hyperlink"/>
                <w:rtl/>
              </w:rPr>
            </w:pPr>
            <w:hyperlink w:anchor="med4" w:tooltip="פרק חמישי"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29CC" w:rsidRPr="00E529CC">
        <w:tblPrEx>
          <w:tblCellMar>
            <w:top w:w="0" w:type="dxa"/>
            <w:bottom w:w="0" w:type="dxa"/>
          </w:tblCellMar>
        </w:tblPrEx>
        <w:tc>
          <w:tcPr>
            <w:tcW w:w="1247" w:type="dxa"/>
          </w:tcPr>
          <w:p w:rsidR="00E529CC" w:rsidRPr="00E529CC" w:rsidRDefault="00E529CC" w:rsidP="00E529CC">
            <w:pPr>
              <w:spacing w:line="240" w:lineRule="auto"/>
              <w:jc w:val="left"/>
              <w:rPr>
                <w:rFonts w:cs="Frankruhel"/>
                <w:sz w:val="24"/>
                <w:rtl/>
              </w:rPr>
            </w:pPr>
            <w:r>
              <w:rPr>
                <w:sz w:val="24"/>
                <w:rtl/>
              </w:rPr>
              <w:t xml:space="preserve">סעיף 56 </w:t>
            </w:r>
          </w:p>
        </w:tc>
        <w:tc>
          <w:tcPr>
            <w:tcW w:w="5669" w:type="dxa"/>
          </w:tcPr>
          <w:p w:rsidR="00E529CC" w:rsidRPr="00E529CC" w:rsidRDefault="00E529CC" w:rsidP="00E529CC">
            <w:pPr>
              <w:spacing w:line="240" w:lineRule="auto"/>
              <w:jc w:val="left"/>
              <w:rPr>
                <w:rFonts w:cs="Frankruhel"/>
                <w:sz w:val="24"/>
                <w:rtl/>
              </w:rPr>
            </w:pPr>
            <w:r>
              <w:rPr>
                <w:sz w:val="24"/>
                <w:rtl/>
              </w:rPr>
              <w:t>חוקשירותיהובלה תשנ"ז 1997</w:t>
            </w:r>
          </w:p>
        </w:tc>
        <w:tc>
          <w:tcPr>
            <w:tcW w:w="567" w:type="dxa"/>
          </w:tcPr>
          <w:p w:rsidR="00E529CC" w:rsidRPr="00E529CC" w:rsidRDefault="00E529CC" w:rsidP="00E529CC">
            <w:pPr>
              <w:spacing w:line="240" w:lineRule="auto"/>
              <w:jc w:val="left"/>
              <w:rPr>
                <w:rStyle w:val="Hyperlink"/>
                <w:rtl/>
              </w:rPr>
            </w:pPr>
            <w:hyperlink w:anchor="Seif2" w:tooltip="חוקשירותיהובלה תשנז 1997" w:history="1">
              <w:r w:rsidRPr="00E529CC">
                <w:rPr>
                  <w:rStyle w:val="Hyperlink"/>
                </w:rPr>
                <w:t>Go</w:t>
              </w:r>
            </w:hyperlink>
          </w:p>
        </w:tc>
        <w:tc>
          <w:tcPr>
            <w:tcW w:w="850" w:type="dxa"/>
          </w:tcPr>
          <w:p w:rsidR="00E529CC" w:rsidRPr="00E529CC" w:rsidRDefault="00E529CC" w:rsidP="00E529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C4906" w:rsidRDefault="00AC4906">
      <w:pPr>
        <w:pStyle w:val="big-header"/>
        <w:ind w:left="0" w:right="1134"/>
        <w:rPr>
          <w:rFonts w:cs="FrankRuehl"/>
          <w:sz w:val="32"/>
          <w:rtl/>
        </w:rPr>
      </w:pPr>
    </w:p>
    <w:p w:rsidR="00AC4906" w:rsidRDefault="00AC4906">
      <w:pPr>
        <w:pStyle w:val="big-header"/>
        <w:ind w:left="0" w:right="1134"/>
        <w:rPr>
          <w:rFonts w:cs="FrankRuehl"/>
          <w:sz w:val="32"/>
          <w:rtl/>
        </w:rPr>
      </w:pPr>
      <w:r>
        <w:rPr>
          <w:rFonts w:cs="FrankRuehl"/>
          <w:sz w:val="32"/>
          <w:rtl/>
        </w:rPr>
        <w:br w:type="page"/>
      </w:r>
      <w:r>
        <w:rPr>
          <w:rFonts w:cs="FrankRuehl"/>
          <w:sz w:val="32"/>
          <w:rtl/>
        </w:rPr>
        <w:lastRenderedPageBreak/>
        <w:t>פר</w:t>
      </w:r>
      <w:r>
        <w:rPr>
          <w:rFonts w:cs="FrankRuehl" w:hint="cs"/>
          <w:sz w:val="32"/>
          <w:rtl/>
        </w:rPr>
        <w:t>ק 256</w:t>
      </w:r>
    </w:p>
    <w:p w:rsidR="00AC4906" w:rsidRDefault="00AC4906">
      <w:pPr>
        <w:pStyle w:val="big-header"/>
        <w:ind w:left="0" w:right="1134"/>
        <w:rPr>
          <w:rStyle w:val="default"/>
          <w:rFonts w:cs="FrankRuehl"/>
          <w:rtl/>
        </w:rPr>
      </w:pPr>
      <w:r>
        <w:rPr>
          <w:rFonts w:cs="FrankRuehl"/>
          <w:sz w:val="32"/>
          <w:rtl/>
        </w:rPr>
        <w:t>הח</w:t>
      </w:r>
      <w:r>
        <w:rPr>
          <w:rFonts w:cs="FrankRuehl" w:hint="cs"/>
          <w:sz w:val="32"/>
          <w:rtl/>
        </w:rPr>
        <w:t>וק המסחרי העותומני</w:t>
      </w:r>
      <w:r>
        <w:rPr>
          <w:rStyle w:val="super"/>
          <w:rFonts w:cs="Miriam"/>
          <w:noProof w:val="0"/>
          <w:rtl/>
          <w:lang w:eastAsia="he-IL"/>
        </w:rPr>
        <w:t>(1)</w:t>
      </w:r>
    </w:p>
    <w:p w:rsidR="00AC4906" w:rsidRDefault="00AC490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w:t>
      </w:r>
    </w:p>
    <w:p w:rsidR="00AC4906" w:rsidRDefault="00AC4906">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סוחרים</w:t>
      </w:r>
    </w:p>
    <w:p w:rsidR="00AC4906" w:rsidRDefault="00AC4906">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כל</w:t>
      </w:r>
      <w:r>
        <w:rPr>
          <w:rStyle w:val="default"/>
          <w:rFonts w:cs="FrankRuehl" w:hint="cs"/>
          <w:rtl/>
        </w:rPr>
        <w:t xml:space="preserve"> האנשים, העוסקים במסחר ומתקשרים בהסכמים בכתב</w:t>
      </w:r>
      <w:r>
        <w:rPr>
          <w:rFonts w:cs="FrankRuehl"/>
          <w:sz w:val="26"/>
          <w:rtl/>
        </w:rPr>
        <w:t> </w:t>
      </w:r>
      <w:r>
        <w:rPr>
          <w:rStyle w:val="default"/>
          <w:rFonts w:cs="FrankRuehl"/>
          <w:rtl/>
        </w:rPr>
        <w:t xml:space="preserve"> ה</w:t>
      </w:r>
      <w:r>
        <w:rPr>
          <w:rStyle w:val="default"/>
          <w:rFonts w:cs="FrankRuehl" w:hint="cs"/>
          <w:rtl/>
        </w:rPr>
        <w:t>מתייחסים לעסקאות מסחריות, מכונים "סוחרים".</w:t>
      </w:r>
    </w:p>
    <w:p w:rsidR="00AC4906" w:rsidRDefault="00AC4906">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32pt;z-index:251656704" o:allowincell="f" filled="f" stroked="f" strokecolor="lime" strokeweight=".25pt">
            <v:textbox inset="0,0,0,0">
              <w:txbxContent>
                <w:p w:rsidR="00AC4906" w:rsidRDefault="00AC4906">
                  <w:pPr>
                    <w:spacing w:line="160" w:lineRule="exact"/>
                    <w:jc w:val="left"/>
                    <w:rPr>
                      <w:rFonts w:cs="Miriam"/>
                      <w:noProof/>
                      <w:sz w:val="18"/>
                      <w:szCs w:val="18"/>
                      <w:rtl/>
                    </w:rPr>
                  </w:pPr>
                  <w:r>
                    <w:rPr>
                      <w:rFonts w:cs="Miriam"/>
                      <w:sz w:val="18"/>
                      <w:szCs w:val="18"/>
                      <w:rtl/>
                    </w:rPr>
                    <w:t>חו</w:t>
                  </w:r>
                  <w:r>
                    <w:rPr>
                      <w:rFonts w:cs="Miriam" w:hint="cs"/>
                      <w:sz w:val="18"/>
                      <w:szCs w:val="18"/>
                      <w:rtl/>
                    </w:rPr>
                    <w:t>ק הכשרות</w:t>
                  </w:r>
                </w:p>
                <w:p w:rsidR="00AC4906" w:rsidRDefault="00AC4906">
                  <w:pPr>
                    <w:spacing w:line="160" w:lineRule="exact"/>
                    <w:jc w:val="left"/>
                    <w:rPr>
                      <w:rFonts w:cs="Miriam"/>
                      <w:noProof/>
                      <w:sz w:val="18"/>
                      <w:szCs w:val="18"/>
                      <w:rtl/>
                    </w:rPr>
                  </w:pPr>
                  <w:r>
                    <w:rPr>
                      <w:rFonts w:cs="Miriam"/>
                      <w:sz w:val="18"/>
                      <w:szCs w:val="18"/>
                      <w:rtl/>
                    </w:rPr>
                    <w:t>המ</w:t>
                  </w:r>
                  <w:r>
                    <w:rPr>
                      <w:rFonts w:cs="Miriam" w:hint="cs"/>
                      <w:sz w:val="18"/>
                      <w:szCs w:val="18"/>
                      <w:rtl/>
                    </w:rPr>
                    <w:t>שפטית</w:t>
                  </w:r>
                </w:p>
                <w:p w:rsidR="00AC4906" w:rsidRDefault="00AC4906">
                  <w:pPr>
                    <w:spacing w:line="160" w:lineRule="exact"/>
                    <w:jc w:val="left"/>
                    <w:rPr>
                      <w:rFonts w:cs="Miriam"/>
                      <w:noProof/>
                      <w:sz w:val="18"/>
                      <w:szCs w:val="18"/>
                      <w:rtl/>
                    </w:rPr>
                  </w:pPr>
                  <w:r>
                    <w:rPr>
                      <w:rFonts w:cs="Miriam"/>
                      <w:sz w:val="18"/>
                      <w:szCs w:val="18"/>
                      <w:rtl/>
                    </w:rPr>
                    <w:t>וה</w:t>
                  </w:r>
                  <w:r>
                    <w:rPr>
                      <w:rFonts w:cs="Miriam" w:hint="cs"/>
                      <w:sz w:val="18"/>
                      <w:szCs w:val="18"/>
                      <w:rtl/>
                    </w:rPr>
                    <w:t>אפוטרופסות</w:t>
                  </w:r>
                </w:p>
                <w:p w:rsidR="00AC4906" w:rsidRDefault="00AC4906">
                  <w:pPr>
                    <w:spacing w:line="160" w:lineRule="exact"/>
                    <w:jc w:val="left"/>
                    <w:rPr>
                      <w:rFonts w:cs="Miriam"/>
                      <w:noProof/>
                      <w:sz w:val="18"/>
                      <w:szCs w:val="18"/>
                      <w:rtl/>
                    </w:rPr>
                  </w:pPr>
                  <w:r>
                    <w:rPr>
                      <w:rFonts w:cs="Miriam"/>
                      <w:sz w:val="18"/>
                      <w:szCs w:val="18"/>
                      <w:rtl/>
                    </w:rPr>
                    <w:t>תש</w:t>
                  </w:r>
                  <w:r>
                    <w:rPr>
                      <w:rFonts w:cs="Miriam" w:hint="cs"/>
                      <w:sz w:val="18"/>
                      <w:szCs w:val="18"/>
                      <w:rtl/>
                    </w:rPr>
                    <w:t>כ"ב</w:t>
                  </w:r>
                  <w:r>
                    <w:rPr>
                      <w:rFonts w:cs="Miriam"/>
                      <w:sz w:val="18"/>
                      <w:szCs w:val="18"/>
                      <w:rtl/>
                    </w:rPr>
                    <w:t>–1962</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וטל).</w:t>
      </w:r>
    </w:p>
    <w:p w:rsidR="00AC4906" w:rsidRDefault="00AC4906">
      <w:pPr>
        <w:pStyle w:val="P00"/>
        <w:spacing w:before="72"/>
        <w:ind w:left="0" w:right="1134"/>
        <w:rPr>
          <w:rStyle w:val="default"/>
          <w:rFonts w:cs="FrankRuehl"/>
          <w:rtl/>
        </w:rPr>
      </w:pPr>
    </w:p>
    <w:p w:rsidR="00AC4906" w:rsidRDefault="00AC490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w:t>
      </w:r>
    </w:p>
    <w:p w:rsidR="00AC4906" w:rsidRDefault="00AC4906">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הפנקסים שחייבים סוחרים לנהלם</w:t>
      </w:r>
    </w:p>
    <w:p w:rsidR="00AC4906" w:rsidRDefault="00AC4906">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סוחר ינהל יומן לשם רישום בכל יום ובפרוטרוט א</w:t>
      </w:r>
      <w:r>
        <w:rPr>
          <w:rStyle w:val="default"/>
          <w:rFonts w:cs="FrankRuehl"/>
          <w:rtl/>
        </w:rPr>
        <w:t xml:space="preserve">ת </w:t>
      </w:r>
      <w:r>
        <w:rPr>
          <w:rStyle w:val="default"/>
          <w:rFonts w:cs="FrankRuehl" w:hint="cs"/>
          <w:rtl/>
        </w:rPr>
        <w:t>חובותיו ונכסיו, את כל עסקאותיו המסחריות, את השטרות שקנה או שמשכם או קיבלם בעצמו, או העבירם או הסיבם בחתימת ידו, ובדרך כלל את כל עסקאותיו העסקיות; והוא חייב לרשום בפנקס זה בכל חודש וח</w:t>
      </w:r>
      <w:r>
        <w:rPr>
          <w:rStyle w:val="default"/>
          <w:rFonts w:cs="FrankRuehl"/>
          <w:rtl/>
        </w:rPr>
        <w:t>ו</w:t>
      </w:r>
      <w:r>
        <w:rPr>
          <w:rStyle w:val="default"/>
          <w:rFonts w:cs="FrankRuehl" w:hint="cs"/>
          <w:rtl/>
        </w:rPr>
        <w:t>דש גם את סך הכל של הוצאותיו הביתיות.</w:t>
      </w:r>
    </w:p>
    <w:p w:rsidR="00AC4906" w:rsidRDefault="00AC4906">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 ינהל, כמו-כן, פנקס לצורך רישו</w:t>
      </w:r>
      <w:r>
        <w:rPr>
          <w:rStyle w:val="default"/>
          <w:rFonts w:cs="FrankRuehl"/>
          <w:rtl/>
        </w:rPr>
        <w:t xml:space="preserve">ם </w:t>
      </w:r>
      <w:r>
        <w:rPr>
          <w:rStyle w:val="default"/>
          <w:rFonts w:cs="FrankRuehl" w:hint="cs"/>
          <w:rtl/>
        </w:rPr>
        <w:t>מכתבים כל שהם ששלח לשותפיו או סוכניו, ויתייק וישמור בכל חודש וחודש מכתבים כל שהם שקיבל מהם.</w:t>
      </w:r>
    </w:p>
    <w:p w:rsidR="00AC4906" w:rsidRDefault="00AC4906">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נו</w:t>
      </w:r>
      <w:r>
        <w:rPr>
          <w:rStyle w:val="default"/>
          <w:rFonts w:cs="FrankRuehl" w:hint="cs"/>
          <w:rtl/>
        </w:rPr>
        <w:t>סף על הפנקסים הנזכרים בסעיף 3, ינהל כל סוחר פנקס-מצאי בו ירשום מדי שנה, ברשימות נפרדות, את מטלטליו, חובותיו ונכסיו.</w:t>
      </w:r>
    </w:p>
    <w:p w:rsidR="00AC4906" w:rsidRDefault="00AC4906">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שנ</w:t>
      </w:r>
      <w:r>
        <w:rPr>
          <w:rStyle w:val="default"/>
          <w:rFonts w:cs="FrankRuehl" w:hint="cs"/>
          <w:rtl/>
        </w:rPr>
        <w:t>י הפנקסים הנ"ל לא יכילו מקומות ריקים</w:t>
      </w:r>
      <w:r>
        <w:rPr>
          <w:rStyle w:val="default"/>
          <w:rFonts w:cs="FrankRuehl"/>
          <w:rtl/>
        </w:rPr>
        <w:t xml:space="preserve"> כ</w:t>
      </w:r>
      <w:r>
        <w:rPr>
          <w:rStyle w:val="default"/>
          <w:rFonts w:cs="FrankRuehl" w:hint="cs"/>
          <w:rtl/>
        </w:rPr>
        <w:t>ל שהם מתוך השמטת מלה, או מחיקה כל שהיא, או כל כתובות שהוכנסו בין השיטין, או הערת שוליים או הוספה מכל מין שהוא.</w:t>
      </w:r>
    </w:p>
    <w:p w:rsidR="00AC4906" w:rsidRDefault="00AC4906">
      <w:pPr>
        <w:pStyle w:val="P00"/>
        <w:spacing w:before="72"/>
        <w:ind w:left="0" w:right="1134"/>
        <w:rPr>
          <w:rFonts w:cs="FrankRuehl"/>
          <w:sz w:val="26"/>
          <w:rtl/>
        </w:rPr>
      </w:pPr>
      <w:r>
        <w:rPr>
          <w:rFonts w:cs="FrankRuehl"/>
          <w:sz w:val="26"/>
          <w:rtl/>
        </w:rPr>
        <w:t>------------</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מי</w:t>
      </w:r>
      <w:r>
        <w:rPr>
          <w:rFonts w:cs="FrankRuehl" w:hint="cs"/>
          <w:rtl/>
        </w:rPr>
        <w:t>ום 18 לחודש ראמדאן שנת 1266 תר"י (1850).</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ס"ח תש</w:t>
      </w:r>
      <w:r>
        <w:rPr>
          <w:rFonts w:cs="FrankRuehl"/>
          <w:rtl/>
        </w:rPr>
        <w:t>נ</w:t>
      </w:r>
      <w:r>
        <w:rPr>
          <w:rFonts w:cs="FrankRuehl" w:hint="cs"/>
          <w:rtl/>
        </w:rPr>
        <w:t xml:space="preserve">"ח מס' 1636 מיום 7.8.1997 עמ' 227 </w:t>
      </w:r>
      <w:r>
        <w:rPr>
          <w:rFonts w:cs="FrankRuehl"/>
          <w:rtl/>
        </w:rPr>
        <w:t xml:space="preserve">— </w:t>
      </w:r>
      <w:r>
        <w:rPr>
          <w:rFonts w:cs="FrankRuehl" w:hint="cs"/>
          <w:rtl/>
        </w:rPr>
        <w:t>סעיף 29 לחוק שירותי הובלה תשנ"ז</w:t>
      </w:r>
      <w:r>
        <w:rPr>
          <w:rFonts w:cs="FrankRuehl"/>
          <w:rtl/>
        </w:rPr>
        <w:t>–1997; ר</w:t>
      </w:r>
      <w:r>
        <w:rPr>
          <w:rFonts w:cs="FrankRuehl" w:hint="cs"/>
          <w:rtl/>
        </w:rPr>
        <w:t>אה להלן בעמ' 5/19740; כ"כ ראה בעמ' 6/19740 את סעיף 31(א), בענין תחילה: 9 חודשים מיום פרסומו.</w:t>
      </w:r>
    </w:p>
    <w:p w:rsidR="00AC4906" w:rsidRDefault="00AC4906">
      <w:pPr>
        <w:pStyle w:val="page"/>
        <w:widowControl/>
        <w:ind w:right="1134"/>
        <w:rPr>
          <w:rFonts w:cs="David"/>
          <w:position w:val="0"/>
          <w:sz w:val="22"/>
          <w:rtl/>
        </w:rPr>
      </w:pPr>
      <w:r>
        <w:rPr>
          <w:rFonts w:cs="David"/>
          <w:position w:val="0"/>
          <w:sz w:val="22"/>
          <w:rtl/>
        </w:rPr>
        <w:t xml:space="preserve"> </w:t>
      </w:r>
    </w:p>
    <w:p w:rsidR="00AC4906" w:rsidRDefault="00AC4906">
      <w:pPr>
        <w:pStyle w:val="P00"/>
        <w:spacing w:before="72"/>
        <w:ind w:left="0" w:right="1134"/>
        <w:rPr>
          <w:rStyle w:val="default"/>
          <w:rFonts w:cs="FrankRuehl"/>
          <w:rtl/>
        </w:rPr>
      </w:pPr>
      <w:r>
        <w:rPr>
          <w:rFonts w:cs="FrankRuehl"/>
          <w:sz w:val="26"/>
          <w:rtl/>
        </w:rPr>
        <w:tab/>
      </w:r>
      <w:r>
        <w:rPr>
          <w:rStyle w:val="default"/>
          <w:rFonts w:cs="FrankRuehl"/>
          <w:rtl/>
        </w:rPr>
        <w:t>עם</w:t>
      </w:r>
      <w:r>
        <w:rPr>
          <w:rStyle w:val="default"/>
          <w:rFonts w:cs="FrankRuehl" w:hint="cs"/>
          <w:rtl/>
        </w:rPr>
        <w:t xml:space="preserve"> תום כל שנה יסומן היומן, בנוכחות הסוחר שהגישו, ע"י פקיד שימונה לצורך זה ע"י בית המשפט המסחרי</w:t>
      </w:r>
      <w:r>
        <w:rPr>
          <w:rStyle w:val="super"/>
          <w:rFonts w:cs="Miriam"/>
          <w:noProof w:val="0"/>
          <w:rtl/>
          <w:lang w:eastAsia="he-IL"/>
        </w:rPr>
        <w:t>(*)</w:t>
      </w:r>
      <w:r>
        <w:rPr>
          <w:rStyle w:val="default"/>
          <w:rFonts w:cs="FrankRuehl"/>
          <w:rtl/>
        </w:rPr>
        <w:t>: ו</w:t>
      </w:r>
      <w:r>
        <w:rPr>
          <w:rStyle w:val="default"/>
          <w:rFonts w:cs="FrankRuehl" w:hint="cs"/>
          <w:rtl/>
        </w:rPr>
        <w:t>בלבד שלא יהיה אותו פקיד רשאי, ב</w:t>
      </w:r>
      <w:r>
        <w:rPr>
          <w:rStyle w:val="default"/>
          <w:rFonts w:cs="FrankRuehl"/>
          <w:rtl/>
        </w:rPr>
        <w:t>תו</w:t>
      </w:r>
      <w:r>
        <w:rPr>
          <w:rStyle w:val="default"/>
          <w:rFonts w:cs="FrankRuehl" w:hint="cs"/>
          <w:rtl/>
        </w:rPr>
        <w:t xml:space="preserve">אנה כל שהיא, לקרוא אף מלה אחת ביומן זה; ובטרם ייכתב דבר מה בפנקסים הנזכרים לעיל יסומנו דפיהם ע"י פקיד שימונה לצורך זה ע"י בית המשפט המסחרי, והוא ירשום בסופו של כל פנקס את מספר הדפים </w:t>
      </w:r>
      <w:r>
        <w:rPr>
          <w:rStyle w:val="default"/>
          <w:rFonts w:cs="FrankRuehl"/>
          <w:rtl/>
        </w:rPr>
        <w:t>ה</w:t>
      </w:r>
      <w:r>
        <w:rPr>
          <w:rStyle w:val="default"/>
          <w:rFonts w:cs="FrankRuehl" w:hint="cs"/>
          <w:rtl/>
        </w:rPr>
        <w:t>כלולים בו ויחתום על רשומה זו.</w:t>
      </w:r>
    </w:p>
    <w:p w:rsidR="00AC4906" w:rsidRDefault="00AC4906">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מק</w:t>
      </w:r>
      <w:r>
        <w:rPr>
          <w:rStyle w:val="default"/>
          <w:rFonts w:cs="FrankRuehl" w:hint="cs"/>
          <w:rtl/>
        </w:rPr>
        <w:t>ום שסוחרים, בניהול הפנקסים שחייבים ה</w:t>
      </w:r>
      <w:r>
        <w:rPr>
          <w:rStyle w:val="default"/>
          <w:rFonts w:cs="FrankRuehl"/>
          <w:rtl/>
        </w:rPr>
        <w:t xml:space="preserve">ם </w:t>
      </w:r>
      <w:r>
        <w:rPr>
          <w:rStyle w:val="default"/>
          <w:rFonts w:cs="FrankRuehl" w:hint="cs"/>
          <w:rtl/>
        </w:rPr>
        <w:t>לנהלם, לא התחשבו בהוראות הפורמליות הנדרשות לעיל וניהלו את פנקסיהם באופן בלתי מתאים ובלתי חוקי, לא יקובלו פנקסים כאלה כראיה.</w:t>
      </w:r>
    </w:p>
    <w:p w:rsidR="00AC4906" w:rsidRDefault="00AC4906">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אי</w:t>
      </w:r>
      <w:r>
        <w:rPr>
          <w:rStyle w:val="default"/>
          <w:rFonts w:cs="FrankRuehl" w:hint="cs"/>
          <w:rtl/>
        </w:rPr>
        <w:t>ן לדרוש את הצגתם של פנקסי סוחר במהלך שמיעת משפט או הל</w:t>
      </w:r>
      <w:r>
        <w:rPr>
          <w:rStyle w:val="default"/>
          <w:rFonts w:cs="FrankRuehl"/>
          <w:rtl/>
        </w:rPr>
        <w:t>י</w:t>
      </w:r>
      <w:r>
        <w:rPr>
          <w:rStyle w:val="default"/>
          <w:rFonts w:cs="FrankRuehl" w:hint="cs"/>
          <w:rtl/>
        </w:rPr>
        <w:t>כים אחרים; ואולם במקרה פירוק שותפות, חלוקת עזבונו של נפטר, או פשיטת רגל</w:t>
      </w:r>
      <w:r>
        <w:rPr>
          <w:rStyle w:val="default"/>
          <w:rFonts w:cs="FrankRuehl"/>
          <w:rtl/>
        </w:rPr>
        <w:t>, ר</w:t>
      </w:r>
      <w:r>
        <w:rPr>
          <w:rStyle w:val="default"/>
          <w:rFonts w:cs="FrankRuehl" w:hint="cs"/>
          <w:rtl/>
        </w:rPr>
        <w:t>שאי בית המשפט המסחרי לצוות כי יוצגו.</w:t>
      </w:r>
    </w:p>
    <w:p w:rsidR="00AC4906" w:rsidRDefault="00AC4906">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פנ</w:t>
      </w:r>
      <w:r>
        <w:rPr>
          <w:rStyle w:val="default"/>
          <w:rFonts w:cs="FrankRuehl" w:hint="cs"/>
          <w:rtl/>
        </w:rPr>
        <w:t>קסי הסוחרים שנוהלו בצורה הדרושה מותר לקבלם כראיה</w:t>
      </w:r>
      <w:r>
        <w:rPr>
          <w:rFonts w:cs="FrankRuehl"/>
          <w:sz w:val="26"/>
          <w:rtl/>
        </w:rPr>
        <w:t> </w:t>
      </w:r>
      <w:r>
        <w:rPr>
          <w:rStyle w:val="default"/>
          <w:rFonts w:cs="FrankRuehl"/>
          <w:rtl/>
        </w:rPr>
        <w:t xml:space="preserve"> ב</w:t>
      </w:r>
      <w:r>
        <w:rPr>
          <w:rStyle w:val="default"/>
          <w:rFonts w:cs="FrankRuehl" w:hint="cs"/>
          <w:rtl/>
        </w:rPr>
        <w:t>סכסוכים בין סוחרים לבין עצמם.</w:t>
      </w:r>
    </w:p>
    <w:p w:rsidR="00AC4906" w:rsidRDefault="00AC4906">
      <w:pPr>
        <w:pStyle w:val="P00"/>
        <w:spacing w:before="72"/>
        <w:ind w:left="0" w:right="1134"/>
        <w:rPr>
          <w:rStyle w:val="default"/>
          <w:rFonts w:cs="FrankRuehl"/>
          <w:rtl/>
        </w:rPr>
      </w:pPr>
      <w:r>
        <w:rPr>
          <w:rStyle w:val="big-number"/>
          <w:rFonts w:cs="Miriam"/>
          <w:rtl/>
        </w:rPr>
        <w:t>9.</w:t>
      </w:r>
      <w:r>
        <w:rPr>
          <w:rStyle w:val="big-number"/>
          <w:rFonts w:cs="Miriam"/>
          <w:rtl/>
        </w:rPr>
        <w:tab/>
      </w:r>
      <w:r>
        <w:rPr>
          <w:rStyle w:val="default"/>
          <w:rFonts w:cs="FrankRuehl"/>
          <w:rtl/>
        </w:rPr>
        <w:t>בי</w:t>
      </w:r>
      <w:r>
        <w:rPr>
          <w:rStyle w:val="default"/>
          <w:rFonts w:cs="FrankRuehl" w:hint="cs"/>
          <w:rtl/>
        </w:rPr>
        <w:t>ת המשפט המסחרי רשאי, מיוזמתו הוא, בהליך משפטי לצוות כ</w:t>
      </w:r>
      <w:r>
        <w:rPr>
          <w:rStyle w:val="default"/>
          <w:rFonts w:cs="FrankRuehl"/>
          <w:rtl/>
        </w:rPr>
        <w:t>י</w:t>
      </w:r>
      <w:r>
        <w:rPr>
          <w:rStyle w:val="default"/>
          <w:rFonts w:cs="FrankRuehl" w:hint="cs"/>
          <w:rtl/>
        </w:rPr>
        <w:t xml:space="preserve"> יוצגו פנקסי סוחר לשם בדיקת הרשימות שבהם במידה שהן מתייחסות לענין השנוי</w:t>
      </w:r>
      <w:r>
        <w:rPr>
          <w:rStyle w:val="default"/>
          <w:rFonts w:cs="FrankRuehl"/>
          <w:rtl/>
        </w:rPr>
        <w:t xml:space="preserve"> ב</w:t>
      </w:r>
      <w:r>
        <w:rPr>
          <w:rStyle w:val="default"/>
          <w:rFonts w:cs="FrankRuehl" w:hint="cs"/>
          <w:rtl/>
        </w:rPr>
        <w:t>מחלוקת ולהבהרתו.</w:t>
      </w:r>
    </w:p>
    <w:p w:rsidR="00AC4906" w:rsidRDefault="00AC4906">
      <w:pPr>
        <w:pStyle w:val="medium2-header"/>
        <w:keepLines w:val="0"/>
        <w:spacing w:before="72"/>
        <w:ind w:left="0" w:right="1134"/>
        <w:rPr>
          <w:rFonts w:cs="FrankRuehl"/>
          <w:noProof/>
          <w:rtl/>
        </w:rPr>
      </w:pPr>
      <w:bookmarkStart w:id="3" w:name="med2"/>
      <w:bookmarkEnd w:id="3"/>
      <w:r>
        <w:rPr>
          <w:rFonts w:cs="FrankRuehl"/>
          <w:noProof/>
          <w:rtl/>
        </w:rPr>
        <w:lastRenderedPageBreak/>
        <w:t>פר</w:t>
      </w:r>
      <w:r>
        <w:rPr>
          <w:rFonts w:cs="FrankRuehl" w:hint="cs"/>
          <w:noProof/>
          <w:rtl/>
        </w:rPr>
        <w:t>ק שלישי</w:t>
      </w:r>
    </w:p>
    <w:p w:rsidR="00AC4906" w:rsidRDefault="00AC4906">
      <w:pPr>
        <w:pStyle w:val="P00"/>
        <w:spacing w:before="72"/>
        <w:ind w:left="0" w:right="1134"/>
        <w:rPr>
          <w:rStyle w:val="default"/>
          <w:rFonts w:cs="FrankRuehl"/>
          <w:rtl/>
        </w:rPr>
      </w:pPr>
      <w:r>
        <w:rPr>
          <w:rStyle w:val="big-number"/>
          <w:rFonts w:cs="Miriam"/>
          <w:rtl/>
        </w:rPr>
        <w:t xml:space="preserve">10. </w:t>
      </w:r>
      <w:r>
        <w:rPr>
          <w:rStyle w:val="default"/>
          <w:rFonts w:cs="FrankRuehl"/>
          <w:rtl/>
        </w:rPr>
        <w:t>עד</w:t>
      </w:r>
      <w:r>
        <w:rPr>
          <w:rStyle w:val="default"/>
          <w:rFonts w:cs="FrankRuehl" w:hint="cs"/>
          <w:rtl/>
        </w:rPr>
        <w:t xml:space="preserve"> </w:t>
      </w:r>
      <w:r>
        <w:rPr>
          <w:rStyle w:val="big-number"/>
          <w:rFonts w:cs="Miriam"/>
          <w:rtl/>
        </w:rPr>
        <w:t>52.</w:t>
      </w:r>
      <w:r>
        <w:rPr>
          <w:rStyle w:val="super"/>
          <w:rFonts w:cs="Miriam"/>
          <w:noProof w:val="0"/>
          <w:rtl/>
          <w:lang w:eastAsia="he-IL"/>
        </w:rPr>
        <w:t>(**)</w:t>
      </w:r>
      <w:r>
        <w:rPr>
          <w:rStyle w:val="default"/>
          <w:rFonts w:cs="FrankRuehl"/>
          <w:rtl/>
        </w:rPr>
        <w:t>.</w:t>
      </w:r>
    </w:p>
    <w:p w:rsidR="00AC4906" w:rsidRDefault="00AC4906">
      <w:pPr>
        <w:pStyle w:val="medium2-header"/>
        <w:keepLines w:val="0"/>
        <w:spacing w:before="72"/>
        <w:ind w:left="0" w:right="1134"/>
        <w:rPr>
          <w:rFonts w:cs="FrankRuehl"/>
          <w:noProof/>
          <w:rtl/>
        </w:rPr>
      </w:pPr>
      <w:bookmarkStart w:id="4" w:name="med3"/>
      <w:bookmarkEnd w:id="4"/>
      <w:r>
        <w:rPr>
          <w:rFonts w:cs="FrankRuehl"/>
          <w:noProof/>
          <w:rtl/>
        </w:rPr>
        <w:t>פר</w:t>
      </w:r>
      <w:r>
        <w:rPr>
          <w:rFonts w:cs="FrankRuehl" w:hint="cs"/>
          <w:noProof/>
          <w:rtl/>
        </w:rPr>
        <w:t>ק רביעי</w:t>
      </w:r>
    </w:p>
    <w:p w:rsidR="00AC4906" w:rsidRDefault="00AC4906">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עמילים</w:t>
      </w:r>
    </w:p>
    <w:p w:rsidR="00AC4906" w:rsidRDefault="00AC4906">
      <w:pPr>
        <w:pStyle w:val="P00"/>
        <w:spacing w:before="72"/>
        <w:ind w:left="0" w:right="1134"/>
        <w:rPr>
          <w:rStyle w:val="default"/>
          <w:rFonts w:cs="FrankRuehl"/>
          <w:rtl/>
        </w:rPr>
      </w:pPr>
      <w:r>
        <w:rPr>
          <w:rStyle w:val="big-number"/>
          <w:rFonts w:cs="Miriam"/>
          <w:rtl/>
        </w:rPr>
        <w:t>53.</w:t>
      </w:r>
      <w:r>
        <w:rPr>
          <w:rStyle w:val="big-number"/>
          <w:rFonts w:cs="Miriam"/>
          <w:rtl/>
        </w:rPr>
        <w:tab/>
      </w:r>
      <w:r>
        <w:rPr>
          <w:rStyle w:val="default"/>
          <w:rFonts w:cs="FrankRuehl"/>
          <w:rtl/>
        </w:rPr>
        <w:t>המ</w:t>
      </w:r>
      <w:r>
        <w:rPr>
          <w:rStyle w:val="default"/>
          <w:rFonts w:cs="FrankRuehl" w:hint="cs"/>
          <w:rtl/>
        </w:rPr>
        <w:t>ונח "עמיל" פירושו סוחר העוסק בעסקים מסחריים, בשמו או בשם מסחרי, לחשבון של מרשה.</w:t>
      </w:r>
    </w:p>
    <w:p w:rsidR="00AC4906" w:rsidRDefault="00AC4906">
      <w:pPr>
        <w:pStyle w:val="P00"/>
        <w:spacing w:before="72"/>
        <w:ind w:left="0" w:right="1134"/>
        <w:rPr>
          <w:rFonts w:cs="FrankRuehl"/>
          <w:sz w:val="26"/>
          <w:rtl/>
        </w:rPr>
      </w:pPr>
      <w:r>
        <w:rPr>
          <w:rFonts w:cs="FrankRuehl"/>
          <w:sz w:val="26"/>
          <w:rtl/>
        </w:rPr>
        <w:t>------------</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אי</w:t>
      </w:r>
      <w:r>
        <w:rPr>
          <w:rFonts w:cs="FrankRuehl" w:hint="cs"/>
          <w:rtl/>
        </w:rPr>
        <w:t>ן בישראל בית משפט מסחרי.</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לס</w:t>
      </w:r>
      <w:r>
        <w:rPr>
          <w:rFonts w:cs="FrankRuehl" w:hint="cs"/>
          <w:rtl/>
        </w:rPr>
        <w:t xml:space="preserve">עיפים אלה אין עוד תחולה בישראל: </w:t>
      </w:r>
      <w:r>
        <w:rPr>
          <w:rFonts w:cs="FrankRuehl"/>
          <w:rtl/>
        </w:rPr>
        <w:t xml:space="preserve">— </w:t>
      </w:r>
      <w:r>
        <w:rPr>
          <w:rFonts w:cs="FrankRuehl" w:hint="cs"/>
          <w:rtl/>
        </w:rPr>
        <w:t>אשר לסעיפים 10 עד 19</w:t>
      </w:r>
      <w:r>
        <w:rPr>
          <w:rFonts w:cs="FrankRuehl"/>
          <w:rtl/>
        </w:rPr>
        <w:t>, 24, 26, 30, 32, 33 ו</w:t>
      </w:r>
      <w:r>
        <w:rPr>
          <w:rFonts w:cs="FrankRuehl" w:hint="cs"/>
          <w:rtl/>
        </w:rPr>
        <w:t>-35 עד 52 ראה סעיף 76(2) לפקודת השותפויות. סעיף זה הושמט מהוצאת חא"י. אשר לסעיפים 20, 21, 23, 25, 27, 28 ו-34, הדבר נקבע בפקודת החברות, מס' 37 לש' 1921, שהוחלפה ב</w:t>
      </w:r>
      <w:r>
        <w:rPr>
          <w:rFonts w:cs="FrankRuehl"/>
          <w:rtl/>
        </w:rPr>
        <w:t>פ</w:t>
      </w:r>
      <w:r>
        <w:rPr>
          <w:rFonts w:cs="FrankRuehl" w:hint="cs"/>
          <w:rtl/>
        </w:rPr>
        <w:t>קודת החברות, חא"י, פרק כ"ב.</w:t>
      </w:r>
    </w:p>
    <w:p w:rsidR="00AC4906" w:rsidRDefault="00AC4906">
      <w:pPr>
        <w:pStyle w:val="page"/>
        <w:widowControl/>
        <w:ind w:right="1134"/>
        <w:rPr>
          <w:rFonts w:cs="David"/>
          <w:position w:val="0"/>
          <w:sz w:val="22"/>
          <w:rtl/>
        </w:rPr>
      </w:pPr>
      <w:r>
        <w:rPr>
          <w:rFonts w:cs="David"/>
          <w:position w:val="0"/>
          <w:sz w:val="22"/>
          <w:rtl/>
        </w:rPr>
        <w:t xml:space="preserve"> </w:t>
      </w:r>
    </w:p>
    <w:p w:rsidR="00AC4906" w:rsidRDefault="00AC4906">
      <w:pPr>
        <w:pStyle w:val="P00"/>
        <w:spacing w:before="72"/>
        <w:ind w:left="0" w:right="1134"/>
        <w:rPr>
          <w:rStyle w:val="default"/>
          <w:rFonts w:cs="FrankRuehl"/>
          <w:rtl/>
        </w:rPr>
      </w:pPr>
      <w:r>
        <w:rPr>
          <w:rStyle w:val="big-number"/>
          <w:rFonts w:cs="Miriam"/>
          <w:rtl/>
        </w:rPr>
        <w:t>54.</w:t>
      </w:r>
      <w:r>
        <w:rPr>
          <w:rStyle w:val="big-number"/>
          <w:rFonts w:cs="Miriam"/>
          <w:rtl/>
        </w:rPr>
        <w:tab/>
      </w:r>
      <w:r>
        <w:rPr>
          <w:rStyle w:val="default"/>
          <w:rFonts w:cs="FrankRuehl"/>
          <w:rtl/>
        </w:rPr>
        <w:t>כל</w:t>
      </w:r>
      <w:r>
        <w:rPr>
          <w:rStyle w:val="default"/>
          <w:rFonts w:cs="FrankRuehl" w:hint="cs"/>
          <w:rtl/>
        </w:rPr>
        <w:t xml:space="preserve"> עמיל שהקד</w:t>
      </w:r>
      <w:r>
        <w:rPr>
          <w:rStyle w:val="default"/>
          <w:rFonts w:cs="FrankRuehl"/>
          <w:rtl/>
        </w:rPr>
        <w:t>ים</w:t>
      </w:r>
      <w:r>
        <w:rPr>
          <w:rStyle w:val="default"/>
          <w:rFonts w:cs="FrankRuehl" w:hint="cs"/>
          <w:rtl/>
        </w:rPr>
        <w:t xml:space="preserve"> כסף על טובין שנשלחו אליו ממקום אחר לשם מכירתם לחשבון של מרשה, מוסמך להיפרע, מתוך ערכם של אותם טובין, בדין קדימה כלפי אחרים, כל כסף שהקדים כך, יחד עם הריבית וההוצאות שהוציא. ואולם על</w:t>
      </w:r>
      <w:r>
        <w:rPr>
          <w:rStyle w:val="default"/>
          <w:rFonts w:cs="FrankRuehl"/>
          <w:rtl/>
        </w:rPr>
        <w:t>י</w:t>
      </w:r>
      <w:r>
        <w:rPr>
          <w:rStyle w:val="default"/>
          <w:rFonts w:cs="FrankRuehl" w:hint="cs"/>
          <w:rtl/>
        </w:rPr>
        <w:t xml:space="preserve">ו להוכיח כי הטובין הופקדו במחסניו או במחסני בית המכס המקומי, וכי בידו </w:t>
      </w:r>
      <w:r>
        <w:rPr>
          <w:rStyle w:val="default"/>
          <w:rFonts w:cs="FrankRuehl"/>
          <w:rtl/>
        </w:rPr>
        <w:t>ה</w:t>
      </w:r>
      <w:r>
        <w:rPr>
          <w:rStyle w:val="default"/>
          <w:rFonts w:cs="FrankRuehl" w:hint="cs"/>
          <w:rtl/>
        </w:rPr>
        <w:t>ח</w:t>
      </w:r>
      <w:r>
        <w:rPr>
          <w:rStyle w:val="default"/>
          <w:rFonts w:cs="FrankRuehl"/>
          <w:rtl/>
        </w:rPr>
        <w:t>ז</w:t>
      </w:r>
      <w:r>
        <w:rPr>
          <w:rStyle w:val="default"/>
          <w:rFonts w:cs="FrankRuehl" w:hint="cs"/>
          <w:rtl/>
        </w:rPr>
        <w:t>קה או הפיקוח עליהם כנאמן, או, אם הטובין לא הגיעו, יראה, ע"י שטר המטען, כי שוגרו אליו.</w:t>
      </w:r>
    </w:p>
    <w:p w:rsidR="00AC4906" w:rsidRDefault="00AC4906">
      <w:pPr>
        <w:pStyle w:val="P00"/>
        <w:spacing w:before="72"/>
        <w:ind w:left="0" w:right="1134"/>
        <w:rPr>
          <w:rStyle w:val="default"/>
          <w:rFonts w:cs="FrankRuehl"/>
          <w:rtl/>
        </w:rPr>
      </w:pPr>
      <w:r>
        <w:rPr>
          <w:rStyle w:val="big-number"/>
          <w:rFonts w:cs="Miriam"/>
          <w:rtl/>
        </w:rPr>
        <w:t>55.</w:t>
      </w:r>
      <w:r>
        <w:rPr>
          <w:rStyle w:val="big-number"/>
          <w:rFonts w:cs="Miriam"/>
          <w:rtl/>
        </w:rPr>
        <w:tab/>
      </w:r>
      <w:r>
        <w:rPr>
          <w:rStyle w:val="default"/>
          <w:rFonts w:cs="FrankRuehl"/>
          <w:rtl/>
        </w:rPr>
        <w:t>אם</w:t>
      </w:r>
      <w:r>
        <w:rPr>
          <w:rStyle w:val="default"/>
          <w:rFonts w:cs="FrankRuehl" w:hint="cs"/>
          <w:rtl/>
        </w:rPr>
        <w:t xml:space="preserve"> הטובין נמכרו לחשבון המרשה ונמסרו, רשאי העמיל להיפרע מתוך מחירם, בדין קדימה כלפי יתר הנושי</w:t>
      </w:r>
      <w:r>
        <w:rPr>
          <w:rStyle w:val="default"/>
          <w:rFonts w:cs="FrankRuehl"/>
          <w:rtl/>
        </w:rPr>
        <w:t>ם</w:t>
      </w:r>
      <w:r>
        <w:rPr>
          <w:rStyle w:val="default"/>
          <w:rFonts w:cs="FrankRuehl" w:hint="cs"/>
          <w:rtl/>
        </w:rPr>
        <w:t xml:space="preserve"> של המרשה, כל כסף שהקדים כך, יחד עם הריבית וההוצאות שהוציא.</w:t>
      </w:r>
    </w:p>
    <w:p w:rsidR="00AC4906" w:rsidRDefault="00AC4906">
      <w:pPr>
        <w:pStyle w:val="medium2-header"/>
        <w:keepLines w:val="0"/>
        <w:spacing w:before="72"/>
        <w:ind w:left="0" w:right="1134"/>
        <w:rPr>
          <w:rFonts w:cs="FrankRuehl"/>
          <w:noProof/>
          <w:rtl/>
        </w:rPr>
      </w:pPr>
      <w:bookmarkStart w:id="5" w:name="med4"/>
      <w:bookmarkEnd w:id="5"/>
      <w:r>
        <w:rPr>
          <w:noProof/>
          <w:sz w:val="20"/>
          <w:lang w:val="he-IL"/>
        </w:rPr>
        <w:pict>
          <v:rect id="_x0000_s1027" style="position:absolute;left:0;text-align:left;margin-left:464.5pt;margin-top:8.05pt;width:75.05pt;height:16pt;z-index:251657728" o:allowincell="f" filled="f" stroked="f" strokecolor="lime" strokeweight=".25pt">
            <v:textbox inset="0,0,0,0">
              <w:txbxContent>
                <w:p w:rsidR="00AC4906" w:rsidRDefault="00AC4906">
                  <w:pPr>
                    <w:spacing w:line="160" w:lineRule="exact"/>
                    <w:jc w:val="left"/>
                    <w:rPr>
                      <w:rFonts w:cs="Miriam"/>
                      <w:noProof/>
                      <w:sz w:val="18"/>
                      <w:szCs w:val="18"/>
                      <w:rtl/>
                    </w:rPr>
                  </w:pPr>
                  <w:r>
                    <w:rPr>
                      <w:rFonts w:cs="Miriam"/>
                      <w:sz w:val="18"/>
                      <w:szCs w:val="18"/>
                      <w:rtl/>
                    </w:rPr>
                    <w:t>ח</w:t>
                  </w:r>
                  <w:r>
                    <w:rPr>
                      <w:rFonts w:cs="Miriam"/>
                      <w:bCs/>
                      <w:sz w:val="18"/>
                      <w:szCs w:val="18"/>
                      <w:rtl/>
                    </w:rPr>
                    <w:t>ו</w:t>
                  </w:r>
                  <w:r>
                    <w:rPr>
                      <w:rFonts w:cs="Miriam" w:hint="cs"/>
                      <w:bCs/>
                      <w:sz w:val="18"/>
                      <w:szCs w:val="18"/>
                      <w:rtl/>
                    </w:rPr>
                    <w:t>קשירותי</w:t>
                  </w:r>
                  <w:r>
                    <w:rPr>
                      <w:rFonts w:cs="Miriam"/>
                      <w:sz w:val="18"/>
                      <w:szCs w:val="18"/>
                      <w:rtl/>
                    </w:rPr>
                    <w:t>הו</w:t>
                  </w:r>
                  <w:r>
                    <w:rPr>
                      <w:rFonts w:cs="Miriam" w:hint="cs"/>
                      <w:sz w:val="18"/>
                      <w:szCs w:val="18"/>
                      <w:rtl/>
                    </w:rPr>
                    <w:t>בלה תשנ"ז</w:t>
                  </w:r>
                  <w:r>
                    <w:rPr>
                      <w:rFonts w:cs="Miriam"/>
                      <w:sz w:val="18"/>
                      <w:szCs w:val="18"/>
                      <w:rtl/>
                    </w:rPr>
                    <w:t>–1997(***)</w:t>
                  </w:r>
                </w:p>
              </w:txbxContent>
            </v:textbox>
            <w10:anchorlock/>
          </v:rect>
        </w:pict>
      </w:r>
      <w:r>
        <w:rPr>
          <w:rFonts w:cs="FrankRuehl"/>
          <w:noProof/>
          <w:rtl/>
        </w:rPr>
        <w:t>פר</w:t>
      </w:r>
      <w:r>
        <w:rPr>
          <w:rFonts w:cs="FrankRuehl" w:hint="cs"/>
          <w:noProof/>
          <w:rtl/>
        </w:rPr>
        <w:t>ק חמישי(</w:t>
      </w:r>
      <w:r>
        <w:rPr>
          <w:rFonts w:cs="FrankRuehl"/>
          <w:noProof/>
          <w:rtl/>
        </w:rPr>
        <w:t>***)</w:t>
      </w:r>
    </w:p>
    <w:p w:rsidR="00AC4906" w:rsidRDefault="00AC4906">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סוכנים להובלה ביבשה ובים</w:t>
      </w:r>
    </w:p>
    <w:p w:rsidR="00AC4906" w:rsidRDefault="00AC4906">
      <w:pPr>
        <w:pStyle w:val="P00"/>
        <w:spacing w:before="72"/>
        <w:ind w:left="0" w:right="1134"/>
        <w:rPr>
          <w:rStyle w:val="default"/>
          <w:rFonts w:cs="FrankRuehl"/>
          <w:rtl/>
        </w:rPr>
      </w:pPr>
      <w:bookmarkStart w:id="6" w:name="Seif2"/>
      <w:bookmarkEnd w:id="6"/>
      <w:r>
        <w:rPr>
          <w:lang w:val="he-IL"/>
        </w:rPr>
        <w:pict>
          <v:rect id="_x0000_s1028" style="position:absolute;left:0;text-align:left;margin-left:464.5pt;margin-top:8.05pt;width:75.05pt;height:16pt;z-index:251658752" o:allowincell="f" filled="f" stroked="f" strokecolor="lime" strokeweight=".25pt">
            <v:textbox inset="0,0,0,0">
              <w:txbxContent>
                <w:p w:rsidR="00AC4906" w:rsidRDefault="00AC4906">
                  <w:pPr>
                    <w:spacing w:line="160" w:lineRule="exact"/>
                    <w:jc w:val="left"/>
                    <w:rPr>
                      <w:rFonts w:cs="Miriam"/>
                      <w:noProof/>
                      <w:sz w:val="18"/>
                      <w:szCs w:val="18"/>
                      <w:rtl/>
                    </w:rPr>
                  </w:pPr>
                  <w:r>
                    <w:rPr>
                      <w:rFonts w:cs="Miriam"/>
                      <w:sz w:val="18"/>
                      <w:szCs w:val="18"/>
                      <w:rtl/>
                    </w:rPr>
                    <w:t>חו</w:t>
                  </w:r>
                  <w:r>
                    <w:rPr>
                      <w:rFonts w:cs="Miriam" w:hint="cs"/>
                      <w:sz w:val="18"/>
                      <w:szCs w:val="18"/>
                      <w:rtl/>
                    </w:rPr>
                    <w:t>קשירותיהובלה תשנ"ז</w:t>
                  </w:r>
                  <w:r>
                    <w:rPr>
                      <w:rFonts w:cs="Miriam"/>
                      <w:sz w:val="18"/>
                      <w:szCs w:val="18"/>
                      <w:rtl/>
                    </w:rPr>
                    <w:t>–1997(***)</w:t>
                  </w:r>
                </w:p>
              </w:txbxContent>
            </v:textbox>
            <w10:anchorlock/>
          </v:rect>
        </w:pict>
      </w:r>
      <w:r>
        <w:rPr>
          <w:rStyle w:val="big-number"/>
          <w:rFonts w:cs="Miriam"/>
          <w:rtl/>
        </w:rPr>
        <w:t xml:space="preserve">56. </w:t>
      </w:r>
      <w:r>
        <w:rPr>
          <w:rStyle w:val="default"/>
          <w:rFonts w:cs="FrankRuehl"/>
          <w:rtl/>
        </w:rPr>
        <w:t>עד</w:t>
      </w:r>
      <w:r>
        <w:rPr>
          <w:rStyle w:val="big-number"/>
          <w:rFonts w:cs="Miriam"/>
          <w:rtl/>
        </w:rPr>
        <w:t xml:space="preserve"> 69. </w:t>
      </w:r>
      <w:r>
        <w:rPr>
          <w:rStyle w:val="default"/>
          <w:rFonts w:cs="FrankRuehl"/>
          <w:rtl/>
        </w:rPr>
        <w:t>(ב</w:t>
      </w:r>
      <w:r>
        <w:rPr>
          <w:rStyle w:val="default"/>
          <w:rFonts w:cs="FrankRuehl" w:hint="cs"/>
          <w:rtl/>
        </w:rPr>
        <w:t>וטלו).</w:t>
      </w:r>
    </w:p>
    <w:p w:rsidR="00AC4906" w:rsidRDefault="00AC4906">
      <w:pPr>
        <w:pStyle w:val="P00"/>
        <w:spacing w:before="72"/>
        <w:ind w:left="0" w:right="1134"/>
        <w:rPr>
          <w:rStyle w:val="default"/>
          <w:rFonts w:cs="FrankRuehl"/>
          <w:rtl/>
        </w:rPr>
      </w:pPr>
      <w:r>
        <w:rPr>
          <w:rStyle w:val="big-number"/>
          <w:rFonts w:cs="Miriam"/>
          <w:rtl/>
        </w:rPr>
        <w:t xml:space="preserve">70. </w:t>
      </w:r>
      <w:r>
        <w:rPr>
          <w:rStyle w:val="default"/>
          <w:rFonts w:cs="FrankRuehl"/>
          <w:rtl/>
        </w:rPr>
        <w:t>עד</w:t>
      </w:r>
      <w:r>
        <w:rPr>
          <w:rStyle w:val="default"/>
          <w:rFonts w:cs="FrankRuehl" w:hint="cs"/>
          <w:rtl/>
        </w:rPr>
        <w:t xml:space="preserve"> </w:t>
      </w:r>
      <w:r>
        <w:rPr>
          <w:rStyle w:val="big-number"/>
          <w:rFonts w:cs="Miriam"/>
          <w:rtl/>
        </w:rPr>
        <w:t>146.</w:t>
      </w:r>
      <w:r>
        <w:rPr>
          <w:rStyle w:val="super"/>
          <w:rFonts w:cs="Miriam"/>
          <w:noProof w:val="0"/>
          <w:rtl/>
          <w:lang w:eastAsia="he-IL"/>
        </w:rPr>
        <w:t>(*)</w:t>
      </w:r>
    </w:p>
    <w:p w:rsidR="00AC4906" w:rsidRDefault="00AC4906">
      <w:pPr>
        <w:pStyle w:val="P00"/>
        <w:spacing w:before="72"/>
        <w:ind w:left="0" w:right="1134"/>
        <w:rPr>
          <w:rStyle w:val="default"/>
          <w:rFonts w:cs="FrankRuehl"/>
          <w:rtl/>
        </w:rPr>
      </w:pPr>
      <w:r>
        <w:rPr>
          <w:rStyle w:val="big-number"/>
          <w:rFonts w:cs="Miriam"/>
          <w:rtl/>
        </w:rPr>
        <w:t xml:space="preserve">147. </w:t>
      </w:r>
      <w:r>
        <w:rPr>
          <w:rStyle w:val="default"/>
          <w:rFonts w:cs="FrankRuehl"/>
          <w:rtl/>
        </w:rPr>
        <w:t>עד</w:t>
      </w:r>
      <w:r>
        <w:rPr>
          <w:rStyle w:val="default"/>
          <w:rFonts w:cs="FrankRuehl" w:hint="cs"/>
          <w:rtl/>
        </w:rPr>
        <w:t xml:space="preserve"> </w:t>
      </w:r>
      <w:r>
        <w:rPr>
          <w:rStyle w:val="big-number"/>
          <w:rFonts w:cs="Miriam"/>
          <w:rtl/>
        </w:rPr>
        <w:t>513.</w:t>
      </w:r>
      <w:r>
        <w:rPr>
          <w:rStyle w:val="super"/>
          <w:rFonts w:cs="Miriam"/>
          <w:noProof w:val="0"/>
          <w:rtl/>
          <w:lang w:eastAsia="he-IL"/>
        </w:rPr>
        <w:t>(**)</w:t>
      </w:r>
    </w:p>
    <w:p w:rsidR="00AC4906" w:rsidRDefault="00AC4906">
      <w:pPr>
        <w:pStyle w:val="P00"/>
        <w:spacing w:before="72"/>
        <w:ind w:left="0" w:right="1134"/>
        <w:rPr>
          <w:rStyle w:val="default"/>
          <w:rFonts w:cs="FrankRuehl"/>
          <w:rtl/>
        </w:rPr>
      </w:pPr>
    </w:p>
    <w:p w:rsidR="00AC4906" w:rsidRDefault="00AC4906">
      <w:pPr>
        <w:pStyle w:val="P00"/>
        <w:spacing w:before="72"/>
        <w:ind w:left="0" w:right="1134"/>
        <w:rPr>
          <w:rStyle w:val="default"/>
          <w:rFonts w:cs="FrankRuehl"/>
          <w:rtl/>
        </w:rPr>
      </w:pPr>
    </w:p>
    <w:p w:rsidR="00AC4906" w:rsidRDefault="00AC4906">
      <w:pPr>
        <w:pStyle w:val="P00"/>
        <w:spacing w:before="72"/>
        <w:ind w:left="0" w:right="1134"/>
        <w:rPr>
          <w:rStyle w:val="default"/>
          <w:rFonts w:cs="FrankRuehl"/>
          <w:rtl/>
        </w:rPr>
      </w:pPr>
    </w:p>
    <w:p w:rsidR="00AC4906" w:rsidRDefault="00AC4906">
      <w:pPr>
        <w:pStyle w:val="P00"/>
        <w:spacing w:before="72"/>
        <w:ind w:left="0" w:right="1134"/>
        <w:rPr>
          <w:rFonts w:cs="FrankRuehl"/>
          <w:sz w:val="26"/>
          <w:rtl/>
        </w:rPr>
      </w:pPr>
      <w:r>
        <w:rPr>
          <w:rFonts w:cs="FrankRuehl"/>
          <w:sz w:val="26"/>
          <w:rtl/>
        </w:rPr>
        <w:t>------------</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לס</w:t>
      </w:r>
      <w:r>
        <w:rPr>
          <w:rFonts w:cs="FrankRuehl" w:hint="cs"/>
          <w:rtl/>
        </w:rPr>
        <w:t xml:space="preserve">עיפים אלה אין עוד תחולה בישראל </w:t>
      </w:r>
      <w:r>
        <w:rPr>
          <w:rFonts w:cs="FrankRuehl"/>
          <w:rtl/>
        </w:rPr>
        <w:t xml:space="preserve">— </w:t>
      </w:r>
      <w:r>
        <w:rPr>
          <w:rFonts w:cs="FrankRuehl" w:hint="cs"/>
          <w:rtl/>
        </w:rPr>
        <w:t>ראה סעיף 96 לפקודת השטרות (מיספור קודם); סעיף זה הושמט מהוצאת חא"י.</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לס</w:t>
      </w:r>
      <w:r>
        <w:rPr>
          <w:rFonts w:cs="FrankRuehl" w:hint="cs"/>
          <w:rtl/>
        </w:rPr>
        <w:t>עיפים אלה אין עוד תחול</w:t>
      </w:r>
      <w:r>
        <w:rPr>
          <w:rFonts w:cs="FrankRuehl"/>
          <w:rtl/>
        </w:rPr>
        <w:t xml:space="preserve">ה </w:t>
      </w:r>
      <w:r>
        <w:rPr>
          <w:rFonts w:cs="FrankRuehl" w:hint="cs"/>
          <w:rtl/>
        </w:rPr>
        <w:t xml:space="preserve">בישראל </w:t>
      </w:r>
      <w:r>
        <w:rPr>
          <w:rFonts w:cs="FrankRuehl"/>
          <w:rtl/>
        </w:rPr>
        <w:t xml:space="preserve">— </w:t>
      </w:r>
      <w:r>
        <w:rPr>
          <w:rFonts w:cs="FrankRuehl" w:hint="cs"/>
          <w:rtl/>
        </w:rPr>
        <w:t>ראה סעיף 142 לפקודת פשיטת הרגל, 1936.</w:t>
      </w:r>
    </w:p>
    <w:p w:rsidR="00AC4906" w:rsidRDefault="00AC49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 </w:t>
      </w:r>
      <w:r>
        <w:rPr>
          <w:rFonts w:cs="FrankRuehl"/>
          <w:rtl/>
        </w:rPr>
        <w:t>פר</w:t>
      </w:r>
      <w:r>
        <w:rPr>
          <w:rFonts w:cs="FrankRuehl" w:hint="cs"/>
          <w:rtl/>
        </w:rPr>
        <w:t>ק חמישי וסעיפים 56 עד 69 הנ"ל בוטלו בסעיף 29 לחוק שירותי הובלה תשנ"ז</w:t>
      </w:r>
      <w:r>
        <w:rPr>
          <w:rFonts w:cs="FrankRuehl"/>
          <w:rtl/>
        </w:rPr>
        <w:t xml:space="preserve">–1997; </w:t>
      </w:r>
      <w:r>
        <w:rPr>
          <w:rFonts w:cs="FrankRuehl" w:hint="cs"/>
          <w:rtl/>
        </w:rPr>
        <w:t>ראה להלן בעמ' 5/19740; כ"כ ראה בעמ' 6/19740 את סעיף 31(א), בענין תחילה: 9 חודשים מיום פרסומו.</w:t>
      </w:r>
    </w:p>
    <w:p w:rsidR="00AC4906" w:rsidRDefault="00AC4906">
      <w:pPr>
        <w:ind w:right="1134"/>
        <w:rPr>
          <w:rFonts w:cs="David"/>
          <w:sz w:val="24"/>
          <w:rtl/>
        </w:rPr>
      </w:pPr>
      <w:bookmarkStart w:id="7" w:name="LawPartEnd"/>
    </w:p>
    <w:bookmarkEnd w:id="7"/>
    <w:p w:rsidR="00E529CC" w:rsidRDefault="00E529CC">
      <w:pPr>
        <w:ind w:right="1134"/>
        <w:rPr>
          <w:rFonts w:cs="David"/>
          <w:sz w:val="24"/>
          <w:rtl/>
        </w:rPr>
      </w:pPr>
    </w:p>
    <w:p w:rsidR="00E529CC" w:rsidRDefault="00E529CC">
      <w:pPr>
        <w:ind w:right="1134"/>
        <w:rPr>
          <w:rFonts w:cs="David"/>
          <w:sz w:val="24"/>
          <w:rtl/>
        </w:rPr>
      </w:pPr>
    </w:p>
    <w:p w:rsidR="00E529CC" w:rsidRDefault="00E529CC" w:rsidP="00E529CC">
      <w:pPr>
        <w:ind w:right="1134"/>
        <w:jc w:val="center"/>
        <w:rPr>
          <w:rFonts w:cs="David"/>
          <w:color w:val="0000FF"/>
          <w:sz w:val="24"/>
          <w:u w:val="single"/>
          <w:rtl/>
        </w:rPr>
      </w:pPr>
      <w:hyperlink r:id="rId6" w:history="1">
        <w:r>
          <w:rPr>
            <w:rFonts w:cs="David"/>
            <w:color w:val="0000FF"/>
            <w:sz w:val="24"/>
            <w:u w:val="single"/>
            <w:rtl/>
          </w:rPr>
          <w:t>הודעה למנויים על עריכה ושינויים במסמכי פסיקה, חקיקה ועוד באתר נבו - הקש כאן</w:t>
        </w:r>
      </w:hyperlink>
    </w:p>
    <w:p w:rsidR="00AC4906" w:rsidRPr="00E529CC" w:rsidRDefault="00AC4906" w:rsidP="00E529CC">
      <w:pPr>
        <w:ind w:right="1134"/>
        <w:jc w:val="center"/>
        <w:rPr>
          <w:rFonts w:cs="David"/>
          <w:color w:val="0000FF"/>
          <w:sz w:val="24"/>
          <w:u w:val="single"/>
          <w:rtl/>
        </w:rPr>
      </w:pPr>
    </w:p>
    <w:sectPr w:rsidR="00AC4906" w:rsidRPr="00E529C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906" w:rsidRDefault="00AC4906">
      <w:r>
        <w:separator/>
      </w:r>
    </w:p>
  </w:endnote>
  <w:endnote w:type="continuationSeparator" w:id="0">
    <w:p w:rsidR="00AC4906" w:rsidRDefault="00AC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906" w:rsidRDefault="00AC49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C4906" w:rsidRDefault="00AC49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4906" w:rsidRDefault="00AC49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29CC">
      <w:rPr>
        <w:rFonts w:cs="TopType Jerushalmi"/>
        <w:noProof/>
        <w:color w:val="000000"/>
        <w:sz w:val="14"/>
        <w:szCs w:val="14"/>
      </w:rPr>
      <w:t>Z:\00000000000000000000000=2014------------------------\05-May\2014-05-28\LawsForHofit\01\256_001.doc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906" w:rsidRDefault="00AC49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29CC">
      <w:rPr>
        <w:rFonts w:hAnsi="FrankRuehl" w:cs="FrankRuehl"/>
        <w:noProof/>
        <w:sz w:val="24"/>
        <w:szCs w:val="24"/>
        <w:rtl/>
      </w:rPr>
      <w:t>3</w:t>
    </w:r>
    <w:r>
      <w:rPr>
        <w:rFonts w:hAnsi="FrankRuehl" w:cs="FrankRuehl"/>
        <w:sz w:val="24"/>
        <w:szCs w:val="24"/>
        <w:rtl/>
      </w:rPr>
      <w:fldChar w:fldCharType="end"/>
    </w:r>
  </w:p>
  <w:p w:rsidR="00AC4906" w:rsidRDefault="00AC49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4906" w:rsidRDefault="00AC49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29CC">
      <w:rPr>
        <w:rFonts w:cs="TopType Jerushalmi"/>
        <w:noProof/>
        <w:color w:val="000000"/>
        <w:sz w:val="14"/>
        <w:szCs w:val="14"/>
      </w:rPr>
      <w:t>Z:\00000000000000000000000=2014------------------------\05-May\2014-05-28\LawsForHofit\01\256_001.doc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906" w:rsidRDefault="00AC4906">
      <w:r>
        <w:separator/>
      </w:r>
    </w:p>
  </w:footnote>
  <w:footnote w:type="continuationSeparator" w:id="0">
    <w:p w:rsidR="00AC4906" w:rsidRDefault="00AC4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906" w:rsidRDefault="00AC49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החוק המסחרי העותומני</w:t>
    </w:r>
  </w:p>
  <w:p w:rsidR="00AC4906" w:rsidRDefault="00AC49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4906" w:rsidRDefault="00AC490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906" w:rsidRDefault="00AC49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החוק המסחרי העותומני</w:t>
    </w:r>
  </w:p>
  <w:p w:rsidR="00AC4906" w:rsidRDefault="00AC49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4906" w:rsidRDefault="00AC490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5C67"/>
    <w:rsid w:val="007E5C67"/>
    <w:rsid w:val="00AC4906"/>
    <w:rsid w:val="00E529CC"/>
    <w:rsid w:val="00F53C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045823-808F-43BF-9698-6FF26F0A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256</vt:lpstr>
    </vt:vector>
  </TitlesOfParts>
  <Company/>
  <LinksUpToDate>false</LinksUpToDate>
  <CharactersWithSpaces>4323</CharactersWithSpaces>
  <SharedDoc>false</SharedDoc>
  <HLinks>
    <vt:vector size="48"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Seif2</vt:lpwstr>
      </vt:variant>
      <vt:variant>
        <vt:i4>5308425</vt:i4>
      </vt:variant>
      <vt:variant>
        <vt:i4>30</vt:i4>
      </vt:variant>
      <vt:variant>
        <vt:i4>0</vt:i4>
      </vt:variant>
      <vt:variant>
        <vt:i4>5</vt:i4>
      </vt:variant>
      <vt:variant>
        <vt:lpwstr/>
      </vt:variant>
      <vt:variant>
        <vt:lpwstr>med4</vt:lpwstr>
      </vt:variant>
      <vt:variant>
        <vt:i4>5636105</vt:i4>
      </vt:variant>
      <vt:variant>
        <vt:i4>24</vt:i4>
      </vt:variant>
      <vt:variant>
        <vt:i4>0</vt:i4>
      </vt:variant>
      <vt:variant>
        <vt:i4>5</vt:i4>
      </vt:variant>
      <vt:variant>
        <vt:lpwstr/>
      </vt:variant>
      <vt:variant>
        <vt:lpwstr>med3</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0256</vt:lpwstr>
  </property>
  <property fmtid="{D5CDD505-2E9C-101B-9397-08002B2CF9AE}" pid="3" name="CHNAME">
    <vt:lpwstr>מסחר</vt:lpwstr>
  </property>
  <property fmtid="{D5CDD505-2E9C-101B-9397-08002B2CF9AE}" pid="4" name="LAWNAME">
    <vt:lpwstr>החוק המסחרי העותומני</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