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2441" w14:textId="77777777" w:rsidR="00A035C3" w:rsidRDefault="00A035C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t>ה</w:t>
      </w:r>
      <w:r>
        <w:rPr>
          <w:rFonts w:cs="FrankRuehl" w:hint="cs"/>
          <w:sz w:val="32"/>
          <w:rtl/>
        </w:rPr>
        <w:t>ח</w:t>
      </w:r>
      <w:r>
        <w:rPr>
          <w:rFonts w:cs="FrankRuehl"/>
          <w:sz w:val="32"/>
          <w:rtl/>
        </w:rPr>
        <w:t>ו</w:t>
      </w:r>
      <w:r>
        <w:rPr>
          <w:rFonts w:cs="FrankRuehl" w:hint="cs"/>
          <w:sz w:val="32"/>
          <w:rtl/>
        </w:rPr>
        <w:t>ק העותומני על האגודות</w:t>
      </w:r>
      <w:r w:rsidR="00990053">
        <w:rPr>
          <w:rStyle w:val="a6"/>
          <w:rFonts w:cs="FrankRuehl"/>
          <w:sz w:val="32"/>
          <w:rtl/>
        </w:rPr>
        <w:footnoteReference w:customMarkFollows="1" w:id="1"/>
        <w:t>*</w:t>
      </w:r>
      <w:r w:rsidR="008B76C8">
        <w:rPr>
          <w:rStyle w:val="default"/>
          <w:rFonts w:cs="FrankRuehl" w:hint="cs"/>
          <w:rtl/>
        </w:rPr>
        <w:t>,</w:t>
      </w:r>
      <w:r w:rsidR="008B76C8">
        <w:rPr>
          <w:rStyle w:val="a6"/>
          <w:rFonts w:cs="FrankRuehl"/>
          <w:sz w:val="26"/>
          <w:szCs w:val="26"/>
          <w:rtl/>
        </w:rPr>
        <w:footnoteReference w:id="2"/>
      </w:r>
    </w:p>
    <w:p w14:paraId="124BC2FC" w14:textId="77777777" w:rsidR="00572CE4" w:rsidRDefault="00572CE4" w:rsidP="00572CE4">
      <w:pPr>
        <w:spacing w:line="320" w:lineRule="auto"/>
        <w:jc w:val="left"/>
        <w:rPr>
          <w:rtl/>
        </w:rPr>
      </w:pPr>
    </w:p>
    <w:p w14:paraId="7F83EA47" w14:textId="77777777" w:rsidR="008B76C8" w:rsidRDefault="008B76C8" w:rsidP="00572CE4">
      <w:pPr>
        <w:spacing w:line="320" w:lineRule="auto"/>
        <w:jc w:val="left"/>
        <w:rPr>
          <w:rtl/>
        </w:rPr>
      </w:pPr>
    </w:p>
    <w:p w14:paraId="02BF907F" w14:textId="77777777" w:rsidR="00572CE4" w:rsidRDefault="00572CE4" w:rsidP="00572CE4">
      <w:pPr>
        <w:spacing w:line="320" w:lineRule="auto"/>
        <w:jc w:val="left"/>
        <w:rPr>
          <w:rFonts w:cs="FrankRuehl"/>
          <w:szCs w:val="26"/>
          <w:rtl/>
        </w:rPr>
      </w:pPr>
      <w:r w:rsidRPr="00572CE4">
        <w:rPr>
          <w:rFonts w:cs="Miriam"/>
          <w:szCs w:val="22"/>
          <w:rtl/>
        </w:rPr>
        <w:t>משפט פרטי וכלכלה</w:t>
      </w:r>
      <w:r w:rsidRPr="00572CE4">
        <w:rPr>
          <w:rFonts w:cs="FrankRuehl"/>
          <w:szCs w:val="26"/>
          <w:rtl/>
        </w:rPr>
        <w:t xml:space="preserve"> – תאגידים וניירות ערך – אגודות שיתופיות</w:t>
      </w:r>
    </w:p>
    <w:p w14:paraId="0A16FE6E" w14:textId="77777777" w:rsidR="00572CE4" w:rsidRDefault="00572CE4" w:rsidP="00572CE4">
      <w:pPr>
        <w:spacing w:line="320" w:lineRule="auto"/>
        <w:jc w:val="left"/>
        <w:rPr>
          <w:rFonts w:cs="Miriam"/>
          <w:szCs w:val="22"/>
        </w:rPr>
      </w:pPr>
      <w:r w:rsidRPr="00572CE4">
        <w:rPr>
          <w:rFonts w:cs="Miriam"/>
          <w:szCs w:val="22"/>
          <w:rtl/>
        </w:rPr>
        <w:t xml:space="preserve">דיני חוקה </w:t>
      </w:r>
      <w:r w:rsidRPr="00572CE4">
        <w:rPr>
          <w:rFonts w:cs="FrankRuehl"/>
          <w:szCs w:val="26"/>
          <w:rtl/>
        </w:rPr>
        <w:t xml:space="preserve"> – פרשנות ויסודות המשפט – החוק העותומני</w:t>
      </w:r>
    </w:p>
    <w:p w14:paraId="2F2B6E79" w14:textId="77777777" w:rsidR="00572CE4" w:rsidRDefault="00572CE4" w:rsidP="00923290">
      <w:pPr>
        <w:spacing w:line="320" w:lineRule="auto"/>
        <w:jc w:val="left"/>
        <w:rPr>
          <w:rFonts w:cs="Miriam"/>
          <w:szCs w:val="22"/>
        </w:rPr>
      </w:pPr>
    </w:p>
    <w:p w14:paraId="3039DE62" w14:textId="77777777" w:rsidR="00572CE4" w:rsidRDefault="00572CE4" w:rsidP="00923290">
      <w:pPr>
        <w:spacing w:line="320" w:lineRule="auto"/>
        <w:jc w:val="left"/>
        <w:rPr>
          <w:rFonts w:cs="Miriam"/>
          <w:szCs w:val="22"/>
          <w:rtl/>
        </w:rPr>
      </w:pPr>
    </w:p>
    <w:p w14:paraId="3715164E" w14:textId="77777777" w:rsidR="00A035C3" w:rsidRDefault="00A035C3">
      <w:pPr>
        <w:pStyle w:val="medium-header"/>
        <w:keepNext w:val="0"/>
        <w:keepLines w:val="0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>ב</w:t>
      </w:r>
      <w:r>
        <w:rPr>
          <w:rFonts w:cs="FrankRuehl" w:hint="cs"/>
          <w:sz w:val="26"/>
          <w:rtl/>
        </w:rPr>
        <w:t>ת</w:t>
      </w:r>
      <w:r>
        <w:rPr>
          <w:rFonts w:cs="FrankRuehl"/>
          <w:sz w:val="26"/>
          <w:rtl/>
        </w:rPr>
        <w:t>ר</w:t>
      </w:r>
      <w:r>
        <w:rPr>
          <w:rFonts w:cs="FrankRuehl" w:hint="cs"/>
          <w:sz w:val="26"/>
          <w:rtl/>
        </w:rPr>
        <w:t>גום מר מ. לניאדו, עורך-דין, ובהרשאתו</w:t>
      </w:r>
    </w:p>
    <w:p w14:paraId="3F056F1D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847351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דה היא קיבוץ המורכב ממספר אנשים המצרפים לזמן מתמיד את ידיעותיהם או מרצם, לשם השגת איזו מטרה שאינה מכוונת להשגת רווחים.</w:t>
      </w:r>
    </w:p>
    <w:p w14:paraId="4A48C4B7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רת אגודה איננה</w:t>
      </w:r>
      <w:r>
        <w:rPr>
          <w:rStyle w:val="default"/>
          <w:rFonts w:cs="FrankRuehl"/>
          <w:rtl/>
        </w:rPr>
        <w:t xml:space="preserve"> ק</w:t>
      </w:r>
      <w:r>
        <w:rPr>
          <w:rStyle w:val="default"/>
          <w:rFonts w:cs="FrankRuehl" w:hint="cs"/>
          <w:rtl/>
        </w:rPr>
        <w:t>שורה בהשגת רשיון למפר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לא שכל אגודה מחוייבת, בהתאם לסעיף 6, להוד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ע על דבר יצירתה לרשות.</w:t>
      </w:r>
    </w:p>
    <w:p w14:paraId="64AF7599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רות בקיום, האגודות הנוסדות על בסיס בלתי חוקי, המתנגדות לחוק ולמוסר, או שמטרתן לפגוע בסדר הציבורי או בשלמות הארץ, או לשנות את אופן הרכבת הממשלה הקיימת, או להשפ</w:t>
      </w:r>
      <w:r>
        <w:rPr>
          <w:rStyle w:val="default"/>
          <w:rFonts w:cs="FrankRuehl"/>
          <w:rtl/>
        </w:rPr>
        <w:t>יע</w:t>
      </w:r>
      <w:r>
        <w:rPr>
          <w:rStyle w:val="default"/>
          <w:rFonts w:cs="FrankRuehl" w:hint="cs"/>
          <w:rtl/>
        </w:rPr>
        <w:t xml:space="preserve"> על התבדלות מדינית בי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גזעים השונים אשר במדינה.</w:t>
      </w:r>
    </w:p>
    <w:p w14:paraId="3A3F559C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רות בקיום, האגודות המדיניות שנוסדו על יסוד עיקרים או תאורים של לאום וגזע.</w:t>
      </w:r>
    </w:p>
    <w:p w14:paraId="2AC41225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733A81F6">
          <v:rect id="_x0000_s1026" style="position:absolute;left:0;text-align:left;margin-left:464.5pt;margin-top:8.05pt;width:75.05pt;height:29.95pt;z-index:251657728" o:allowincell="f" filled="f" stroked="f" strokecolor="lime" strokeweight=".25pt">
            <v:textbox inset="0,0,0,0">
              <w:txbxContent>
                <w:p w14:paraId="2D35734B" w14:textId="77777777" w:rsidR="00A035C3" w:rsidRDefault="000E0F1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</w:t>
                  </w:r>
                  <w:r w:rsidR="00A035C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 w:rsidR="00A035C3">
                    <w:rPr>
                      <w:rFonts w:cs="Miriam" w:hint="cs"/>
                      <w:sz w:val="18"/>
                      <w:szCs w:val="18"/>
                      <w:rtl/>
                    </w:rPr>
                    <w:t>תשכ"ב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-1962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טל).</w:t>
      </w:r>
    </w:p>
    <w:p w14:paraId="3EF8F26E" w14:textId="77777777" w:rsidR="00DF1DBC" w:rsidRPr="000E0F1F" w:rsidRDefault="00DF1DBC" w:rsidP="00235E7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2"/>
      <w:r w:rsidRPr="000E0F1F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235E7A" w:rsidRPr="000E0F1F">
        <w:rPr>
          <w:rFonts w:cs="FrankRuehl" w:hint="cs"/>
          <w:vanish/>
          <w:color w:val="FF0000"/>
          <w:szCs w:val="20"/>
          <w:shd w:val="clear" w:color="auto" w:fill="FFFF99"/>
          <w:rtl/>
        </w:rPr>
        <w:t>17</w:t>
      </w:r>
      <w:r w:rsidRPr="000E0F1F">
        <w:rPr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235E7A" w:rsidRPr="000E0F1F">
        <w:rPr>
          <w:rFonts w:cs="FrankRuehl" w:hint="cs"/>
          <w:vanish/>
          <w:color w:val="FF0000"/>
          <w:szCs w:val="20"/>
          <w:shd w:val="clear" w:color="auto" w:fill="FFFF99"/>
          <w:rtl/>
        </w:rPr>
        <w:t>8</w:t>
      </w:r>
      <w:r w:rsidRPr="000E0F1F">
        <w:rPr>
          <w:rFonts w:cs="FrankRuehl" w:hint="cs"/>
          <w:vanish/>
          <w:color w:val="FF0000"/>
          <w:szCs w:val="20"/>
          <w:shd w:val="clear" w:color="auto" w:fill="FFFF99"/>
          <w:rtl/>
        </w:rPr>
        <w:t>.19</w:t>
      </w:r>
      <w:r w:rsidR="00235E7A" w:rsidRPr="000E0F1F">
        <w:rPr>
          <w:rFonts w:cs="FrankRuehl" w:hint="cs"/>
          <w:vanish/>
          <w:color w:val="FF0000"/>
          <w:szCs w:val="20"/>
          <w:shd w:val="clear" w:color="auto" w:fill="FFFF99"/>
          <w:rtl/>
        </w:rPr>
        <w:t>62</w:t>
      </w:r>
    </w:p>
    <w:p w14:paraId="6F792965" w14:textId="77777777" w:rsidR="00DF1DBC" w:rsidRPr="000E0F1F" w:rsidRDefault="00DF1DBC" w:rsidP="00235E7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E0F1F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תיקון מס' </w:t>
      </w:r>
      <w:r w:rsidR="00235E7A" w:rsidRPr="000E0F1F">
        <w:rPr>
          <w:rFonts w:cs="FrankRuehl" w:hint="cs"/>
          <w:b/>
          <w:bCs/>
          <w:vanish/>
          <w:szCs w:val="20"/>
          <w:shd w:val="clear" w:color="auto" w:fill="FFFF99"/>
          <w:rtl/>
        </w:rPr>
        <w:t>1</w:t>
      </w:r>
    </w:p>
    <w:p w14:paraId="1635F3D1" w14:textId="77777777" w:rsidR="00DF1DBC" w:rsidRPr="000E0F1F" w:rsidRDefault="00235E7A" w:rsidP="00203DED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="006527E2" w:rsidRPr="000E0F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תשכ</w:t>
        </w:r>
        <w:r w:rsidR="00DF1DBC" w:rsidRPr="000E0F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"ב מס' </w:t>
        </w:r>
        <w:r w:rsidRPr="000E0F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380</w:t>
        </w:r>
      </w:hyperlink>
      <w:r w:rsidR="00DF1DBC" w:rsidRPr="000E0F1F">
        <w:rPr>
          <w:rFonts w:cs="FrankRuehl" w:hint="cs"/>
          <w:vanish/>
          <w:szCs w:val="20"/>
          <w:shd w:val="clear" w:color="auto" w:fill="FFFF99"/>
          <w:rtl/>
        </w:rPr>
        <w:t xml:space="preserve"> מיום </w:t>
      </w:r>
      <w:r w:rsidRPr="000E0F1F">
        <w:rPr>
          <w:rFonts w:cs="FrankRuehl" w:hint="cs"/>
          <w:vanish/>
          <w:szCs w:val="20"/>
          <w:shd w:val="clear" w:color="auto" w:fill="FFFF99"/>
          <w:rtl/>
        </w:rPr>
        <w:t>17</w:t>
      </w:r>
      <w:r w:rsidR="00DF1DBC" w:rsidRPr="000E0F1F">
        <w:rPr>
          <w:rFonts w:cs="FrankRuehl" w:hint="cs"/>
          <w:vanish/>
          <w:szCs w:val="20"/>
          <w:shd w:val="clear" w:color="auto" w:fill="FFFF99"/>
          <w:rtl/>
        </w:rPr>
        <w:t>.</w:t>
      </w:r>
      <w:r w:rsidRPr="000E0F1F">
        <w:rPr>
          <w:rFonts w:cs="FrankRuehl" w:hint="cs"/>
          <w:vanish/>
          <w:szCs w:val="20"/>
          <w:shd w:val="clear" w:color="auto" w:fill="FFFF99"/>
          <w:rtl/>
        </w:rPr>
        <w:t>8</w:t>
      </w:r>
      <w:r w:rsidR="00DF1DBC" w:rsidRPr="000E0F1F">
        <w:rPr>
          <w:rFonts w:cs="FrankRuehl" w:hint="cs"/>
          <w:vanish/>
          <w:szCs w:val="20"/>
          <w:shd w:val="clear" w:color="auto" w:fill="FFFF99"/>
          <w:rtl/>
        </w:rPr>
        <w:t>.19</w:t>
      </w:r>
      <w:r w:rsidRPr="000E0F1F">
        <w:rPr>
          <w:rFonts w:cs="FrankRuehl" w:hint="cs"/>
          <w:vanish/>
          <w:szCs w:val="20"/>
          <w:shd w:val="clear" w:color="auto" w:fill="FFFF99"/>
          <w:rtl/>
        </w:rPr>
        <w:t>62</w:t>
      </w:r>
      <w:r w:rsidR="00DF1DBC" w:rsidRPr="000E0F1F">
        <w:rPr>
          <w:rFonts w:cs="FrankRuehl" w:hint="cs"/>
          <w:vanish/>
          <w:szCs w:val="20"/>
          <w:shd w:val="clear" w:color="auto" w:fill="FFFF99"/>
          <w:rtl/>
        </w:rPr>
        <w:t xml:space="preserve"> עמ' 1</w:t>
      </w:r>
      <w:r w:rsidR="006527E2" w:rsidRPr="000E0F1F">
        <w:rPr>
          <w:rFonts w:cs="FrankRuehl" w:hint="cs"/>
          <w:vanish/>
          <w:szCs w:val="20"/>
          <w:shd w:val="clear" w:color="auto" w:fill="FFFF99"/>
          <w:rtl/>
        </w:rPr>
        <w:t>2</w:t>
      </w:r>
      <w:r w:rsidR="00203DED" w:rsidRPr="000E0F1F">
        <w:rPr>
          <w:rFonts w:cs="FrankRuehl" w:hint="cs"/>
          <w:vanish/>
          <w:szCs w:val="20"/>
          <w:shd w:val="clear" w:color="auto" w:fill="FFFF99"/>
          <w:rtl/>
        </w:rPr>
        <w:t>7</w:t>
      </w:r>
      <w:r w:rsidR="00DF1DBC" w:rsidRPr="000E0F1F">
        <w:rPr>
          <w:rFonts w:cs="FrankRuehl" w:hint="cs"/>
          <w:vanish/>
          <w:szCs w:val="20"/>
          <w:shd w:val="clear" w:color="auto" w:fill="FFFF99"/>
          <w:rtl/>
        </w:rPr>
        <w:t xml:space="preserve"> (</w:t>
      </w:r>
      <w:hyperlink r:id="rId8" w:history="1">
        <w:r w:rsidR="006527E2" w:rsidRPr="000E0F1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456</w:t>
        </w:r>
      </w:hyperlink>
      <w:r w:rsidR="00DF1DBC" w:rsidRPr="000E0F1F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2ED75099" w14:textId="77777777" w:rsidR="00A141D0" w:rsidRPr="000E0F1F" w:rsidRDefault="00A141D0" w:rsidP="00203DED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0E0F1F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סעיף 5</w:t>
      </w:r>
    </w:p>
    <w:p w14:paraId="153BD5DA" w14:textId="77777777" w:rsidR="00A141D0" w:rsidRPr="000E0F1F" w:rsidRDefault="00A141D0" w:rsidP="00A141D0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E0F1F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3387BEA0" w14:textId="77777777" w:rsidR="00A141D0" w:rsidRPr="00A4795B" w:rsidRDefault="00A141D0" w:rsidP="00A4795B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/>
          <w:strike/>
          <w:sz w:val="2"/>
          <w:szCs w:val="2"/>
          <w:highlight w:val="yellow"/>
          <w:rtl/>
        </w:rPr>
      </w:pPr>
      <w:r w:rsidRPr="000E0F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5.</w:t>
      </w:r>
      <w:r w:rsidRPr="000E0F1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צעירים שגילם הוא פחות עשרים שנה, וכן אנשים שנדונו על פשעים או שהם משוללי זכויות אזרחיות, אינם יכולים להיות חברים באגודה.</w:t>
      </w:r>
      <w:bookmarkEnd w:id="1"/>
    </w:p>
    <w:p w14:paraId="79A8BCF7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 הוא בהחלט, יסוד אגודה חשאית, ולכן, מיד עם היווסד איזו אגודה חייבים מייסדיה לשלוח לממונה על המחוז</w:t>
      </w:r>
      <w:r w:rsidR="000E0F1F">
        <w:rPr>
          <w:rStyle w:val="a6"/>
          <w:rFonts w:cs="FrankRuehl"/>
          <w:sz w:val="26"/>
          <w:rtl/>
        </w:rPr>
        <w:footnoteReference w:id="3"/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דעה חתומה בחתימותיהם ובחו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תיהם של המייסדים, שתכיל: את שם האגודה ומטרתה, את מקום מרכז הנהלתה, את שמות מנהליה, את תאורם ומקום מגורם, ותימסר להם כנגדה קבלה.</w:t>
      </w:r>
    </w:p>
    <w:p w14:paraId="59663C73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העתקות מתקנות האגודה, שתשאנה עליהם את חותמה הרשמי, תצורפנה להודעה.</w:t>
      </w:r>
    </w:p>
    <w:p w14:paraId="4229F732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 מסירת הקבלה תיוודע בפומבי מהות האגודה, ע"י מייסדיה. חובה מוטלת על כל אגודה להודיע מיד לממונה על המחוז</w:t>
      </w:r>
      <w:r w:rsidR="000E0F1F">
        <w:rPr>
          <w:rStyle w:val="a6"/>
          <w:rFonts w:cs="FrankRuehl"/>
          <w:sz w:val="26"/>
          <w:rtl/>
        </w:rPr>
        <w:footnoteReference w:id="4"/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דבר כל תיקונים ושינויים שיוכלו לחול בתקנותיה היסודיות או בהרכבת ועד הנהלתה, או במקום מושבו.</w:t>
      </w:r>
    </w:p>
    <w:p w14:paraId="5EFD16D3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ינו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ים ותיקונים כאלה לא תהיה להם כל השפעה כלפי כל צד שלישי, אלא מיום הודעתם לממשלה. והם צריכים להירשם בפנקס מיוחד שחייבים למסרו בכל פעם שתדרשנו הרשות המשפטית או ההנהלתית.</w:t>
      </w:r>
    </w:p>
    <w:p w14:paraId="2E617871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ך להיות </w:t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>ל מרכז אגודה, ועד מנהל המורכב מלא פחות משני חברים, ואם יש לה סניפי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>, צ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ך</w:t>
      </w:r>
      <w:r>
        <w:rPr>
          <w:rStyle w:val="default"/>
          <w:rFonts w:cs="FrankRuehl" w:hint="cs"/>
          <w:rtl/>
        </w:rPr>
        <w:t xml:space="preserve"> שלכל סניף יהיה ועד מנהל הקשור בועד המרכזי.</w:t>
      </w:r>
    </w:p>
    <w:p w14:paraId="6C564E15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ב כל ועד להחזיק שלושה פנקסים:</w:t>
      </w:r>
    </w:p>
    <w:p w14:paraId="45FE5CF6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שון, יירשמו שמות חברי האגודה ותאוריהם, ותאריך כניסתם אליה, בשני, החלטות </w:t>
      </w:r>
      <w:r>
        <w:rPr>
          <w:rStyle w:val="default"/>
          <w:rFonts w:cs="FrankRuehl" w:hint="cs"/>
          <w:rtl/>
        </w:rPr>
        <w:lastRenderedPageBreak/>
        <w:t>הועד, חליפות המכתבים וההודע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>, ובשלישי, חשבון מפורט מכל ההכנסות וההוצאות של האגודה.</w:t>
      </w:r>
    </w:p>
    <w:p w14:paraId="4A412168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קסים הא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 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צ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 לפי כל דרישה מצד הרשות המשפטית או ההנהלתית.</w:t>
      </w:r>
    </w:p>
    <w:p w14:paraId="3FAB7D08" w14:textId="77777777" w:rsidR="00A035C3" w:rsidRDefault="00A035C3" w:rsidP="000E0F1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אגודה שמסרה הודעה כנזכר בסעיף 6, תהיה לה הזכות בהתאם למה שנזכר לקמן בסעיף 9, להופיע במשפט בתור תובעת או נתבעת באמצעות בא-כוח, וכמ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כן לרכוש ולנהל, בהתאם לחוק, חוץ מתמיכות שהממשלה תוכל להעניק לה בעת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הצו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ך</w:t>
      </w:r>
      <w:r>
        <w:rPr>
          <w:rStyle w:val="default"/>
          <w:rFonts w:cs="FrankRuehl"/>
          <w:rtl/>
        </w:rPr>
        <w:t xml:space="preserve"> </w:t>
      </w:r>
      <w:r w:rsidR="000E0F1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ת:</w:t>
      </w:r>
    </w:p>
    <w:p w14:paraId="30E8651D" w14:textId="77777777" w:rsidR="00A035C3" w:rsidRDefault="00A035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סים המורמים מאת חבריה, שלא יוכלו להיות יותר מ-24 לירות עבור כל אחד מהם.</w:t>
      </w:r>
    </w:p>
    <w:p w14:paraId="5E7BCEC4" w14:textId="77777777" w:rsidR="00A035C3" w:rsidRDefault="00A035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קום המיועד למושב הנהלת החברה ולאספות חבריה.</w:t>
      </w:r>
    </w:p>
    <w:p w14:paraId="4EB82F1C" w14:textId="77777777" w:rsidR="00A035C3" w:rsidRDefault="00A035C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סי דלא ניידי הנחוצים להגשמת המטרה שקבעה ל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בהתאם לתקנותיה המיוחדות, ואולם אין האגודה יכולה לרכוש נכסי דלא ניידי 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ם.</w:t>
      </w:r>
    </w:p>
    <w:p w14:paraId="0AF43352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עות או בקשות המוגשות בשם האגודה לפקידי הממשלה, לבתי המשפט, או למקומות רשמיים בענינים הנוגעים לאגודה, לא תוכלנה להיות מוגשות אלא ע"י מכתב בקשה נושא בולים כחוק, וחתום בחתימתו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בחותמו המיוחד של המנהל או המזכיר הכללי.</w:t>
      </w:r>
    </w:p>
    <w:p w14:paraId="556184B7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ותאורי האנשים הרשאים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לפע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בשם האגודה, צריכים להיות נזכרים בתקנות האגודה היסודיות.</w:t>
      </w:r>
    </w:p>
    <w:p w14:paraId="192D359A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חבר-אגודה יוכל בכל שעה שירצה, ולמרות כל תקנה נגדית הרשומה בתקנות, להיפרד מן האגודה אחרי סלקו את המסים שחל זמן פרעונם 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יו,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חזור אותה שנה.</w:t>
      </w:r>
    </w:p>
    <w:p w14:paraId="766E159B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 להכניס ולשמור במקום האספות, כל מין נשק חם או קר. מועדונים של ציד ואימון-בסיף, יוכלו לבדם, להחזיק בידיעת המשטרה את הנשק הנחוץ להם לפעולותיהם, כמידת צרכם.</w:t>
      </w:r>
    </w:p>
    <w:p w14:paraId="783FD224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דות שלא תודענה על דבר היווסדם לרשות, ע"י מסירת הודעה בהתאם לסעיפי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2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-6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יאסר קיומם ע"י הרשות.</w:t>
      </w:r>
    </w:p>
    <w:p w14:paraId="436DB294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יסדים, הועד המנהל, ובעלי המקום המיועד לאספות או השוכרים אותו ייענשו בקנס מ-5 ועד 25 לירות, אם במקרה נוסדה האגודה באחת המטרות המזיקות והאסורות עפ"י סעיף 3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עיל, או עפ"י פקודת החוק הפלילי, 1936</w:t>
      </w:r>
      <w:r w:rsidR="000E0F1F">
        <w:rPr>
          <w:rStyle w:val="a6"/>
          <w:rFonts w:cs="FrankRuehl"/>
          <w:sz w:val="26"/>
          <w:rtl/>
        </w:rPr>
        <w:footnoteReference w:id="5"/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ענשו גם בענשים הנזכרים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פקו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ה</w:t>
      </w:r>
      <w:r w:rsidR="000E0F1F">
        <w:rPr>
          <w:rStyle w:val="a6"/>
          <w:rFonts w:cs="FrankRuehl"/>
          <w:sz w:val="26"/>
          <w:rtl/>
        </w:rPr>
        <w:footnoteReference w:id="6"/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"ל.</w:t>
      </w:r>
    </w:p>
    <w:p w14:paraId="6268A936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העובר על הוראות הסעיפים 4, 5, 7 ו-9, וכל העובר על הוראות הסעיף 6 חוץ מהענינים הקשורים בהודעה ופרסום, ייענש בקנס מ-2 ועד 10 לירות, ובהישנות העבירה יוכפל עונש הכסף.</w:t>
      </w:r>
    </w:p>
    <w:p w14:paraId="64306777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המקיים או מחדש, או מנהל, בעברו על החוק הזה, אגודה שנאסר קיומה לפי סעיף</w:t>
      </w:r>
      <w:r>
        <w:rPr>
          <w:rStyle w:val="default"/>
          <w:rFonts w:cs="FrankRuehl"/>
          <w:rtl/>
        </w:rPr>
        <w:t xml:space="preserve"> 12,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ענש בקנס מ-10 ועד 50 לירות, ובמאסר משני חדשים ועד לשנה; עונש זה יוטל גם על הנותן מקום לאספות חברי אגודה אסורה בקיום.</w:t>
      </w:r>
    </w:p>
    <w:p w14:paraId="2FFE1AD2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מה שנוגע לרכוש האגודה שקיומה נאסר ע"י הרשות או שנתפר</w:t>
      </w:r>
      <w:r>
        <w:rPr>
          <w:rStyle w:val="default"/>
          <w:rFonts w:cs="FrankRuehl"/>
          <w:rtl/>
        </w:rPr>
        <w:t>קה</w:t>
      </w:r>
      <w:r>
        <w:rPr>
          <w:rStyle w:val="default"/>
          <w:rFonts w:cs="FrankRuehl" w:hint="cs"/>
          <w:rtl/>
        </w:rPr>
        <w:t xml:space="preserve"> בהסכמת חבריה ורצונם, או עפ"י תקנותיה הפנימיות, נוהגים בהתאם לתקנו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הא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ה, אם הן מכילות סעיף מיוחד הדן על מקרה של ביטול ואם אין סעיף כזה, נוהגים על פי החלטת האספה הכללית של האגודה.</w:t>
      </w:r>
    </w:p>
    <w:p w14:paraId="4257B4EB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דה שנאסרה בקיום, אם היתה אגודה שנוסדה לשם מטרה מזיקה או בלתי חוקית, </w:t>
      </w:r>
      <w:r>
        <w:rPr>
          <w:rStyle w:val="default"/>
          <w:rFonts w:cs="FrankRuehl"/>
          <w:rtl/>
        </w:rPr>
        <w:t>כמ</w:t>
      </w:r>
      <w:r>
        <w:rPr>
          <w:rStyle w:val="default"/>
          <w:rFonts w:cs="FrankRuehl" w:hint="cs"/>
          <w:rtl/>
        </w:rPr>
        <w:t>בואר בסעיף 3, יוחרם רכושה ויילקח ע"י הממשלה.</w:t>
      </w:r>
    </w:p>
    <w:p w14:paraId="39C471EA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עדונים נכללים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סוג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גודות הנזכרות בפרק זה.</w:t>
      </w:r>
    </w:p>
    <w:p w14:paraId="4052EFFB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ודות הקיימות כיום, עליהן להגיש את ההודעה הנדרשת ולמלא אחר תנאי הפרסום כנזכר בסעיפים 2 ו-5, בתוך שני חדשים 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ום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ום חוק זה, והן חייבות כמו כן להיכנע ליתר הוראות החוק הזה.</w:t>
      </w:r>
    </w:p>
    <w:p w14:paraId="48CD3F15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אגודה נחשבת כאגודה לתועלת הציבור אלא אחרי אישור שר הפנים</w:t>
      </w:r>
      <w:r w:rsidR="000E0F1F">
        <w:rPr>
          <w:rStyle w:val="a6"/>
          <w:rFonts w:cs="FrankRuehl"/>
          <w:sz w:val="26"/>
          <w:rtl/>
        </w:rPr>
        <w:footnoteReference w:id="7"/>
      </w:r>
      <w:r>
        <w:rPr>
          <w:rStyle w:val="default"/>
          <w:rFonts w:cs="FrankRuehl"/>
          <w:rtl/>
        </w:rPr>
        <w:t xml:space="preserve">. 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ודה כזאת </w:t>
      </w:r>
      <w:r>
        <w:rPr>
          <w:rStyle w:val="default"/>
          <w:rFonts w:cs="FrankRuehl" w:hint="cs"/>
          <w:rtl/>
        </w:rPr>
        <w:lastRenderedPageBreak/>
        <w:t>יכולה לעשות כל פעולה אזרחית שאינה מתנגדת לת</w:t>
      </w:r>
      <w:r>
        <w:rPr>
          <w:rStyle w:val="default"/>
          <w:rFonts w:cs="FrankRuehl"/>
          <w:rtl/>
        </w:rPr>
        <w:t>קנ</w:t>
      </w:r>
      <w:r>
        <w:rPr>
          <w:rStyle w:val="default"/>
          <w:rFonts w:cs="FrankRuehl" w:hint="cs"/>
          <w:rtl/>
        </w:rPr>
        <w:t xml:space="preserve">ותיה היסודיות. מניות וניירות ערך שהאגודה רוכשת אותם צריכים להירשם 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ש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אגודה אם אינם כתובים "למוכ"ז".</w:t>
      </w:r>
    </w:p>
    <w:p w14:paraId="04F9ECBD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דה אינה יכולה לקבל מתנה או צוואה מבלי רשיון מיוחד מצד שר הפנים. אם המתנה או הצוואה הם מסוג נכסי דלא ניידי שאין לאגודה בהתאם לתפקידיה שום נחיצות בו</w:t>
      </w:r>
      <w:r>
        <w:rPr>
          <w:rStyle w:val="default"/>
          <w:rFonts w:cs="FrankRuehl"/>
          <w:rtl/>
        </w:rPr>
        <w:t>, י</w:t>
      </w:r>
      <w:r>
        <w:rPr>
          <w:rStyle w:val="default"/>
          <w:rFonts w:cs="FrankRuehl" w:hint="cs"/>
          <w:rtl/>
        </w:rPr>
        <w:t>ימסרו הנכסים, ובתוך ההחלטה המרשה את קבלת הנכסים הללו יוצהר בפירוש הזמ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שר בו יימכרו הנכסים.</w:t>
      </w:r>
    </w:p>
    <w:p w14:paraId="02FBB58D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סות המכירה תהיינה לטובת קופת האגודה.</w:t>
      </w:r>
    </w:p>
    <w:p w14:paraId="0D70A01E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ות למשטרה להשגיח על האגודות והמועדונים, ופקידיה יוכלו להכנס למקומות אספותיהם בכל זמן, אלא כדי להוכיח שביקורם נשע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על צורך אמיתי, יוכרחו להגיש נייר-רשמי המכיל פקודה או רשות כניסה למקום.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ב זה יינתן מאת הממונה על המחוז או קצין המחוז</w:t>
      </w:r>
      <w:r w:rsidR="000E0F1F">
        <w:rPr>
          <w:rStyle w:val="a6"/>
          <w:rFonts w:cs="FrankRuehl"/>
          <w:sz w:val="26"/>
          <w:rtl/>
        </w:rPr>
        <w:footnoteReference w:id="8"/>
      </w:r>
      <w:r>
        <w:rPr>
          <w:rStyle w:val="default"/>
          <w:rFonts w:cs="FrankRuehl" w:hint="cs"/>
          <w:rtl/>
        </w:rPr>
        <w:t>.</w:t>
      </w:r>
    </w:p>
    <w:p w14:paraId="34BB53BA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י</w:t>
      </w:r>
      <w:r w:rsidR="000E0F1F">
        <w:rPr>
          <w:rStyle w:val="a6"/>
          <w:rFonts w:cs="FrankRuehl"/>
          <w:sz w:val="26"/>
          <w:rtl/>
        </w:rPr>
        <w:footnoteReference w:id="9"/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נים והמשפטים מצווים בהוצאת חוק זה לפועל.</w:t>
      </w:r>
    </w:p>
    <w:p w14:paraId="1187D33A" w14:textId="77777777" w:rsidR="00A035C3" w:rsidRDefault="00A035C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BF0494" w14:textId="77777777" w:rsidR="000E0F1F" w:rsidRDefault="000E0F1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1F7790" w14:textId="77777777" w:rsidR="00A035C3" w:rsidRPr="000E0F1F" w:rsidRDefault="00A035C3" w:rsidP="000E0F1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035C3" w:rsidRPr="000E0F1F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6D252" w14:textId="77777777" w:rsidR="00A23F6E" w:rsidRDefault="00A23F6E">
      <w:pPr>
        <w:spacing w:line="240" w:lineRule="auto"/>
      </w:pPr>
      <w:r>
        <w:separator/>
      </w:r>
    </w:p>
  </w:endnote>
  <w:endnote w:type="continuationSeparator" w:id="0">
    <w:p w14:paraId="18197C9F" w14:textId="77777777" w:rsidR="00A23F6E" w:rsidRDefault="00A23F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8ECCA" w14:textId="77777777" w:rsidR="00A035C3" w:rsidRDefault="00A035C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1B0DA67" w14:textId="77777777" w:rsidR="00A035C3" w:rsidRDefault="00A035C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8B74CCC" w14:textId="77777777" w:rsidR="00A035C3" w:rsidRDefault="00A035C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90053">
      <w:rPr>
        <w:rFonts w:cs="TopType Jerushalmi"/>
        <w:noProof/>
        <w:color w:val="000000"/>
        <w:sz w:val="14"/>
        <w:szCs w:val="14"/>
      </w:rPr>
      <w:t>C:\Yael\hakika\Revadim\001_001.doc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9B090" w14:textId="77777777" w:rsidR="00A035C3" w:rsidRDefault="00A035C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72CE4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0174E58" w14:textId="77777777" w:rsidR="00A035C3" w:rsidRDefault="00A035C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9254B20" w14:textId="77777777" w:rsidR="00A035C3" w:rsidRDefault="00A035C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90053">
      <w:rPr>
        <w:rFonts w:cs="TopType Jerushalmi"/>
        <w:noProof/>
        <w:color w:val="000000"/>
        <w:sz w:val="14"/>
        <w:szCs w:val="14"/>
      </w:rPr>
      <w:t>C:\Yael\hakika\Revadim\001_001.doc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8B27B" w14:textId="77777777" w:rsidR="00A23F6E" w:rsidRDefault="00A23F6E" w:rsidP="0099005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CB9072F" w14:textId="77777777" w:rsidR="00A23F6E" w:rsidRDefault="00A23F6E">
      <w:pPr>
        <w:spacing w:line="240" w:lineRule="auto"/>
      </w:pPr>
      <w:r>
        <w:continuationSeparator/>
      </w:r>
    </w:p>
  </w:footnote>
  <w:footnote w:id="1">
    <w:p w14:paraId="64185AAD" w14:textId="77777777" w:rsidR="00990053" w:rsidRDefault="00990053" w:rsidP="0099005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990053">
        <w:rPr>
          <w:rFonts w:cs="FrankRuehl"/>
          <w:rtl/>
        </w:rPr>
        <w:t xml:space="preserve">* </w:t>
      </w:r>
      <w:r>
        <w:rPr>
          <w:rFonts w:cs="FrankRuehl" w:hint="cs"/>
          <w:rtl/>
        </w:rPr>
        <w:t>מי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>ם 29 לחודש רנ"ב שנת 1327 (190</w:t>
      </w:r>
      <w:r>
        <w:rPr>
          <w:rFonts w:cs="FrankRuehl"/>
          <w:rtl/>
        </w:rPr>
        <w:t>9).</w:t>
      </w:r>
    </w:p>
    <w:p w14:paraId="155B9DDB" w14:textId="77777777" w:rsidR="000E0F1F" w:rsidRPr="00990053" w:rsidRDefault="000E0F1F" w:rsidP="000E0F1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תוקן </w:t>
      </w:r>
      <w:hyperlink r:id="rId1" w:history="1">
        <w:r>
          <w:rPr>
            <w:rStyle w:val="Hyperlink"/>
            <w:rFonts w:cs="FrankRuehl" w:hint="cs"/>
            <w:rtl/>
          </w:rPr>
          <w:t>ס"ח תשכ"ב מס' 380</w:t>
        </w:r>
      </w:hyperlink>
      <w:r>
        <w:rPr>
          <w:rFonts w:cs="FrankRuehl" w:hint="cs"/>
          <w:rtl/>
        </w:rPr>
        <w:t xml:space="preserve"> מיום 17.8.1962 עמ' 127 (</w:t>
      </w:r>
      <w:hyperlink r:id="rId2" w:history="1">
        <w:r>
          <w:rPr>
            <w:rStyle w:val="Hyperlink"/>
            <w:rFonts w:cs="FrankRuehl" w:hint="cs"/>
            <w:rtl/>
          </w:rPr>
          <w:t>ה"ח תש</w:t>
        </w:r>
        <w:r>
          <w:rPr>
            <w:rStyle w:val="Hyperlink"/>
            <w:rFonts w:cs="FrankRuehl" w:hint="cs"/>
            <w:rtl/>
          </w:rPr>
          <w:t>כ</w:t>
        </w:r>
        <w:r>
          <w:rPr>
            <w:rStyle w:val="Hyperlink"/>
            <w:rFonts w:cs="FrankRuehl" w:hint="cs"/>
            <w:rtl/>
          </w:rPr>
          <w:t>"א מס' 456</w:t>
        </w:r>
      </w:hyperlink>
      <w:r>
        <w:rPr>
          <w:rFonts w:cs="FrankRuehl" w:hint="cs"/>
          <w:rtl/>
        </w:rPr>
        <w:t xml:space="preserve"> עמ' 170)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 בסעיף 82(4) לחוק הכשרות המשפטית וה</w:t>
      </w:r>
      <w:r>
        <w:rPr>
          <w:rFonts w:cs="FrankRuehl"/>
          <w:rtl/>
        </w:rPr>
        <w:t>א</w:t>
      </w:r>
      <w:r>
        <w:rPr>
          <w:rFonts w:cs="FrankRuehl" w:hint="cs"/>
          <w:rtl/>
        </w:rPr>
        <w:t>פ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>טרופסות, תשכ"ב-1962.</w:t>
      </w:r>
    </w:p>
  </w:footnote>
  <w:footnote w:id="2">
    <w:p w14:paraId="76C38976" w14:textId="77777777" w:rsidR="008B76C8" w:rsidRPr="00B0697A" w:rsidRDefault="008B76C8" w:rsidP="008B76C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/>
        </w:rPr>
      </w:pPr>
      <w:r>
        <w:rPr>
          <w:rStyle w:val="a6"/>
        </w:rPr>
        <w:footnoteRef/>
      </w:r>
      <w:r w:rsidRPr="008B76C8">
        <w:rPr>
          <w:rFonts w:ascii="FrankRuehl" w:hAnsi="FrankRuehl" w:cs="FrankRuehl"/>
          <w:rtl/>
        </w:rPr>
        <w:t xml:space="preserve"> סמכויות שר הפנים הועברו לשרת </w:t>
      </w:r>
      <w:r w:rsidRPr="008B76C8">
        <w:rPr>
          <w:rFonts w:cs="FrankRuehl"/>
          <w:rtl/>
        </w:rPr>
        <w:t>המשפטים</w:t>
      </w:r>
      <w:r w:rsidRPr="008B76C8">
        <w:rPr>
          <w:rFonts w:ascii="FrankRuehl" w:hAnsi="FrankRuehl" w:cs="FrankRuehl"/>
          <w:rtl/>
        </w:rPr>
        <w:t xml:space="preserve">: </w:t>
      </w:r>
      <w:hyperlink r:id="rId3" w:history="1">
        <w:r w:rsidRPr="008B76C8">
          <w:rPr>
            <w:rStyle w:val="Hyperlink"/>
            <w:rFonts w:ascii="FrankRuehl" w:hAnsi="FrankRuehl" w:cs="FrankRuehl" w:hint="cs"/>
            <w:rtl/>
          </w:rPr>
          <w:t>י"פ תשע"ח מס' 7767</w:t>
        </w:r>
      </w:hyperlink>
      <w:r w:rsidRPr="008B76C8">
        <w:rPr>
          <w:rFonts w:ascii="FrankRuehl" w:hAnsi="FrankRuehl" w:cs="FrankRuehl"/>
          <w:rtl/>
        </w:rPr>
        <w:t xml:space="preserve"> מיום 17.4.2018 עמ' 7026.</w:t>
      </w:r>
      <w:r w:rsidR="0033507F">
        <w:rPr>
          <w:rFonts w:ascii="FrankRuehl" w:hAnsi="FrankRuehl" w:cs="FrankRuehl" w:hint="cs"/>
          <w:rtl/>
        </w:rPr>
        <w:t xml:space="preserve"> סמכויות הממשלה </w:t>
      </w:r>
      <w:r w:rsidR="009811F1">
        <w:rPr>
          <w:rFonts w:ascii="FrankRuehl" w:hAnsi="FrankRuehl" w:cs="FrankRuehl" w:hint="cs"/>
          <w:rtl/>
        </w:rPr>
        <w:t xml:space="preserve">האצילה את סמכויותיה לשרת המשפטים: </w:t>
      </w:r>
      <w:hyperlink r:id="rId4" w:history="1">
        <w:r w:rsidR="009811F1" w:rsidRPr="009811F1">
          <w:rPr>
            <w:rStyle w:val="Hyperlink"/>
            <w:rFonts w:ascii="FrankRuehl" w:hAnsi="FrankRuehl" w:cs="FrankRuehl" w:hint="cs"/>
            <w:rtl/>
          </w:rPr>
          <w:t>י"פ תשע"ח מס' 7797</w:t>
        </w:r>
      </w:hyperlink>
      <w:r w:rsidR="009811F1">
        <w:rPr>
          <w:rFonts w:ascii="FrankRuehl" w:hAnsi="FrankRuehl" w:cs="FrankRuehl" w:hint="cs"/>
          <w:rtl/>
        </w:rPr>
        <w:t xml:space="preserve"> מיום 13.5.2018 עמ' 7646.</w:t>
      </w:r>
      <w:r w:rsidR="00B0697A">
        <w:rPr>
          <w:rFonts w:ascii="FrankRuehl" w:hAnsi="FrankRuehl" w:cs="FrankRuehl" w:hint="cs"/>
          <w:rtl/>
        </w:rPr>
        <w:t xml:space="preserve"> סמכויות שרת המשפטים הואצלו לרשם העמותות: </w:t>
      </w:r>
      <w:hyperlink r:id="rId5" w:history="1">
        <w:r w:rsidR="00B0697A" w:rsidRPr="00B0697A">
          <w:rPr>
            <w:rStyle w:val="Hyperlink"/>
            <w:rFonts w:ascii="FrankRuehl" w:hAnsi="FrankRuehl" w:cs="FrankRuehl" w:hint="cs"/>
            <w:rtl/>
          </w:rPr>
          <w:t>י"פ תשע"ח מס' 7794</w:t>
        </w:r>
      </w:hyperlink>
      <w:r w:rsidR="00B0697A">
        <w:rPr>
          <w:rFonts w:ascii="FrankRuehl" w:hAnsi="FrankRuehl" w:cs="FrankRuehl" w:hint="cs"/>
          <w:rtl/>
        </w:rPr>
        <w:t xml:space="preserve"> מיום 9.5.2018 עמ' 7606.</w:t>
      </w:r>
    </w:p>
  </w:footnote>
  <w:footnote w:id="3">
    <w:p w14:paraId="467D68D5" w14:textId="77777777" w:rsidR="000E0F1F" w:rsidRDefault="000E0F1F" w:rsidP="000E0F1F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0E0F1F">
        <w:rPr>
          <w:sz w:val="22"/>
          <w:szCs w:val="22"/>
          <w:rtl/>
        </w:rPr>
        <w:t xml:space="preserve"> </w:t>
      </w:r>
      <w:r w:rsidRPr="000E0F1F">
        <w:rPr>
          <w:rFonts w:cs="FrankRuehl" w:hint="cs"/>
          <w:sz w:val="22"/>
          <w:szCs w:val="22"/>
          <w:rtl/>
        </w:rPr>
        <w:t>לפ</w:t>
      </w:r>
      <w:r w:rsidRPr="000E0F1F">
        <w:rPr>
          <w:rFonts w:cs="FrankRuehl"/>
          <w:sz w:val="22"/>
          <w:szCs w:val="22"/>
          <w:rtl/>
        </w:rPr>
        <w:t>י</w:t>
      </w:r>
      <w:r w:rsidRPr="000E0F1F">
        <w:rPr>
          <w:rFonts w:cs="FrankRuehl" w:hint="cs"/>
          <w:sz w:val="22"/>
          <w:szCs w:val="22"/>
          <w:rtl/>
        </w:rPr>
        <w:t xml:space="preserve"> הנוסח המקורי: "לוזירות הפנים".</w:t>
      </w:r>
    </w:p>
  </w:footnote>
  <w:footnote w:id="4">
    <w:p w14:paraId="542B7BAF" w14:textId="77777777" w:rsidR="000E0F1F" w:rsidRDefault="000E0F1F" w:rsidP="000E0F1F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0E0F1F">
        <w:rPr>
          <w:sz w:val="22"/>
          <w:szCs w:val="22"/>
          <w:rtl/>
        </w:rPr>
        <w:t xml:space="preserve"> </w:t>
      </w:r>
      <w:r w:rsidRPr="000E0F1F">
        <w:rPr>
          <w:rFonts w:cs="FrankRuehl" w:hint="cs"/>
          <w:sz w:val="22"/>
          <w:szCs w:val="22"/>
          <w:rtl/>
        </w:rPr>
        <w:t>לפ</w:t>
      </w:r>
      <w:r w:rsidRPr="000E0F1F">
        <w:rPr>
          <w:rFonts w:cs="FrankRuehl"/>
          <w:sz w:val="22"/>
          <w:szCs w:val="22"/>
          <w:rtl/>
        </w:rPr>
        <w:t>י</w:t>
      </w:r>
      <w:r w:rsidRPr="000E0F1F">
        <w:rPr>
          <w:rFonts w:cs="FrankRuehl" w:hint="cs"/>
          <w:sz w:val="22"/>
          <w:szCs w:val="22"/>
          <w:rtl/>
        </w:rPr>
        <w:t xml:space="preserve"> הנוסח המקורי: "לממשלה".</w:t>
      </w:r>
    </w:p>
  </w:footnote>
  <w:footnote w:id="5">
    <w:p w14:paraId="2334CD48" w14:textId="77777777" w:rsidR="000E0F1F" w:rsidRDefault="000E0F1F" w:rsidP="000E0F1F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 w:rsidRPr="000E0F1F">
        <w:rPr>
          <w:sz w:val="22"/>
          <w:szCs w:val="22"/>
          <w:rtl/>
        </w:rPr>
        <w:t xml:space="preserve"> </w:t>
      </w:r>
      <w:r w:rsidRPr="000E0F1F">
        <w:rPr>
          <w:rFonts w:cs="FrankRuehl" w:hint="cs"/>
          <w:sz w:val="22"/>
          <w:szCs w:val="22"/>
          <w:rtl/>
        </w:rPr>
        <w:t>לפ</w:t>
      </w:r>
      <w:r w:rsidRPr="000E0F1F">
        <w:rPr>
          <w:rFonts w:cs="FrankRuehl"/>
          <w:sz w:val="22"/>
          <w:szCs w:val="22"/>
          <w:rtl/>
        </w:rPr>
        <w:t>י</w:t>
      </w:r>
      <w:r w:rsidRPr="000E0F1F">
        <w:rPr>
          <w:rFonts w:cs="FrankRuehl" w:hint="cs"/>
          <w:sz w:val="22"/>
          <w:szCs w:val="22"/>
          <w:rtl/>
        </w:rPr>
        <w:t xml:space="preserve"> הנוסח המקורי: "חוק העונשים העותומני".</w:t>
      </w:r>
    </w:p>
  </w:footnote>
  <w:footnote w:id="6">
    <w:p w14:paraId="3BB3FB6E" w14:textId="77777777" w:rsidR="000E0F1F" w:rsidRDefault="000E0F1F" w:rsidP="000E0F1F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0E0F1F">
        <w:rPr>
          <w:sz w:val="22"/>
          <w:szCs w:val="22"/>
          <w:rtl/>
        </w:rPr>
        <w:t xml:space="preserve"> </w:t>
      </w:r>
      <w:r w:rsidRPr="000E0F1F">
        <w:rPr>
          <w:rFonts w:cs="FrankRuehl" w:hint="cs"/>
          <w:sz w:val="22"/>
          <w:szCs w:val="22"/>
          <w:rtl/>
        </w:rPr>
        <w:t>לפ</w:t>
      </w:r>
      <w:r w:rsidRPr="000E0F1F">
        <w:rPr>
          <w:rFonts w:cs="FrankRuehl"/>
          <w:sz w:val="22"/>
          <w:szCs w:val="22"/>
          <w:rtl/>
        </w:rPr>
        <w:t>י</w:t>
      </w:r>
      <w:r w:rsidRPr="000E0F1F">
        <w:rPr>
          <w:rFonts w:cs="FrankRuehl" w:hint="cs"/>
          <w:sz w:val="22"/>
          <w:szCs w:val="22"/>
          <w:rtl/>
        </w:rPr>
        <w:t xml:space="preserve"> הנוסח המקורי: "בחוק".</w:t>
      </w:r>
    </w:p>
  </w:footnote>
  <w:footnote w:id="7">
    <w:p w14:paraId="02C16E40" w14:textId="77777777" w:rsidR="000E0F1F" w:rsidRDefault="000E0F1F" w:rsidP="000E0F1F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0E0F1F">
        <w:rPr>
          <w:sz w:val="22"/>
          <w:szCs w:val="22"/>
          <w:rtl/>
        </w:rPr>
        <w:t xml:space="preserve"> </w:t>
      </w:r>
      <w:r w:rsidRPr="000E0F1F">
        <w:rPr>
          <w:rFonts w:cs="FrankRuehl" w:hint="cs"/>
          <w:sz w:val="22"/>
          <w:szCs w:val="22"/>
          <w:rtl/>
        </w:rPr>
        <w:t>לפ</w:t>
      </w:r>
      <w:r w:rsidRPr="000E0F1F">
        <w:rPr>
          <w:rFonts w:cs="FrankRuehl"/>
          <w:sz w:val="22"/>
          <w:szCs w:val="22"/>
          <w:rtl/>
        </w:rPr>
        <w:t>י</w:t>
      </w:r>
      <w:r w:rsidRPr="000E0F1F">
        <w:rPr>
          <w:rFonts w:cs="FrankRuehl" w:hint="cs"/>
          <w:sz w:val="22"/>
          <w:szCs w:val="22"/>
          <w:rtl/>
        </w:rPr>
        <w:t xml:space="preserve"> הנוסח המקורי: "הממשלה על פי החלטת מועצת המדינה".</w:t>
      </w:r>
    </w:p>
  </w:footnote>
  <w:footnote w:id="8">
    <w:p w14:paraId="51AF4512" w14:textId="77777777" w:rsidR="000E0F1F" w:rsidRDefault="000E0F1F" w:rsidP="000E0F1F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 w:rsidRPr="000E0F1F">
        <w:rPr>
          <w:sz w:val="22"/>
          <w:szCs w:val="22"/>
          <w:rtl/>
        </w:rPr>
        <w:t xml:space="preserve"> </w:t>
      </w:r>
      <w:r w:rsidRPr="000E0F1F">
        <w:rPr>
          <w:rFonts w:cs="FrankRuehl" w:hint="cs"/>
          <w:sz w:val="22"/>
          <w:szCs w:val="22"/>
          <w:rtl/>
        </w:rPr>
        <w:t>לפ</w:t>
      </w:r>
      <w:r w:rsidRPr="000E0F1F">
        <w:rPr>
          <w:rFonts w:cs="FrankRuehl"/>
          <w:sz w:val="22"/>
          <w:szCs w:val="22"/>
          <w:rtl/>
        </w:rPr>
        <w:t>י</w:t>
      </w:r>
      <w:r w:rsidRPr="000E0F1F">
        <w:rPr>
          <w:rFonts w:cs="FrankRuehl" w:hint="cs"/>
          <w:sz w:val="22"/>
          <w:szCs w:val="22"/>
          <w:rtl/>
        </w:rPr>
        <w:t xml:space="preserve"> הנוסח המקורי: "מאת הפקיד האזרחי הגבוה ביותר, או מאת </w:t>
      </w:r>
      <w:r w:rsidRPr="000E0F1F">
        <w:rPr>
          <w:rFonts w:cs="FrankRuehl"/>
          <w:sz w:val="22"/>
          <w:szCs w:val="22"/>
          <w:rtl/>
        </w:rPr>
        <w:t>ב</w:t>
      </w:r>
      <w:r w:rsidRPr="000E0F1F">
        <w:rPr>
          <w:rFonts w:cs="FrankRuehl" w:hint="cs"/>
          <w:sz w:val="22"/>
          <w:szCs w:val="22"/>
          <w:rtl/>
        </w:rPr>
        <w:t>א-כ</w:t>
      </w:r>
      <w:r w:rsidRPr="000E0F1F">
        <w:rPr>
          <w:rFonts w:cs="FrankRuehl"/>
          <w:sz w:val="22"/>
          <w:szCs w:val="22"/>
          <w:rtl/>
        </w:rPr>
        <w:t>ו</w:t>
      </w:r>
      <w:r w:rsidRPr="000E0F1F">
        <w:rPr>
          <w:rFonts w:cs="FrankRuehl" w:hint="cs"/>
          <w:sz w:val="22"/>
          <w:szCs w:val="22"/>
          <w:rtl/>
        </w:rPr>
        <w:t>ח</w:t>
      </w:r>
      <w:r w:rsidRPr="000E0F1F">
        <w:rPr>
          <w:rFonts w:cs="FrankRuehl"/>
          <w:sz w:val="22"/>
          <w:szCs w:val="22"/>
          <w:rtl/>
        </w:rPr>
        <w:t>ו</w:t>
      </w:r>
      <w:r w:rsidRPr="000E0F1F">
        <w:rPr>
          <w:rFonts w:cs="FrankRuehl" w:hint="cs"/>
          <w:sz w:val="22"/>
          <w:szCs w:val="22"/>
          <w:rtl/>
        </w:rPr>
        <w:t>".</w:t>
      </w:r>
    </w:p>
  </w:footnote>
  <w:footnote w:id="9">
    <w:p w14:paraId="4BF9A9BE" w14:textId="77777777" w:rsidR="000E0F1F" w:rsidRDefault="000E0F1F" w:rsidP="000E0F1F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0E0F1F">
        <w:rPr>
          <w:sz w:val="22"/>
          <w:szCs w:val="22"/>
          <w:rtl/>
        </w:rPr>
        <w:t xml:space="preserve"> </w:t>
      </w:r>
      <w:r w:rsidRPr="000E0F1F">
        <w:rPr>
          <w:rFonts w:cs="FrankRuehl" w:hint="cs"/>
          <w:sz w:val="22"/>
          <w:szCs w:val="22"/>
          <w:rtl/>
        </w:rPr>
        <w:t>לפ</w:t>
      </w:r>
      <w:r w:rsidRPr="000E0F1F">
        <w:rPr>
          <w:rFonts w:cs="FrankRuehl"/>
          <w:sz w:val="22"/>
          <w:szCs w:val="22"/>
          <w:rtl/>
        </w:rPr>
        <w:t>י</w:t>
      </w:r>
      <w:r w:rsidRPr="000E0F1F">
        <w:rPr>
          <w:rFonts w:cs="FrankRuehl" w:hint="cs"/>
          <w:sz w:val="22"/>
          <w:szCs w:val="22"/>
          <w:rtl/>
        </w:rPr>
        <w:t xml:space="preserve"> נוסח המקורי: "וזירי".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DC60" w14:textId="77777777" w:rsidR="00A035C3" w:rsidRDefault="00A035C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החוק העותומני על האגודות</w:t>
    </w:r>
  </w:p>
  <w:p w14:paraId="69470353" w14:textId="77777777" w:rsidR="00A035C3" w:rsidRDefault="00A035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45766AF" w14:textId="77777777" w:rsidR="00A035C3" w:rsidRDefault="00A035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4A9FF" w14:textId="77777777" w:rsidR="00A035C3" w:rsidRDefault="00A035C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החוק העותומני על האגודות</w:t>
    </w:r>
  </w:p>
  <w:p w14:paraId="63AA5FF8" w14:textId="77777777" w:rsidR="00A035C3" w:rsidRDefault="00A035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A30A01C" w14:textId="77777777" w:rsidR="00A035C3" w:rsidRDefault="00A035C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doNotHyphenateCaps/>
  <w:drawingGridHorizontalSpacing w:val="165"/>
  <w:drawingGridVerticalSpacing w:val="299"/>
  <w:displayHorizontalDrawingGridEvery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1DBC"/>
    <w:rsid w:val="00030250"/>
    <w:rsid w:val="000E0F1F"/>
    <w:rsid w:val="00203DED"/>
    <w:rsid w:val="00235E7A"/>
    <w:rsid w:val="002A77A5"/>
    <w:rsid w:val="003149F5"/>
    <w:rsid w:val="0033507F"/>
    <w:rsid w:val="00536A32"/>
    <w:rsid w:val="00572CE4"/>
    <w:rsid w:val="005E10EA"/>
    <w:rsid w:val="006527E2"/>
    <w:rsid w:val="006555F9"/>
    <w:rsid w:val="008B76C8"/>
    <w:rsid w:val="008F6BB0"/>
    <w:rsid w:val="00923290"/>
    <w:rsid w:val="009811F1"/>
    <w:rsid w:val="00990053"/>
    <w:rsid w:val="00A035C3"/>
    <w:rsid w:val="00A141D0"/>
    <w:rsid w:val="00A23F6E"/>
    <w:rsid w:val="00A4795B"/>
    <w:rsid w:val="00A867CB"/>
    <w:rsid w:val="00B0697A"/>
    <w:rsid w:val="00B639E5"/>
    <w:rsid w:val="00CD5A87"/>
    <w:rsid w:val="00DF1DBC"/>
    <w:rsid w:val="00E846F7"/>
    <w:rsid w:val="00EB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D7C2C5B"/>
  <w15:chartTrackingRefBased/>
  <w15:docId w15:val="{692042D7-65A8-4D28-B0AB-AFB8C0BB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990053"/>
    <w:rPr>
      <w:sz w:val="20"/>
      <w:szCs w:val="20"/>
    </w:rPr>
  </w:style>
  <w:style w:type="character" w:styleId="a6">
    <w:name w:val="footnote reference"/>
    <w:semiHidden/>
    <w:rsid w:val="00990053"/>
    <w:rPr>
      <w:vertAlign w:val="superscript"/>
    </w:rPr>
  </w:style>
  <w:style w:type="character" w:styleId="a7">
    <w:name w:val="Unresolved Mention"/>
    <w:uiPriority w:val="99"/>
    <w:semiHidden/>
    <w:unhideWhenUsed/>
    <w:rsid w:val="008B76C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7/PROP-0456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14/LAW-0380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767.pdf" TargetMode="External"/><Relationship Id="rId2" Type="http://schemas.openxmlformats.org/officeDocument/2006/relationships/hyperlink" Target="http://www.nevo.co.il/Law_word/law17/PROP-0456.pdf" TargetMode="External"/><Relationship Id="rId1" Type="http://schemas.openxmlformats.org/officeDocument/2006/relationships/hyperlink" Target="http://www.nevo.co.il/Law_word/law14/LAW-0380.pdf" TargetMode="External"/><Relationship Id="rId5" Type="http://schemas.openxmlformats.org/officeDocument/2006/relationships/hyperlink" Target="http://www.nevo.co.il/Law_word/law10/yalkut-7794.pdf" TargetMode="External"/><Relationship Id="rId4" Type="http://schemas.openxmlformats.org/officeDocument/2006/relationships/hyperlink" Target="http://www.nevo.co.il/Law_word/law10/yalkut-779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A0909-EC49-4DE8-81D8-58AA7B10D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</vt:lpstr>
    </vt:vector>
  </TitlesOfParts>
  <Company/>
  <LinksUpToDate>false</LinksUpToDate>
  <CharactersWithSpaces>5379</CharactersWithSpaces>
  <SharedDoc>false</SharedDoc>
  <HLinks>
    <vt:vector size="42" baseType="variant"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http://www.nevo.co.il/Law_word/law17/PROP-0456.pdf</vt:lpwstr>
      </vt:variant>
      <vt:variant>
        <vt:lpwstr/>
      </vt:variant>
      <vt:variant>
        <vt:i4>7798794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http://www.nevo.co.il/Law_word/law14/LAW-0380.pdf</vt:lpwstr>
      </vt:variant>
      <vt:variant>
        <vt:lpwstr/>
      </vt:variant>
      <vt:variant>
        <vt:i4>7471119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http://www.nevo.co.il/Law_word/law10/yalkut-7794.pdf</vt:lpwstr>
      </vt:variant>
      <vt:variant>
        <vt:lpwstr/>
      </vt:variant>
      <vt:variant>
        <vt:i4>7405583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http://www.nevo.co.il/Law_word/law10/yalkut-7797.pdf</vt:lpwstr>
      </vt:variant>
      <vt:variant>
        <vt:lpwstr/>
      </vt:variant>
      <vt:variant>
        <vt:i4>7864328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http://www.nevo.co.il/Law_word/law06/tak-7767.pdf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http://www.nevo.co.il/Law_word/law17/PROP-0456.pdf</vt:lpwstr>
      </vt:variant>
      <vt:variant>
        <vt:lpwstr/>
      </vt:variant>
      <vt:variant>
        <vt:i4>7798794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http://www.nevo.co.il/Law_word/law14/LAW-0380.pdf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</dc:title>
  <dc:subject/>
  <dc:creator>אורי אילן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0001</vt:lpwstr>
  </property>
  <property fmtid="{D5CDD505-2E9C-101B-9397-08002B2CF9AE}" pid="3" name="CHNAME">
    <vt:lpwstr>אגודות</vt:lpwstr>
  </property>
  <property fmtid="{D5CDD505-2E9C-101B-9397-08002B2CF9AE}" pid="4" name="LAWNAME">
    <vt:lpwstr>החוק העותומני על האגודות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תאגידים וניירות ערך</vt:lpwstr>
  </property>
  <property fmtid="{D5CDD505-2E9C-101B-9397-08002B2CF9AE}" pid="9" name="NOSE31">
    <vt:lpwstr>אגודות שיתופיות</vt:lpwstr>
  </property>
  <property fmtid="{D5CDD505-2E9C-101B-9397-08002B2CF9AE}" pid="10" name="NOSE41">
    <vt:lpwstr/>
  </property>
  <property fmtid="{D5CDD505-2E9C-101B-9397-08002B2CF9AE}" pid="11" name="NOSE12">
    <vt:lpwstr>דיני חוקה </vt:lpwstr>
  </property>
  <property fmtid="{D5CDD505-2E9C-101B-9397-08002B2CF9AE}" pid="12" name="NOSE22">
    <vt:lpwstr>פרשנות ויסודות המשפט</vt:lpwstr>
  </property>
  <property fmtid="{D5CDD505-2E9C-101B-9397-08002B2CF9AE}" pid="13" name="NOSE32">
    <vt:lpwstr>החוק העותומני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