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7F33" w14:textId="77777777" w:rsidR="0056310F" w:rsidRDefault="0056310F" w:rsidP="00566434">
      <w:pPr>
        <w:pStyle w:val="big-header"/>
        <w:ind w:left="0" w:right="1134"/>
        <w:rPr>
          <w:rFonts w:cs="FrankRuehl" w:hint="cs"/>
          <w:sz w:val="32"/>
          <w:rtl/>
        </w:rPr>
      </w:pPr>
      <w:r>
        <w:rPr>
          <w:rFonts w:cs="FrankRuehl"/>
          <w:sz w:val="32"/>
          <w:rtl/>
        </w:rPr>
        <w:t>הנחיות המפלגות (מורשה חתימה), תשנ"ה</w:t>
      </w:r>
      <w:r w:rsidR="00566434">
        <w:rPr>
          <w:rFonts w:cs="FrankRuehl" w:hint="cs"/>
          <w:sz w:val="32"/>
          <w:rtl/>
        </w:rPr>
        <w:t>-</w:t>
      </w:r>
      <w:r>
        <w:rPr>
          <w:rFonts w:cs="FrankRuehl"/>
          <w:sz w:val="32"/>
          <w:rtl/>
        </w:rPr>
        <w:t>1994</w:t>
      </w:r>
    </w:p>
    <w:p w14:paraId="2C3BB84C" w14:textId="77777777" w:rsidR="00E06CB4" w:rsidRPr="00E06CB4" w:rsidRDefault="00E06CB4" w:rsidP="00E06CB4">
      <w:pPr>
        <w:spacing w:line="320" w:lineRule="auto"/>
        <w:jc w:val="left"/>
        <w:rPr>
          <w:rFonts w:cs="FrankRuehl"/>
          <w:szCs w:val="26"/>
          <w:rtl/>
        </w:rPr>
      </w:pPr>
    </w:p>
    <w:p w14:paraId="0A19FD53" w14:textId="77777777" w:rsidR="00E06CB4" w:rsidRPr="00E06CB4" w:rsidRDefault="00E06CB4" w:rsidP="00E06CB4">
      <w:pPr>
        <w:spacing w:line="320" w:lineRule="auto"/>
        <w:jc w:val="left"/>
        <w:rPr>
          <w:rFonts w:cs="Miriam" w:hint="cs"/>
          <w:szCs w:val="22"/>
          <w:rtl/>
        </w:rPr>
      </w:pPr>
      <w:r w:rsidRPr="00E06CB4">
        <w:rPr>
          <w:rFonts w:cs="Miriam"/>
          <w:szCs w:val="22"/>
          <w:rtl/>
        </w:rPr>
        <w:t xml:space="preserve">דיני חוקה </w:t>
      </w:r>
      <w:r w:rsidRPr="00E06CB4">
        <w:rPr>
          <w:rFonts w:cs="FrankRuehl"/>
          <w:szCs w:val="26"/>
          <w:rtl/>
        </w:rPr>
        <w:t xml:space="preserve"> – כנסת – מפלגות – מימון</w:t>
      </w:r>
    </w:p>
    <w:p w14:paraId="22181818" w14:textId="77777777" w:rsidR="0056310F" w:rsidRDefault="0056310F">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6310F" w14:paraId="5271DEBD" w14:textId="77777777">
        <w:tblPrEx>
          <w:tblCellMar>
            <w:top w:w="0" w:type="dxa"/>
            <w:bottom w:w="0" w:type="dxa"/>
          </w:tblCellMar>
        </w:tblPrEx>
        <w:tc>
          <w:tcPr>
            <w:tcW w:w="850" w:type="dxa"/>
          </w:tcPr>
          <w:p w14:paraId="11611A60" w14:textId="77777777" w:rsidR="0056310F" w:rsidRDefault="0056310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66434">
              <w:rPr>
                <w:noProof/>
                <w:sz w:val="24"/>
                <w:rtl/>
              </w:rPr>
              <w:t>2</w:t>
            </w:r>
            <w:r>
              <w:rPr>
                <w:sz w:val="24"/>
                <w:rtl/>
              </w:rPr>
              <w:fldChar w:fldCharType="end"/>
            </w:r>
          </w:p>
        </w:tc>
        <w:tc>
          <w:tcPr>
            <w:tcW w:w="567" w:type="dxa"/>
          </w:tcPr>
          <w:p w14:paraId="553D9D8E" w14:textId="77777777" w:rsidR="0056310F" w:rsidRDefault="0056310F">
            <w:pPr>
              <w:spacing w:line="240" w:lineRule="auto"/>
              <w:rPr>
                <w:sz w:val="24"/>
              </w:rPr>
            </w:pPr>
            <w:hyperlink w:anchor="Seif0" w:tooltip="הגדרות" w:history="1">
              <w:r>
                <w:rPr>
                  <w:rStyle w:val="Hyperlink"/>
                </w:rPr>
                <w:t>Go</w:t>
              </w:r>
            </w:hyperlink>
          </w:p>
        </w:tc>
        <w:tc>
          <w:tcPr>
            <w:tcW w:w="5669" w:type="dxa"/>
          </w:tcPr>
          <w:p w14:paraId="37D231C5" w14:textId="77777777" w:rsidR="0056310F" w:rsidRDefault="0056310F">
            <w:pPr>
              <w:spacing w:line="240" w:lineRule="auto"/>
              <w:rPr>
                <w:sz w:val="24"/>
                <w:rtl/>
              </w:rPr>
            </w:pPr>
            <w:r>
              <w:rPr>
                <w:sz w:val="24"/>
                <w:rtl/>
              </w:rPr>
              <w:t>הגדרות</w:t>
            </w:r>
          </w:p>
        </w:tc>
        <w:tc>
          <w:tcPr>
            <w:tcW w:w="1247" w:type="dxa"/>
          </w:tcPr>
          <w:p w14:paraId="15CC1C99" w14:textId="77777777" w:rsidR="0056310F" w:rsidRDefault="0056310F">
            <w:pPr>
              <w:spacing w:line="240" w:lineRule="auto"/>
              <w:rPr>
                <w:sz w:val="24"/>
              </w:rPr>
            </w:pPr>
            <w:r>
              <w:rPr>
                <w:sz w:val="24"/>
                <w:rtl/>
              </w:rPr>
              <w:t xml:space="preserve">סעיף 1 </w:t>
            </w:r>
          </w:p>
        </w:tc>
      </w:tr>
      <w:tr w:rsidR="0056310F" w14:paraId="1F0BE7B4" w14:textId="77777777">
        <w:tblPrEx>
          <w:tblCellMar>
            <w:top w:w="0" w:type="dxa"/>
            <w:bottom w:w="0" w:type="dxa"/>
          </w:tblCellMar>
        </w:tblPrEx>
        <w:tc>
          <w:tcPr>
            <w:tcW w:w="850" w:type="dxa"/>
          </w:tcPr>
          <w:p w14:paraId="757AEB99" w14:textId="77777777" w:rsidR="0056310F" w:rsidRDefault="0056310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66434">
              <w:rPr>
                <w:noProof/>
                <w:sz w:val="24"/>
                <w:rtl/>
              </w:rPr>
              <w:t>2</w:t>
            </w:r>
            <w:r>
              <w:rPr>
                <w:sz w:val="24"/>
                <w:rtl/>
              </w:rPr>
              <w:fldChar w:fldCharType="end"/>
            </w:r>
          </w:p>
        </w:tc>
        <w:tc>
          <w:tcPr>
            <w:tcW w:w="567" w:type="dxa"/>
          </w:tcPr>
          <w:p w14:paraId="07AD3EDA" w14:textId="77777777" w:rsidR="0056310F" w:rsidRDefault="0056310F">
            <w:pPr>
              <w:spacing w:line="240" w:lineRule="auto"/>
              <w:rPr>
                <w:sz w:val="24"/>
              </w:rPr>
            </w:pPr>
            <w:hyperlink w:anchor="Seif1" w:tooltip="פרסום מורשה  חתימה" w:history="1">
              <w:r>
                <w:rPr>
                  <w:rStyle w:val="Hyperlink"/>
                </w:rPr>
                <w:t>Go</w:t>
              </w:r>
            </w:hyperlink>
          </w:p>
        </w:tc>
        <w:tc>
          <w:tcPr>
            <w:tcW w:w="5669" w:type="dxa"/>
          </w:tcPr>
          <w:p w14:paraId="1C50E4D3" w14:textId="77777777" w:rsidR="0056310F" w:rsidRDefault="0056310F">
            <w:pPr>
              <w:spacing w:line="240" w:lineRule="auto"/>
              <w:rPr>
                <w:sz w:val="24"/>
                <w:rtl/>
              </w:rPr>
            </w:pPr>
            <w:r>
              <w:rPr>
                <w:sz w:val="24"/>
                <w:rtl/>
              </w:rPr>
              <w:t>פרסום מורשה  חתימה</w:t>
            </w:r>
          </w:p>
        </w:tc>
        <w:tc>
          <w:tcPr>
            <w:tcW w:w="1247" w:type="dxa"/>
          </w:tcPr>
          <w:p w14:paraId="66672BE5" w14:textId="77777777" w:rsidR="0056310F" w:rsidRDefault="0056310F">
            <w:pPr>
              <w:spacing w:line="240" w:lineRule="auto"/>
              <w:rPr>
                <w:sz w:val="24"/>
              </w:rPr>
            </w:pPr>
            <w:r>
              <w:rPr>
                <w:sz w:val="24"/>
                <w:rtl/>
              </w:rPr>
              <w:t xml:space="preserve">סעיף 2 </w:t>
            </w:r>
          </w:p>
        </w:tc>
      </w:tr>
      <w:tr w:rsidR="0056310F" w14:paraId="1B435D5D" w14:textId="77777777">
        <w:tblPrEx>
          <w:tblCellMar>
            <w:top w:w="0" w:type="dxa"/>
            <w:bottom w:w="0" w:type="dxa"/>
          </w:tblCellMar>
        </w:tblPrEx>
        <w:tc>
          <w:tcPr>
            <w:tcW w:w="850" w:type="dxa"/>
          </w:tcPr>
          <w:p w14:paraId="26C4B35E" w14:textId="77777777" w:rsidR="0056310F" w:rsidRDefault="0056310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566434">
              <w:rPr>
                <w:noProof/>
                <w:sz w:val="24"/>
                <w:rtl/>
              </w:rPr>
              <w:t>2</w:t>
            </w:r>
            <w:r>
              <w:rPr>
                <w:sz w:val="24"/>
                <w:rtl/>
              </w:rPr>
              <w:fldChar w:fldCharType="end"/>
            </w:r>
          </w:p>
        </w:tc>
        <w:tc>
          <w:tcPr>
            <w:tcW w:w="567" w:type="dxa"/>
          </w:tcPr>
          <w:p w14:paraId="6321E1DB" w14:textId="77777777" w:rsidR="0056310F" w:rsidRDefault="0056310F">
            <w:pPr>
              <w:spacing w:line="240" w:lineRule="auto"/>
              <w:rPr>
                <w:sz w:val="24"/>
              </w:rPr>
            </w:pPr>
            <w:hyperlink w:anchor="Seif2" w:tooltip="מועדים" w:history="1">
              <w:r>
                <w:rPr>
                  <w:rStyle w:val="Hyperlink"/>
                </w:rPr>
                <w:t>Go</w:t>
              </w:r>
            </w:hyperlink>
          </w:p>
        </w:tc>
        <w:tc>
          <w:tcPr>
            <w:tcW w:w="5669" w:type="dxa"/>
          </w:tcPr>
          <w:p w14:paraId="25E27E0E" w14:textId="77777777" w:rsidR="0056310F" w:rsidRDefault="0056310F">
            <w:pPr>
              <w:spacing w:line="240" w:lineRule="auto"/>
              <w:rPr>
                <w:sz w:val="24"/>
                <w:rtl/>
              </w:rPr>
            </w:pPr>
            <w:r>
              <w:rPr>
                <w:sz w:val="24"/>
                <w:rtl/>
              </w:rPr>
              <w:t>מועדים</w:t>
            </w:r>
          </w:p>
        </w:tc>
        <w:tc>
          <w:tcPr>
            <w:tcW w:w="1247" w:type="dxa"/>
          </w:tcPr>
          <w:p w14:paraId="7D0A9D59" w14:textId="77777777" w:rsidR="0056310F" w:rsidRDefault="0056310F">
            <w:pPr>
              <w:spacing w:line="240" w:lineRule="auto"/>
              <w:rPr>
                <w:sz w:val="24"/>
              </w:rPr>
            </w:pPr>
            <w:r>
              <w:rPr>
                <w:sz w:val="24"/>
                <w:rtl/>
              </w:rPr>
              <w:t xml:space="preserve">סעיף 3 </w:t>
            </w:r>
          </w:p>
        </w:tc>
      </w:tr>
      <w:tr w:rsidR="0056310F" w14:paraId="2A209596" w14:textId="77777777">
        <w:tblPrEx>
          <w:tblCellMar>
            <w:top w:w="0" w:type="dxa"/>
            <w:bottom w:w="0" w:type="dxa"/>
          </w:tblCellMar>
        </w:tblPrEx>
        <w:tc>
          <w:tcPr>
            <w:tcW w:w="850" w:type="dxa"/>
          </w:tcPr>
          <w:p w14:paraId="02618059" w14:textId="77777777" w:rsidR="0056310F" w:rsidRDefault="0056310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566434">
              <w:rPr>
                <w:noProof/>
                <w:sz w:val="24"/>
                <w:rtl/>
              </w:rPr>
              <w:t>2</w:t>
            </w:r>
            <w:r>
              <w:rPr>
                <w:sz w:val="24"/>
                <w:rtl/>
              </w:rPr>
              <w:fldChar w:fldCharType="end"/>
            </w:r>
          </w:p>
        </w:tc>
        <w:tc>
          <w:tcPr>
            <w:tcW w:w="567" w:type="dxa"/>
          </w:tcPr>
          <w:p w14:paraId="7185755A" w14:textId="77777777" w:rsidR="0056310F" w:rsidRDefault="0056310F">
            <w:pPr>
              <w:spacing w:line="240" w:lineRule="auto"/>
              <w:rPr>
                <w:sz w:val="24"/>
              </w:rPr>
            </w:pPr>
            <w:hyperlink w:anchor="Seif3" w:tooltip="המצאת הודעה" w:history="1">
              <w:r>
                <w:rPr>
                  <w:rStyle w:val="Hyperlink"/>
                </w:rPr>
                <w:t>Go</w:t>
              </w:r>
            </w:hyperlink>
          </w:p>
        </w:tc>
        <w:tc>
          <w:tcPr>
            <w:tcW w:w="5669" w:type="dxa"/>
          </w:tcPr>
          <w:p w14:paraId="27F3DF2E" w14:textId="77777777" w:rsidR="0056310F" w:rsidRDefault="0056310F">
            <w:pPr>
              <w:spacing w:line="240" w:lineRule="auto"/>
              <w:rPr>
                <w:sz w:val="24"/>
                <w:rtl/>
              </w:rPr>
            </w:pPr>
            <w:r>
              <w:rPr>
                <w:sz w:val="24"/>
                <w:rtl/>
              </w:rPr>
              <w:t>המצאת הודעה</w:t>
            </w:r>
          </w:p>
        </w:tc>
        <w:tc>
          <w:tcPr>
            <w:tcW w:w="1247" w:type="dxa"/>
          </w:tcPr>
          <w:p w14:paraId="51C5BE41" w14:textId="77777777" w:rsidR="0056310F" w:rsidRDefault="0056310F">
            <w:pPr>
              <w:spacing w:line="240" w:lineRule="auto"/>
              <w:rPr>
                <w:sz w:val="24"/>
              </w:rPr>
            </w:pPr>
            <w:r>
              <w:rPr>
                <w:sz w:val="24"/>
                <w:rtl/>
              </w:rPr>
              <w:t xml:space="preserve">סעיף 4 </w:t>
            </w:r>
          </w:p>
        </w:tc>
      </w:tr>
    </w:tbl>
    <w:p w14:paraId="3F176A64" w14:textId="77777777" w:rsidR="0056310F" w:rsidRDefault="0056310F">
      <w:pPr>
        <w:pStyle w:val="big-header"/>
        <w:ind w:left="0" w:right="1134"/>
        <w:rPr>
          <w:rFonts w:cs="FrankRuehl"/>
          <w:sz w:val="32"/>
          <w:rtl/>
        </w:rPr>
      </w:pPr>
    </w:p>
    <w:p w14:paraId="00596270" w14:textId="77777777" w:rsidR="0056310F" w:rsidRDefault="0056310F" w:rsidP="00566434">
      <w:pPr>
        <w:pStyle w:val="big-header"/>
        <w:ind w:left="0" w:right="1134"/>
        <w:rPr>
          <w:rStyle w:val="default"/>
          <w:rFonts w:cs="FrankRuehl" w:hint="cs"/>
          <w:rtl/>
        </w:rPr>
      </w:pPr>
      <w:r>
        <w:rPr>
          <w:rFonts w:cs="FrankRuehl"/>
          <w:sz w:val="32"/>
          <w:rtl/>
        </w:rPr>
        <w:br w:type="page"/>
      </w:r>
      <w:r>
        <w:rPr>
          <w:rFonts w:cs="FrankRuehl"/>
          <w:sz w:val="32"/>
          <w:rtl/>
        </w:rPr>
        <w:lastRenderedPageBreak/>
        <w:t>הנ</w:t>
      </w:r>
      <w:r>
        <w:rPr>
          <w:rFonts w:cs="FrankRuehl" w:hint="cs"/>
          <w:sz w:val="32"/>
          <w:rtl/>
        </w:rPr>
        <w:t>חיות המפלגות (מורשה חתימה), תשנ"ה</w:t>
      </w:r>
      <w:r w:rsidR="00566434">
        <w:rPr>
          <w:rFonts w:cs="FrankRuehl" w:hint="cs"/>
          <w:sz w:val="32"/>
          <w:rtl/>
        </w:rPr>
        <w:t>-</w:t>
      </w:r>
      <w:r>
        <w:rPr>
          <w:rFonts w:cs="FrankRuehl"/>
          <w:sz w:val="32"/>
          <w:rtl/>
        </w:rPr>
        <w:t>1994</w:t>
      </w:r>
      <w:r w:rsidR="00566434">
        <w:rPr>
          <w:rStyle w:val="a6"/>
          <w:rFonts w:cs="FrankRuehl"/>
          <w:sz w:val="32"/>
          <w:rtl/>
        </w:rPr>
        <w:footnoteReference w:customMarkFollows="1" w:id="1"/>
        <w:t>*</w:t>
      </w:r>
    </w:p>
    <w:p w14:paraId="00220994" w14:textId="77777777" w:rsidR="0056310F" w:rsidRDefault="0056310F" w:rsidP="0056643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24 לחוק המפלגות, תשנ"ב</w:t>
      </w:r>
      <w:r w:rsidR="00566434">
        <w:rPr>
          <w:rStyle w:val="default"/>
          <w:rFonts w:cs="FrankRuehl" w:hint="cs"/>
          <w:rtl/>
        </w:rPr>
        <w:t>-</w:t>
      </w:r>
      <w:r>
        <w:rPr>
          <w:rStyle w:val="default"/>
          <w:rFonts w:cs="FrankRuehl"/>
          <w:rtl/>
        </w:rPr>
        <w:t xml:space="preserve">1992, </w:t>
      </w:r>
      <w:r>
        <w:rPr>
          <w:rStyle w:val="default"/>
          <w:rFonts w:cs="FrankRuehl" w:hint="cs"/>
          <w:rtl/>
        </w:rPr>
        <w:t>ולפי סעיף 6א לחוק מימון מפלגות, תשל"ג</w:t>
      </w:r>
      <w:r w:rsidR="00566434">
        <w:rPr>
          <w:rStyle w:val="default"/>
          <w:rFonts w:cs="FrankRuehl" w:hint="cs"/>
          <w:rtl/>
        </w:rPr>
        <w:t>-</w:t>
      </w:r>
      <w:r>
        <w:rPr>
          <w:rStyle w:val="default"/>
          <w:rFonts w:cs="FrankRuehl"/>
          <w:rtl/>
        </w:rPr>
        <w:t>1973 (</w:t>
      </w:r>
      <w:r>
        <w:rPr>
          <w:rStyle w:val="default"/>
          <w:rFonts w:cs="FrankRuehl" w:hint="cs"/>
          <w:rtl/>
        </w:rPr>
        <w:t xml:space="preserve">להלן </w:t>
      </w:r>
      <w:r w:rsidR="00566434">
        <w:rPr>
          <w:rStyle w:val="default"/>
          <w:rFonts w:cs="FrankRuehl" w:hint="cs"/>
          <w:rtl/>
        </w:rPr>
        <w:t>-</w:t>
      </w:r>
      <w:r>
        <w:rPr>
          <w:rStyle w:val="default"/>
          <w:rFonts w:cs="FrankRuehl"/>
          <w:rtl/>
        </w:rPr>
        <w:t xml:space="preserve"> </w:t>
      </w:r>
      <w:r>
        <w:rPr>
          <w:rStyle w:val="default"/>
          <w:rFonts w:cs="FrankRuehl" w:hint="cs"/>
          <w:rtl/>
        </w:rPr>
        <w:t>חוק המימון), ושאר סמכויות המוקנות לי לפי חוק, אני קובעת הנחיות אלה:</w:t>
      </w:r>
    </w:p>
    <w:p w14:paraId="34D630A9" w14:textId="77777777" w:rsidR="0056310F" w:rsidRDefault="0056310F">
      <w:pPr>
        <w:pStyle w:val="P00"/>
        <w:spacing w:before="72"/>
        <w:ind w:left="0" w:right="1134"/>
        <w:rPr>
          <w:rStyle w:val="default"/>
          <w:rFonts w:cs="FrankRuehl" w:hint="cs"/>
          <w:rtl/>
        </w:rPr>
      </w:pPr>
      <w:bookmarkStart w:id="0" w:name="Seif0"/>
      <w:bookmarkEnd w:id="0"/>
      <w:r>
        <w:rPr>
          <w:lang w:val="he-IL"/>
        </w:rPr>
        <w:pict w14:anchorId="70770C7C">
          <v:rect id="_x0000_s1026" style="position:absolute;left:0;text-align:left;margin-left:464.5pt;margin-top:8.05pt;width:75.05pt;height:12.05pt;z-index:251656192" o:allowincell="f" filled="f" stroked="f" strokecolor="lime" strokeweight=".25pt">
            <v:textbox style="mso-next-textbox:#_x0000_s1026" inset="0,0,0,0">
              <w:txbxContent>
                <w:p w14:paraId="4C9AF77A" w14:textId="77777777" w:rsidR="0056310F" w:rsidRDefault="0056310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לע</w:t>
      </w:r>
      <w:r>
        <w:rPr>
          <w:rStyle w:val="default"/>
          <w:rFonts w:cs="FrankRuehl" w:hint="cs"/>
          <w:rtl/>
        </w:rPr>
        <w:t xml:space="preserve">נין הנחיות אלה </w:t>
      </w:r>
      <w:r w:rsidR="00566434">
        <w:rPr>
          <w:rStyle w:val="default"/>
          <w:rFonts w:cs="FrankRuehl"/>
          <w:rtl/>
        </w:rPr>
        <w:t>–</w:t>
      </w:r>
    </w:p>
    <w:p w14:paraId="18158698" w14:textId="77777777" w:rsidR="0056310F" w:rsidRDefault="0056310F" w:rsidP="00566434">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יעה" ו"רשימת מועמדים" </w:t>
      </w:r>
      <w:r w:rsidR="00566434">
        <w:rPr>
          <w:rStyle w:val="default"/>
          <w:rFonts w:cs="FrankRuehl" w:hint="cs"/>
          <w:rtl/>
        </w:rPr>
        <w:t>-</w:t>
      </w:r>
      <w:r>
        <w:rPr>
          <w:rStyle w:val="default"/>
          <w:rFonts w:cs="FrankRuehl"/>
          <w:rtl/>
        </w:rPr>
        <w:t xml:space="preserve"> </w:t>
      </w:r>
      <w:r>
        <w:rPr>
          <w:rStyle w:val="default"/>
          <w:rFonts w:cs="FrankRuehl" w:hint="cs"/>
          <w:rtl/>
        </w:rPr>
        <w:t>כמשמעותן בחוק המי</w:t>
      </w:r>
      <w:r>
        <w:rPr>
          <w:rStyle w:val="default"/>
          <w:rFonts w:cs="FrankRuehl"/>
          <w:rtl/>
        </w:rPr>
        <w:t>מ</w:t>
      </w:r>
      <w:r>
        <w:rPr>
          <w:rStyle w:val="default"/>
          <w:rFonts w:cs="FrankRuehl" w:hint="cs"/>
          <w:rtl/>
        </w:rPr>
        <w:t>ון;</w:t>
      </w:r>
    </w:p>
    <w:p w14:paraId="0CD946C8" w14:textId="77777777" w:rsidR="0056310F" w:rsidRDefault="0056310F" w:rsidP="00566434">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יתון נפוץ" </w:t>
      </w:r>
      <w:r w:rsidR="00566434">
        <w:rPr>
          <w:rStyle w:val="default"/>
          <w:rFonts w:cs="FrankRuehl" w:hint="cs"/>
          <w:rtl/>
        </w:rPr>
        <w:t>-</w:t>
      </w:r>
      <w:r>
        <w:rPr>
          <w:rStyle w:val="default"/>
          <w:rFonts w:cs="FrankRuehl"/>
          <w:rtl/>
        </w:rPr>
        <w:t xml:space="preserve"> </w:t>
      </w:r>
      <w:r>
        <w:rPr>
          <w:rStyle w:val="default"/>
          <w:rFonts w:cs="FrankRuehl" w:hint="cs"/>
          <w:rtl/>
        </w:rPr>
        <w:t>עיתון שנכלל ברשימת העיתונים הנפוצים ביותר במדינה בשפה העברית, אשר פרסם שר הפנים ברשומות בהתאם להוראות סעיף 1א(ב) לחוק התכנון והבניה, תשכ"ה</w:t>
      </w:r>
      <w:r w:rsidR="00566434">
        <w:rPr>
          <w:rStyle w:val="default"/>
          <w:rFonts w:cs="FrankRuehl" w:hint="cs"/>
          <w:rtl/>
        </w:rPr>
        <w:t>-</w:t>
      </w:r>
      <w:r>
        <w:rPr>
          <w:rStyle w:val="default"/>
          <w:rFonts w:cs="FrankRuehl"/>
          <w:rtl/>
        </w:rPr>
        <w:t>1965;</w:t>
      </w:r>
    </w:p>
    <w:p w14:paraId="067D226A" w14:textId="77777777" w:rsidR="0056310F" w:rsidRDefault="0056310F" w:rsidP="00566434">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יום הקובע" </w:t>
      </w:r>
      <w:r w:rsidR="00566434">
        <w:rPr>
          <w:rStyle w:val="default"/>
          <w:rFonts w:cs="FrankRuehl" w:hint="cs"/>
          <w:rtl/>
        </w:rPr>
        <w:t>-</w:t>
      </w:r>
      <w:r>
        <w:rPr>
          <w:rStyle w:val="default"/>
          <w:rFonts w:cs="FrankRuehl"/>
          <w:rtl/>
        </w:rPr>
        <w:t xml:space="preserve"> </w:t>
      </w:r>
      <w:r w:rsidR="00566434">
        <w:rPr>
          <w:rStyle w:val="default"/>
          <w:rFonts w:cs="FrankRuehl" w:hint="cs"/>
          <w:rtl/>
        </w:rPr>
        <w:t>כמשמעותו בחוק המימון;</w:t>
      </w:r>
    </w:p>
    <w:p w14:paraId="099DFDBD" w14:textId="77777777" w:rsidR="0056310F" w:rsidRDefault="0056310F" w:rsidP="00566434">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שם המפ</w:t>
      </w:r>
      <w:r>
        <w:rPr>
          <w:rStyle w:val="default"/>
          <w:rFonts w:cs="FrankRuehl"/>
          <w:rtl/>
        </w:rPr>
        <w:t>לג</w:t>
      </w:r>
      <w:r>
        <w:rPr>
          <w:rStyle w:val="default"/>
          <w:rFonts w:cs="FrankRuehl" w:hint="cs"/>
          <w:rtl/>
        </w:rPr>
        <w:t xml:space="preserve">ות" </w:t>
      </w:r>
      <w:r w:rsidR="00566434">
        <w:rPr>
          <w:rStyle w:val="default"/>
          <w:rFonts w:cs="FrankRuehl" w:hint="cs"/>
          <w:rtl/>
        </w:rPr>
        <w:t>-</w:t>
      </w:r>
      <w:r>
        <w:rPr>
          <w:rStyle w:val="default"/>
          <w:rFonts w:cs="FrankRuehl"/>
          <w:rtl/>
        </w:rPr>
        <w:t xml:space="preserve"> </w:t>
      </w:r>
      <w:r>
        <w:rPr>
          <w:rStyle w:val="default"/>
          <w:rFonts w:cs="FrankRuehl" w:hint="cs"/>
          <w:rtl/>
        </w:rPr>
        <w:t>כמשמעותו בסעיף 3 לחוק המפלגות, תשנ"ב</w:t>
      </w:r>
      <w:r w:rsidR="00566434">
        <w:rPr>
          <w:rStyle w:val="default"/>
          <w:rFonts w:cs="FrankRuehl" w:hint="cs"/>
          <w:rtl/>
        </w:rPr>
        <w:t>-</w:t>
      </w:r>
      <w:r>
        <w:rPr>
          <w:rStyle w:val="default"/>
          <w:rFonts w:cs="FrankRuehl"/>
          <w:rtl/>
        </w:rPr>
        <w:t>1992.</w:t>
      </w:r>
    </w:p>
    <w:p w14:paraId="0D1BE07E" w14:textId="77777777" w:rsidR="0056310F" w:rsidRDefault="0056310F">
      <w:pPr>
        <w:pStyle w:val="P00"/>
        <w:spacing w:before="72"/>
        <w:ind w:left="0" w:right="1134"/>
        <w:rPr>
          <w:rStyle w:val="default"/>
          <w:rFonts w:cs="FrankRuehl"/>
          <w:rtl/>
        </w:rPr>
      </w:pPr>
      <w:bookmarkStart w:id="1" w:name="Seif1"/>
      <w:bookmarkEnd w:id="1"/>
      <w:r>
        <w:rPr>
          <w:lang w:val="he-IL"/>
        </w:rPr>
        <w:pict w14:anchorId="2226E497">
          <v:rect id="_x0000_s1027" style="position:absolute;left:0;text-align:left;margin-left:464.5pt;margin-top:8.05pt;width:75.05pt;height:15.2pt;z-index:251657216" o:allowincell="f" filled="f" stroked="f" strokecolor="lime" strokeweight=".25pt">
            <v:textbox style="mso-next-textbox:#_x0000_s1027" inset="0,0,0,0">
              <w:txbxContent>
                <w:p w14:paraId="69F9D0A3" w14:textId="77777777" w:rsidR="0056310F" w:rsidRDefault="0056310F" w:rsidP="00566434">
                  <w:pPr>
                    <w:spacing w:line="160" w:lineRule="exact"/>
                    <w:jc w:val="left"/>
                    <w:rPr>
                      <w:rFonts w:cs="Miriam"/>
                      <w:noProof/>
                      <w:sz w:val="18"/>
                      <w:szCs w:val="18"/>
                      <w:rtl/>
                    </w:rPr>
                  </w:pPr>
                  <w:r>
                    <w:rPr>
                      <w:rFonts w:cs="Miriam"/>
                      <w:sz w:val="18"/>
                      <w:szCs w:val="18"/>
                      <w:rtl/>
                    </w:rPr>
                    <w:t>פר</w:t>
                  </w:r>
                  <w:r>
                    <w:rPr>
                      <w:rFonts w:cs="Miriam" w:hint="cs"/>
                      <w:sz w:val="18"/>
                      <w:szCs w:val="18"/>
                      <w:rtl/>
                    </w:rPr>
                    <w:t>סום מורשה ח</w:t>
                  </w:r>
                  <w:r>
                    <w:rPr>
                      <w:rFonts w:cs="Miriam"/>
                      <w:sz w:val="18"/>
                      <w:szCs w:val="18"/>
                      <w:rtl/>
                    </w:rPr>
                    <w:t>ת</w:t>
                  </w:r>
                  <w:r>
                    <w:rPr>
                      <w:rFonts w:cs="Miriam" w:hint="cs"/>
                      <w:sz w:val="18"/>
                      <w:szCs w:val="18"/>
                      <w:rtl/>
                    </w:rPr>
                    <w:t>ימה</w:t>
                  </w:r>
                </w:p>
              </w:txbxContent>
            </v:textbox>
            <w10:anchorlock/>
          </v:rect>
        </w:pict>
      </w:r>
      <w:r>
        <w:rPr>
          <w:rStyle w:val="big-number"/>
          <w:rFonts w:cs="Miriam"/>
          <w:rtl/>
        </w:rPr>
        <w:t>2.</w:t>
      </w:r>
      <w:r>
        <w:rPr>
          <w:rStyle w:val="big-number"/>
          <w:rFonts w:cs="Miriam"/>
          <w:rtl/>
        </w:rPr>
        <w:tab/>
      </w:r>
      <w:r>
        <w:rPr>
          <w:rStyle w:val="default"/>
          <w:rFonts w:cs="FrankRuehl"/>
          <w:rtl/>
        </w:rPr>
        <w:t>הו</w:t>
      </w:r>
      <w:r>
        <w:rPr>
          <w:rStyle w:val="default"/>
          <w:rFonts w:cs="FrankRuehl" w:hint="cs"/>
          <w:rtl/>
        </w:rPr>
        <w:t>דעה על קביעתה של סיעה או רשימת מועמדים בדבר מי שמורשה ליתן התחייבות ממונית בשמה, תפורסם על ידיה בשני עיתונים יומיים בשפה העברית, שלפחות אחד מהם הוא עיתון נפוץ, ובעיתון יומי בשפה הערבית.</w:t>
      </w:r>
    </w:p>
    <w:p w14:paraId="017FECAD" w14:textId="77777777" w:rsidR="0056310F" w:rsidRDefault="0056310F">
      <w:pPr>
        <w:pStyle w:val="P00"/>
        <w:spacing w:before="72"/>
        <w:ind w:left="0" w:right="1134"/>
        <w:rPr>
          <w:rStyle w:val="default"/>
          <w:rFonts w:cs="FrankRuehl"/>
          <w:rtl/>
        </w:rPr>
      </w:pPr>
      <w:bookmarkStart w:id="2" w:name="Seif2"/>
      <w:bookmarkEnd w:id="2"/>
      <w:r>
        <w:rPr>
          <w:lang w:val="he-IL"/>
        </w:rPr>
        <w:pict w14:anchorId="491C2BED">
          <v:rect id="_x0000_s1028" style="position:absolute;left:0;text-align:left;margin-left:464.5pt;margin-top:8.05pt;width:75.05pt;height:14.05pt;z-index:251658240" o:allowincell="f" filled="f" stroked="f" strokecolor="lime" strokeweight=".25pt">
            <v:textbox style="mso-next-textbox:#_x0000_s1028" inset="0,0,0,0">
              <w:txbxContent>
                <w:p w14:paraId="54D4FA60" w14:textId="77777777" w:rsidR="0056310F" w:rsidRDefault="0056310F">
                  <w:pPr>
                    <w:spacing w:line="160" w:lineRule="exact"/>
                    <w:jc w:val="left"/>
                    <w:rPr>
                      <w:rFonts w:cs="Miriam"/>
                      <w:noProof/>
                      <w:sz w:val="18"/>
                      <w:szCs w:val="18"/>
                      <w:rtl/>
                    </w:rPr>
                  </w:pPr>
                  <w:r>
                    <w:rPr>
                      <w:rFonts w:cs="Miriam"/>
                      <w:sz w:val="18"/>
                      <w:szCs w:val="18"/>
                      <w:rtl/>
                    </w:rPr>
                    <w:t>מו</w:t>
                  </w:r>
                  <w:r>
                    <w:rPr>
                      <w:rFonts w:cs="Miriam" w:hint="cs"/>
                      <w:sz w:val="18"/>
                      <w:szCs w:val="18"/>
                      <w:rtl/>
                    </w:rPr>
                    <w:t>עדים</w:t>
                  </w:r>
                </w:p>
              </w:txbxContent>
            </v:textbox>
            <w10:anchorlock/>
          </v:rect>
        </w:pict>
      </w:r>
      <w:r>
        <w:rPr>
          <w:rStyle w:val="big-number"/>
          <w:rFonts w:cs="Miriam"/>
          <w:rtl/>
        </w:rPr>
        <w:t>3.</w:t>
      </w:r>
      <w:r>
        <w:rPr>
          <w:rStyle w:val="big-number"/>
          <w:rFonts w:cs="Miriam"/>
          <w:rtl/>
        </w:rPr>
        <w:tab/>
      </w:r>
      <w:r>
        <w:rPr>
          <w:rStyle w:val="default"/>
          <w:rFonts w:cs="FrankRuehl"/>
          <w:rtl/>
        </w:rPr>
        <w:t>פר</w:t>
      </w:r>
      <w:r>
        <w:rPr>
          <w:rStyle w:val="default"/>
          <w:rFonts w:cs="FrankRuehl" w:hint="cs"/>
          <w:rtl/>
        </w:rPr>
        <w:t>סום כא</w:t>
      </w:r>
      <w:r>
        <w:rPr>
          <w:rStyle w:val="default"/>
          <w:rFonts w:cs="FrankRuehl"/>
          <w:rtl/>
        </w:rPr>
        <w:t>מו</w:t>
      </w:r>
      <w:r>
        <w:rPr>
          <w:rStyle w:val="default"/>
          <w:rFonts w:cs="FrankRuehl" w:hint="cs"/>
          <w:rtl/>
        </w:rPr>
        <w:t>ר ייעשה בכל אחד מהמועדים המפורטים להלן:</w:t>
      </w:r>
    </w:p>
    <w:p w14:paraId="23A748BB" w14:textId="77777777" w:rsidR="0056310F" w:rsidRDefault="0056310F" w:rsidP="00566434">
      <w:pPr>
        <w:pStyle w:val="P00"/>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לא</w:t>
      </w:r>
      <w:r>
        <w:rPr>
          <w:rStyle w:val="default"/>
          <w:rFonts w:cs="FrankRuehl" w:hint="cs"/>
          <w:rtl/>
        </w:rPr>
        <w:t xml:space="preserve"> יאוחר משבועיים לאחר קביעה כאמור בסעיף 2 וכן מכל שינוי שיחול בה;</w:t>
      </w:r>
    </w:p>
    <w:p w14:paraId="639DFFA4" w14:textId="77777777" w:rsidR="0056310F" w:rsidRDefault="0056310F" w:rsidP="00566434">
      <w:pPr>
        <w:pStyle w:val="P00"/>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שבוע הראשון של כל שנה קלנדרית;</w:t>
      </w:r>
    </w:p>
    <w:p w14:paraId="3F653223" w14:textId="77777777" w:rsidR="0056310F" w:rsidRDefault="0056310F" w:rsidP="00566434">
      <w:pPr>
        <w:pStyle w:val="P00"/>
        <w:spacing w:before="72"/>
        <w:ind w:left="624"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שבוע שבו חל היום הקובע.</w:t>
      </w:r>
    </w:p>
    <w:p w14:paraId="28413059" w14:textId="77777777" w:rsidR="0056310F" w:rsidRDefault="0056310F">
      <w:pPr>
        <w:pStyle w:val="P00"/>
        <w:spacing w:before="72"/>
        <w:ind w:left="0" w:right="1134"/>
        <w:rPr>
          <w:rStyle w:val="default"/>
          <w:rFonts w:cs="FrankRuehl"/>
          <w:rtl/>
        </w:rPr>
      </w:pPr>
      <w:bookmarkStart w:id="3" w:name="Seif3"/>
      <w:bookmarkEnd w:id="3"/>
      <w:r>
        <w:rPr>
          <w:lang w:val="he-IL"/>
        </w:rPr>
        <w:pict w14:anchorId="58CE1058">
          <v:rect id="_x0000_s1029" style="position:absolute;left:0;text-align:left;margin-left:464.5pt;margin-top:8.05pt;width:75.05pt;height:11.75pt;z-index:251659264" o:allowincell="f" filled="f" stroked="f" strokecolor="lime" strokeweight=".25pt">
            <v:textbox style="mso-next-textbox:#_x0000_s1029" inset="0,0,0,0">
              <w:txbxContent>
                <w:p w14:paraId="5FD2F0B7" w14:textId="77777777" w:rsidR="0056310F" w:rsidRDefault="0056310F">
                  <w:pPr>
                    <w:spacing w:line="160" w:lineRule="exact"/>
                    <w:jc w:val="left"/>
                    <w:rPr>
                      <w:rFonts w:cs="Miriam"/>
                      <w:noProof/>
                      <w:sz w:val="18"/>
                      <w:szCs w:val="18"/>
                      <w:rtl/>
                    </w:rPr>
                  </w:pPr>
                  <w:r>
                    <w:rPr>
                      <w:rFonts w:cs="Miriam"/>
                      <w:sz w:val="18"/>
                      <w:szCs w:val="18"/>
                      <w:rtl/>
                    </w:rPr>
                    <w:t>המ</w:t>
                  </w:r>
                  <w:r>
                    <w:rPr>
                      <w:rFonts w:cs="Miriam" w:hint="cs"/>
                      <w:sz w:val="18"/>
                      <w:szCs w:val="18"/>
                      <w:rtl/>
                    </w:rPr>
                    <w:t>צאת הודעה</w:t>
                  </w:r>
                </w:p>
              </w:txbxContent>
            </v:textbox>
            <w10:anchorlock/>
          </v:rect>
        </w:pict>
      </w:r>
      <w:r>
        <w:rPr>
          <w:rStyle w:val="big-number"/>
          <w:rFonts w:cs="Miriam"/>
          <w:rtl/>
        </w:rPr>
        <w:t>4.</w:t>
      </w:r>
      <w:r>
        <w:rPr>
          <w:rStyle w:val="big-number"/>
          <w:rFonts w:cs="Miriam"/>
          <w:rtl/>
        </w:rPr>
        <w:tab/>
      </w:r>
      <w:r>
        <w:rPr>
          <w:rStyle w:val="default"/>
          <w:rFonts w:cs="FrankRuehl"/>
          <w:rtl/>
        </w:rPr>
        <w:t>סי</w:t>
      </w:r>
      <w:r>
        <w:rPr>
          <w:rStyle w:val="default"/>
          <w:rFonts w:cs="FrankRuehl" w:hint="cs"/>
          <w:rtl/>
        </w:rPr>
        <w:t>עה או רשימת מועמדים תמציא למבקר המדינה ולרשם המפלגות, במועדים הקבו</w:t>
      </w:r>
      <w:r>
        <w:rPr>
          <w:rStyle w:val="default"/>
          <w:rFonts w:cs="FrankRuehl"/>
          <w:rtl/>
        </w:rPr>
        <w:t>עים</w:t>
      </w:r>
      <w:r>
        <w:rPr>
          <w:rStyle w:val="default"/>
          <w:rFonts w:cs="FrankRuehl" w:hint="cs"/>
          <w:rtl/>
        </w:rPr>
        <w:t xml:space="preserve"> בסעיף 3, העתק מכל הודעה כאמור בסעיף 2.</w:t>
      </w:r>
    </w:p>
    <w:p w14:paraId="67E892AF" w14:textId="77777777" w:rsidR="0056310F" w:rsidRDefault="0056310F">
      <w:pPr>
        <w:pStyle w:val="P00"/>
        <w:spacing w:before="72"/>
        <w:ind w:left="0" w:right="1134"/>
        <w:rPr>
          <w:rStyle w:val="default"/>
          <w:rFonts w:cs="FrankRuehl"/>
          <w:rtl/>
        </w:rPr>
      </w:pPr>
    </w:p>
    <w:p w14:paraId="605020EF" w14:textId="77777777" w:rsidR="0056310F" w:rsidRPr="00566434" w:rsidRDefault="0056310F">
      <w:pPr>
        <w:pStyle w:val="P00"/>
        <w:spacing w:before="72"/>
        <w:ind w:left="0" w:right="1134"/>
        <w:rPr>
          <w:rStyle w:val="default"/>
          <w:rFonts w:cs="FrankRuehl"/>
          <w:rtl/>
        </w:rPr>
      </w:pPr>
    </w:p>
    <w:p w14:paraId="7D0C5719" w14:textId="77777777" w:rsidR="0056310F" w:rsidRDefault="0056310F" w:rsidP="0056643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sz w:val="26"/>
          <w:rtl/>
        </w:rPr>
      </w:pPr>
      <w:r>
        <w:rPr>
          <w:rFonts w:cs="FrankRuehl" w:hint="cs"/>
          <w:sz w:val="26"/>
          <w:rtl/>
        </w:rPr>
        <w:t>ט</w:t>
      </w:r>
      <w:r>
        <w:rPr>
          <w:rFonts w:cs="FrankRuehl"/>
          <w:sz w:val="26"/>
          <w:rtl/>
        </w:rPr>
        <w:t>"</w:t>
      </w:r>
      <w:r>
        <w:rPr>
          <w:rFonts w:cs="FrankRuehl" w:hint="cs"/>
          <w:sz w:val="26"/>
          <w:rtl/>
        </w:rPr>
        <w:t>ז באלול תשנ"ד (23 באוגוסט 1994)</w:t>
      </w:r>
      <w:r w:rsidR="00566434">
        <w:rPr>
          <w:rFonts w:cs="FrankRuehl" w:hint="cs"/>
          <w:sz w:val="26"/>
          <w:rtl/>
        </w:rPr>
        <w:tab/>
      </w:r>
      <w:r>
        <w:rPr>
          <w:rFonts w:cs="FrankRuehl" w:hint="cs"/>
          <w:sz w:val="26"/>
          <w:rtl/>
        </w:rPr>
        <w:t>מרים בן-פורת</w:t>
      </w:r>
    </w:p>
    <w:p w14:paraId="5D7657F6" w14:textId="77777777" w:rsidR="0056310F" w:rsidRDefault="00566434" w:rsidP="00566434">
      <w:pPr>
        <w:pStyle w:val="sig-1"/>
        <w:widowControl/>
        <w:tabs>
          <w:tab w:val="clear" w:pos="851"/>
          <w:tab w:val="clear" w:pos="2835"/>
          <w:tab w:val="clear" w:pos="4820"/>
          <w:tab w:val="center" w:pos="5103"/>
        </w:tabs>
        <w:ind w:left="0" w:right="1134"/>
        <w:rPr>
          <w:rFonts w:cs="FrankRuehl" w:hint="cs"/>
          <w:sz w:val="22"/>
          <w:rtl/>
        </w:rPr>
      </w:pPr>
      <w:r>
        <w:rPr>
          <w:rFonts w:cs="FrankRuehl"/>
          <w:sz w:val="22"/>
          <w:rtl/>
        </w:rPr>
        <w:tab/>
      </w:r>
      <w:r w:rsidR="0056310F">
        <w:rPr>
          <w:rFonts w:cs="FrankRuehl"/>
          <w:sz w:val="22"/>
          <w:rtl/>
        </w:rPr>
        <w:t>מ</w:t>
      </w:r>
      <w:r w:rsidR="0056310F">
        <w:rPr>
          <w:rFonts w:cs="FrankRuehl" w:hint="cs"/>
          <w:sz w:val="22"/>
          <w:rtl/>
        </w:rPr>
        <w:t>בקרת המדינה</w:t>
      </w:r>
    </w:p>
    <w:p w14:paraId="20195834" w14:textId="77777777" w:rsidR="00566434" w:rsidRPr="00566434" w:rsidRDefault="00566434" w:rsidP="00566434">
      <w:pPr>
        <w:pStyle w:val="P00"/>
        <w:spacing w:before="72"/>
        <w:ind w:left="0" w:right="1134"/>
        <w:rPr>
          <w:rStyle w:val="default"/>
          <w:rFonts w:cs="FrankRuehl" w:hint="cs"/>
          <w:rtl/>
        </w:rPr>
      </w:pPr>
    </w:p>
    <w:p w14:paraId="07598295" w14:textId="77777777" w:rsidR="00566434" w:rsidRPr="00566434" w:rsidRDefault="00566434" w:rsidP="00566434">
      <w:pPr>
        <w:pStyle w:val="P00"/>
        <w:spacing w:before="72"/>
        <w:ind w:left="0" w:right="1134"/>
        <w:rPr>
          <w:rStyle w:val="default"/>
          <w:rFonts w:cs="FrankRuehl"/>
          <w:rtl/>
        </w:rPr>
      </w:pPr>
    </w:p>
    <w:p w14:paraId="0FF350BE" w14:textId="77777777" w:rsidR="0056310F" w:rsidRPr="00566434" w:rsidRDefault="0056310F" w:rsidP="00566434">
      <w:pPr>
        <w:pStyle w:val="P00"/>
        <w:spacing w:before="72"/>
        <w:ind w:left="0" w:right="1134"/>
        <w:rPr>
          <w:rStyle w:val="default"/>
          <w:rFonts w:cs="FrankRuehl"/>
          <w:rtl/>
        </w:rPr>
      </w:pPr>
      <w:bookmarkStart w:id="4" w:name="LawPartEnd"/>
    </w:p>
    <w:bookmarkEnd w:id="4"/>
    <w:p w14:paraId="046D4EDC" w14:textId="77777777" w:rsidR="0056310F" w:rsidRPr="00566434" w:rsidRDefault="0056310F" w:rsidP="00566434">
      <w:pPr>
        <w:pStyle w:val="P00"/>
        <w:spacing w:before="72"/>
        <w:ind w:left="0" w:right="1134"/>
        <w:rPr>
          <w:rStyle w:val="default"/>
          <w:rFonts w:cs="FrankRuehl"/>
          <w:rtl/>
        </w:rPr>
      </w:pPr>
    </w:p>
    <w:sectPr w:rsidR="0056310F" w:rsidRPr="00566434">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50FF5" w14:textId="77777777" w:rsidR="009B6020" w:rsidRDefault="009B6020">
      <w:r>
        <w:separator/>
      </w:r>
    </w:p>
  </w:endnote>
  <w:endnote w:type="continuationSeparator" w:id="0">
    <w:p w14:paraId="0CBFF02E" w14:textId="77777777" w:rsidR="009B6020" w:rsidRDefault="009B6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7298F" w14:textId="77777777" w:rsidR="0056310F" w:rsidRDefault="0056310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4822A63" w14:textId="77777777" w:rsidR="0056310F" w:rsidRDefault="0056310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0A11731" w14:textId="77777777" w:rsidR="0056310F" w:rsidRDefault="0056310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66434">
      <w:rPr>
        <w:rFonts w:cs="TopType Jerushalmi"/>
        <w:noProof/>
        <w:color w:val="000000"/>
        <w:sz w:val="14"/>
        <w:szCs w:val="14"/>
      </w:rPr>
      <w:t>D:\Yael\hakika\Revadim\282_008.doc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E521" w14:textId="77777777" w:rsidR="0056310F" w:rsidRDefault="0056310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37801">
      <w:rPr>
        <w:rFonts w:hAnsi="FrankRuehl" w:cs="FrankRuehl"/>
        <w:noProof/>
        <w:sz w:val="24"/>
        <w:szCs w:val="24"/>
        <w:rtl/>
      </w:rPr>
      <w:t>2</w:t>
    </w:r>
    <w:r>
      <w:rPr>
        <w:rFonts w:hAnsi="FrankRuehl" w:cs="FrankRuehl"/>
        <w:sz w:val="24"/>
        <w:szCs w:val="24"/>
        <w:rtl/>
      </w:rPr>
      <w:fldChar w:fldCharType="end"/>
    </w:r>
  </w:p>
  <w:p w14:paraId="28C819C0" w14:textId="77777777" w:rsidR="0056310F" w:rsidRDefault="0056310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F90B0D8" w14:textId="77777777" w:rsidR="0056310F" w:rsidRDefault="0056310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66434">
      <w:rPr>
        <w:rFonts w:cs="TopType Jerushalmi"/>
        <w:noProof/>
        <w:color w:val="000000"/>
        <w:sz w:val="14"/>
        <w:szCs w:val="14"/>
      </w:rPr>
      <w:t>D:\Yael\hakika\Revadim\282_008.doc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5D35C" w14:textId="77777777" w:rsidR="009B6020" w:rsidRDefault="009B6020" w:rsidP="00566434">
      <w:pPr>
        <w:spacing w:before="60" w:line="240" w:lineRule="auto"/>
        <w:ind w:right="1134"/>
      </w:pPr>
      <w:r>
        <w:separator/>
      </w:r>
    </w:p>
  </w:footnote>
  <w:footnote w:type="continuationSeparator" w:id="0">
    <w:p w14:paraId="0FD3D0CF" w14:textId="77777777" w:rsidR="009B6020" w:rsidRDefault="009B6020">
      <w:r>
        <w:continuationSeparator/>
      </w:r>
    </w:p>
  </w:footnote>
  <w:footnote w:id="1">
    <w:p w14:paraId="48A41069" w14:textId="77777777" w:rsidR="00566434" w:rsidRPr="00566434" w:rsidRDefault="00566434" w:rsidP="005664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566434">
        <w:rPr>
          <w:rFonts w:cs="FrankRuehl"/>
          <w:rtl/>
        </w:rPr>
        <w:t xml:space="preserve">* </w:t>
      </w:r>
      <w:r>
        <w:rPr>
          <w:rFonts w:cs="FrankRuehl"/>
          <w:rtl/>
        </w:rPr>
        <w:t>פו</w:t>
      </w:r>
      <w:r>
        <w:rPr>
          <w:rFonts w:cs="FrankRuehl" w:hint="cs"/>
          <w:rtl/>
        </w:rPr>
        <w:t xml:space="preserve">רסמו </w:t>
      </w:r>
      <w:hyperlink r:id="rId1" w:history="1">
        <w:r w:rsidRPr="00A75BBB">
          <w:rPr>
            <w:rStyle w:val="Hyperlink"/>
            <w:rFonts w:cs="FrankRuehl" w:hint="cs"/>
            <w:rtl/>
          </w:rPr>
          <w:t>ק"ת ת</w:t>
        </w:r>
        <w:r w:rsidRPr="00A75BBB">
          <w:rPr>
            <w:rStyle w:val="Hyperlink"/>
            <w:rFonts w:cs="FrankRuehl" w:hint="cs"/>
            <w:rtl/>
          </w:rPr>
          <w:t>ש</w:t>
        </w:r>
        <w:r w:rsidRPr="00A75BBB">
          <w:rPr>
            <w:rStyle w:val="Hyperlink"/>
            <w:rFonts w:cs="FrankRuehl" w:hint="cs"/>
            <w:rtl/>
          </w:rPr>
          <w:t>נ"ה מס' 5624</w:t>
        </w:r>
      </w:hyperlink>
      <w:r>
        <w:rPr>
          <w:rFonts w:cs="FrankRuehl" w:hint="cs"/>
          <w:rtl/>
        </w:rPr>
        <w:t xml:space="preserve"> מיום 13.9.1994 עמ' 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34FF" w14:textId="77777777" w:rsidR="0056310F" w:rsidRDefault="0056310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הנחיות המפלגות (מורשה חתימה), תשנ"ה–1994</w:t>
    </w:r>
  </w:p>
  <w:p w14:paraId="37AAE5DE" w14:textId="77777777" w:rsidR="0056310F" w:rsidRDefault="0056310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413736" w14:textId="77777777" w:rsidR="0056310F" w:rsidRDefault="0056310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3A72" w14:textId="77777777" w:rsidR="0056310F" w:rsidRDefault="0056310F" w:rsidP="0056643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הנחיות המפלגות (מורשה חתימה), תשנ"ה</w:t>
    </w:r>
    <w:r w:rsidR="00566434">
      <w:rPr>
        <w:rFonts w:hAnsi="FrankRuehl" w:cs="FrankRuehl" w:hint="cs"/>
        <w:color w:val="000000"/>
        <w:sz w:val="28"/>
        <w:szCs w:val="28"/>
        <w:rtl/>
      </w:rPr>
      <w:t>-</w:t>
    </w:r>
    <w:r>
      <w:rPr>
        <w:rFonts w:hAnsi="FrankRuehl" w:cs="FrankRuehl"/>
        <w:color w:val="000000"/>
        <w:sz w:val="28"/>
        <w:szCs w:val="28"/>
        <w:rtl/>
      </w:rPr>
      <w:t>1994</w:t>
    </w:r>
  </w:p>
  <w:p w14:paraId="0AFEEF59" w14:textId="77777777" w:rsidR="0056310F" w:rsidRDefault="0056310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30EB31" w14:textId="77777777" w:rsidR="0056310F" w:rsidRDefault="0056310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CB4"/>
    <w:rsid w:val="000E4282"/>
    <w:rsid w:val="00237801"/>
    <w:rsid w:val="0056310F"/>
    <w:rsid w:val="00566434"/>
    <w:rsid w:val="00956C86"/>
    <w:rsid w:val="009B6020"/>
    <w:rsid w:val="00A6312F"/>
    <w:rsid w:val="00A75BBB"/>
    <w:rsid w:val="00B04E6D"/>
    <w:rsid w:val="00B10B33"/>
    <w:rsid w:val="00E06CB4"/>
    <w:rsid w:val="00FB28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4EB94DC"/>
  <w15:chartTrackingRefBased/>
  <w15:docId w15:val="{C7E3463B-FD4D-4F4B-9DEE-87125458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A75BBB"/>
    <w:rPr>
      <w:color w:val="800080"/>
      <w:u w:val="single"/>
    </w:rPr>
  </w:style>
  <w:style w:type="paragraph" w:styleId="a5">
    <w:name w:val="footnote text"/>
    <w:basedOn w:val="a"/>
    <w:semiHidden/>
    <w:rsid w:val="00566434"/>
    <w:rPr>
      <w:sz w:val="20"/>
      <w:szCs w:val="20"/>
    </w:rPr>
  </w:style>
  <w:style w:type="character" w:styleId="a6">
    <w:name w:val="footnote reference"/>
    <w:basedOn w:val="a0"/>
    <w:semiHidden/>
    <w:rsid w:val="005664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6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פרק 282</vt:lpstr>
    </vt:vector>
  </TitlesOfParts>
  <Company/>
  <LinksUpToDate>false</LinksUpToDate>
  <CharactersWithSpaces>1542</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8257546</vt:i4>
      </vt:variant>
      <vt:variant>
        <vt:i4>0</vt:i4>
      </vt:variant>
      <vt:variant>
        <vt:i4>0</vt:i4>
      </vt:variant>
      <vt:variant>
        <vt:i4>5</vt:i4>
      </vt:variant>
      <vt:variant>
        <vt:lpwstr>http://www.nevo.co.il/Law_word/law06/TAK-5624.pdf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282</dc:title>
  <dc:subject/>
  <dc:creator>user</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0282</vt:lpwstr>
  </property>
  <property fmtid="{D5CDD505-2E9C-101B-9397-08002B2CF9AE}" pid="3" name="CHNAME">
    <vt:lpwstr>מפלגות</vt:lpwstr>
  </property>
  <property fmtid="{D5CDD505-2E9C-101B-9397-08002B2CF9AE}" pid="4" name="LAWNAME">
    <vt:lpwstr>הנחיות המפלגות (מורשה חתימה), תשנ"ה-1994</vt:lpwstr>
  </property>
  <property fmtid="{D5CDD505-2E9C-101B-9397-08002B2CF9AE}" pid="5" name="LAWNUMBER">
    <vt:lpwstr>0008</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כנסת</vt:lpwstr>
  </property>
  <property fmtid="{D5CDD505-2E9C-101B-9397-08002B2CF9AE}" pid="9" name="NOSE31">
    <vt:lpwstr>מפלגות</vt:lpwstr>
  </property>
  <property fmtid="{D5CDD505-2E9C-101B-9397-08002B2CF9AE}" pid="10" name="NOSE41">
    <vt:lpwstr>מימון</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המפלגות</vt:lpwstr>
  </property>
  <property fmtid="{D5CDD505-2E9C-101B-9397-08002B2CF9AE}" pid="48" name="MEKOR_SAIF1">
    <vt:lpwstr>24X</vt:lpwstr>
  </property>
  <property fmtid="{D5CDD505-2E9C-101B-9397-08002B2CF9AE}" pid="49" name="MEKOR_NAME2">
    <vt:lpwstr>חוק מימון מפלגות</vt:lpwstr>
  </property>
  <property fmtid="{D5CDD505-2E9C-101B-9397-08002B2CF9AE}" pid="50" name="MEKOR_SAIF2">
    <vt:lpwstr>6אX</vt:lpwstr>
  </property>
</Properties>
</file>