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594" w:rsidRDefault="001D7594" w:rsidP="00C808B4">
      <w:pPr>
        <w:pStyle w:val="big-header"/>
        <w:ind w:left="0" w:right="1134"/>
        <w:rPr>
          <w:rFonts w:hint="cs"/>
          <w:rtl/>
        </w:rPr>
      </w:pPr>
      <w:r>
        <w:rPr>
          <w:rtl/>
        </w:rPr>
        <w:t xml:space="preserve">הסכם בדבר </w:t>
      </w:r>
      <w:r w:rsidR="00C808B4">
        <w:rPr>
          <w:rFonts w:hint="cs"/>
          <w:rtl/>
        </w:rPr>
        <w:t>תשלום פיצוי לעצמאי בשירות מילואים, תשע"ז-2017</w:t>
      </w:r>
    </w:p>
    <w:p w:rsidR="00C808B4" w:rsidRPr="00C808B4" w:rsidRDefault="00C808B4" w:rsidP="00C808B4">
      <w:pPr>
        <w:spacing w:line="320" w:lineRule="auto"/>
        <w:jc w:val="left"/>
        <w:rPr>
          <w:rFonts w:cs="FrankRuehl"/>
          <w:szCs w:val="26"/>
          <w:rtl/>
        </w:rPr>
      </w:pPr>
    </w:p>
    <w:p w:rsidR="00C808B4" w:rsidRDefault="00C808B4" w:rsidP="00C808B4">
      <w:pPr>
        <w:spacing w:line="320" w:lineRule="auto"/>
        <w:jc w:val="left"/>
        <w:rPr>
          <w:rtl/>
        </w:rPr>
      </w:pPr>
    </w:p>
    <w:p w:rsidR="00C808B4" w:rsidRDefault="00C808B4" w:rsidP="00C808B4">
      <w:pPr>
        <w:spacing w:line="320" w:lineRule="auto"/>
        <w:jc w:val="left"/>
        <w:rPr>
          <w:rFonts w:cs="Miriam"/>
          <w:szCs w:val="22"/>
          <w:rtl/>
        </w:rPr>
      </w:pPr>
      <w:r w:rsidRPr="00C808B4">
        <w:rPr>
          <w:rFonts w:cs="Miriam"/>
          <w:szCs w:val="22"/>
          <w:rtl/>
        </w:rPr>
        <w:t>ביטוח</w:t>
      </w:r>
      <w:r w:rsidRPr="00C808B4">
        <w:rPr>
          <w:rFonts w:cs="FrankRuehl"/>
          <w:szCs w:val="26"/>
          <w:rtl/>
        </w:rPr>
        <w:t xml:space="preserve"> – ביטוח לאומי – קיצבאות וגימלאות</w:t>
      </w:r>
    </w:p>
    <w:p w:rsidR="00C808B4" w:rsidRPr="00C808B4" w:rsidRDefault="00C808B4" w:rsidP="00C808B4">
      <w:pPr>
        <w:spacing w:line="320" w:lineRule="auto"/>
        <w:jc w:val="left"/>
        <w:rPr>
          <w:rFonts w:cs="Miriam" w:hint="cs"/>
          <w:szCs w:val="22"/>
          <w:rtl/>
        </w:rPr>
      </w:pPr>
      <w:r w:rsidRPr="00C808B4">
        <w:rPr>
          <w:rFonts w:cs="Miriam"/>
          <w:szCs w:val="22"/>
          <w:rtl/>
        </w:rPr>
        <w:t>בטחון</w:t>
      </w:r>
      <w:r w:rsidRPr="00C808B4">
        <w:rPr>
          <w:rFonts w:cs="FrankRuehl"/>
          <w:szCs w:val="26"/>
          <w:rtl/>
        </w:rPr>
        <w:t xml:space="preserve"> – צה"ל – מילואים – תגמולים</w:t>
      </w:r>
    </w:p>
    <w:p w:rsidR="001D7594" w:rsidRDefault="001D759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הסכם בדבר תשלום פיצוי לעצמאי בשירות מילואים</w:t>
            </w:r>
          </w:p>
        </w:tc>
        <w:tc>
          <w:tcPr>
            <w:tcW w:w="567" w:type="dxa"/>
          </w:tcPr>
          <w:p w:rsidR="00851A93" w:rsidRPr="00851A93" w:rsidRDefault="00851A93" w:rsidP="00851A93">
            <w:pPr>
              <w:spacing w:line="240" w:lineRule="auto"/>
              <w:jc w:val="left"/>
              <w:rPr>
                <w:rStyle w:val="Hyperlink"/>
                <w:rtl/>
              </w:rPr>
            </w:pPr>
            <w:hyperlink w:anchor="med0" w:tooltip="הסכם בדבר תשלום פיצוי לעצמאי בשירות מילואים"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שנערך ונחתם בירושלים ביום י"א בתמוז התשע"ז</w:t>
            </w:r>
          </w:p>
        </w:tc>
        <w:tc>
          <w:tcPr>
            <w:tcW w:w="567" w:type="dxa"/>
          </w:tcPr>
          <w:p w:rsidR="00851A93" w:rsidRPr="00851A93" w:rsidRDefault="00851A93" w:rsidP="00851A93">
            <w:pPr>
              <w:spacing w:line="240" w:lineRule="auto"/>
              <w:jc w:val="left"/>
              <w:rPr>
                <w:rStyle w:val="Hyperlink"/>
                <w:rtl/>
              </w:rPr>
            </w:pPr>
            <w:hyperlink w:anchor="med1" w:tooltip="שנערך ונחתם בירושלים ביום יא בתמוז התשעז"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r>
              <w:rPr>
                <w:rFonts w:cs="Times New Roman"/>
                <w:sz w:val="24"/>
                <w:rtl/>
              </w:rPr>
              <w:t xml:space="preserve">סעיף 1 </w:t>
            </w: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המבוא</w:t>
            </w:r>
          </w:p>
        </w:tc>
        <w:tc>
          <w:tcPr>
            <w:tcW w:w="567" w:type="dxa"/>
          </w:tcPr>
          <w:p w:rsidR="00851A93" w:rsidRPr="00851A93" w:rsidRDefault="00851A93" w:rsidP="00851A93">
            <w:pPr>
              <w:spacing w:line="240" w:lineRule="auto"/>
              <w:jc w:val="left"/>
              <w:rPr>
                <w:rStyle w:val="Hyperlink"/>
                <w:rtl/>
              </w:rPr>
            </w:pPr>
            <w:hyperlink w:anchor="Seif1" w:tooltip="המבוא"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r>
              <w:rPr>
                <w:rFonts w:cs="Times New Roman"/>
                <w:sz w:val="24"/>
                <w:rtl/>
              </w:rPr>
              <w:t xml:space="preserve">סעיף 2 </w:t>
            </w: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הגדרות</w:t>
            </w:r>
          </w:p>
        </w:tc>
        <w:tc>
          <w:tcPr>
            <w:tcW w:w="567" w:type="dxa"/>
          </w:tcPr>
          <w:p w:rsidR="00851A93" w:rsidRPr="00851A93" w:rsidRDefault="00851A93" w:rsidP="00851A93">
            <w:pPr>
              <w:spacing w:line="240" w:lineRule="auto"/>
              <w:jc w:val="left"/>
              <w:rPr>
                <w:rStyle w:val="Hyperlink"/>
                <w:rtl/>
              </w:rPr>
            </w:pPr>
            <w:hyperlink w:anchor="Seif2" w:tooltip="הגדרות"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r>
              <w:rPr>
                <w:rFonts w:cs="Times New Roman"/>
                <w:sz w:val="24"/>
                <w:rtl/>
              </w:rPr>
              <w:t xml:space="preserve">סעיף 3 </w:t>
            </w: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תנאי הזכאות לפיצוי לעצמאי בשירות מילואים</w:t>
            </w:r>
          </w:p>
        </w:tc>
        <w:tc>
          <w:tcPr>
            <w:tcW w:w="567" w:type="dxa"/>
          </w:tcPr>
          <w:p w:rsidR="00851A93" w:rsidRPr="00851A93" w:rsidRDefault="00851A93" w:rsidP="00851A93">
            <w:pPr>
              <w:spacing w:line="240" w:lineRule="auto"/>
              <w:jc w:val="left"/>
              <w:rPr>
                <w:rStyle w:val="Hyperlink"/>
                <w:rtl/>
              </w:rPr>
            </w:pPr>
            <w:hyperlink w:anchor="Seif3" w:tooltip="תנאי הזכאות לפיצוי לעצמאי בשירות מילואים"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r>
              <w:rPr>
                <w:rFonts w:cs="Times New Roman"/>
                <w:sz w:val="24"/>
                <w:rtl/>
              </w:rPr>
              <w:t xml:space="preserve">סעיף 4 </w:t>
            </w: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תשלום הפרשי הפיצוי לעצמאי בשירות מילואים</w:t>
            </w:r>
          </w:p>
        </w:tc>
        <w:tc>
          <w:tcPr>
            <w:tcW w:w="567" w:type="dxa"/>
          </w:tcPr>
          <w:p w:rsidR="00851A93" w:rsidRPr="00851A93" w:rsidRDefault="00851A93" w:rsidP="00851A93">
            <w:pPr>
              <w:spacing w:line="240" w:lineRule="auto"/>
              <w:jc w:val="left"/>
              <w:rPr>
                <w:rStyle w:val="Hyperlink"/>
                <w:rtl/>
              </w:rPr>
            </w:pPr>
            <w:hyperlink w:anchor="Seif4" w:tooltip="תשלום הפרשי הפיצוי לעצמאי בשירות מילואים"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r>
              <w:rPr>
                <w:rFonts w:cs="Times New Roman"/>
                <w:sz w:val="24"/>
                <w:rtl/>
              </w:rPr>
              <w:t xml:space="preserve">סעיף 5 </w:t>
            </w: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הגבלות עיקולים וקיזוזים</w:t>
            </w:r>
          </w:p>
        </w:tc>
        <w:tc>
          <w:tcPr>
            <w:tcW w:w="567" w:type="dxa"/>
          </w:tcPr>
          <w:p w:rsidR="00851A93" w:rsidRPr="00851A93" w:rsidRDefault="00851A93" w:rsidP="00851A93">
            <w:pPr>
              <w:spacing w:line="240" w:lineRule="auto"/>
              <w:jc w:val="left"/>
              <w:rPr>
                <w:rStyle w:val="Hyperlink"/>
                <w:rtl/>
              </w:rPr>
            </w:pPr>
            <w:hyperlink w:anchor="Seif5" w:tooltip="הגבלות עיקולים וקיזוזים"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r>
              <w:rPr>
                <w:rFonts w:cs="Times New Roman"/>
                <w:sz w:val="24"/>
                <w:rtl/>
              </w:rPr>
              <w:t xml:space="preserve">סעיף 6 </w:t>
            </w: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מימון</w:t>
            </w:r>
          </w:p>
        </w:tc>
        <w:tc>
          <w:tcPr>
            <w:tcW w:w="567" w:type="dxa"/>
          </w:tcPr>
          <w:p w:rsidR="00851A93" w:rsidRPr="00851A93" w:rsidRDefault="00851A93" w:rsidP="00851A93">
            <w:pPr>
              <w:spacing w:line="240" w:lineRule="auto"/>
              <w:jc w:val="left"/>
              <w:rPr>
                <w:rStyle w:val="Hyperlink"/>
                <w:rtl/>
              </w:rPr>
            </w:pPr>
            <w:hyperlink w:anchor="Seif6" w:tooltip="מימון"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r>
              <w:rPr>
                <w:rFonts w:cs="Times New Roman"/>
                <w:sz w:val="24"/>
                <w:rtl/>
              </w:rPr>
              <w:t xml:space="preserve">סעיף 7 </w:t>
            </w: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החזר</w:t>
            </w:r>
          </w:p>
        </w:tc>
        <w:tc>
          <w:tcPr>
            <w:tcW w:w="567" w:type="dxa"/>
          </w:tcPr>
          <w:p w:rsidR="00851A93" w:rsidRPr="00851A93" w:rsidRDefault="00851A93" w:rsidP="00851A93">
            <w:pPr>
              <w:spacing w:line="240" w:lineRule="auto"/>
              <w:jc w:val="left"/>
              <w:rPr>
                <w:rStyle w:val="Hyperlink"/>
                <w:rtl/>
              </w:rPr>
            </w:pPr>
            <w:hyperlink w:anchor="Seif7" w:tooltip="החזר"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r>
              <w:rPr>
                <w:rFonts w:cs="Times New Roman"/>
                <w:sz w:val="24"/>
                <w:rtl/>
              </w:rPr>
              <w:t xml:space="preserve">סעיף 8 </w:t>
            </w: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דוחות בקרה</w:t>
            </w:r>
          </w:p>
        </w:tc>
        <w:tc>
          <w:tcPr>
            <w:tcW w:w="567" w:type="dxa"/>
          </w:tcPr>
          <w:p w:rsidR="00851A93" w:rsidRPr="00851A93" w:rsidRDefault="00851A93" w:rsidP="00851A93">
            <w:pPr>
              <w:spacing w:line="240" w:lineRule="auto"/>
              <w:jc w:val="left"/>
              <w:rPr>
                <w:rStyle w:val="Hyperlink"/>
                <w:rtl/>
              </w:rPr>
            </w:pPr>
            <w:hyperlink w:anchor="Seif8" w:tooltip="דוחות בקרה"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r>
              <w:rPr>
                <w:rFonts w:cs="Times New Roman"/>
                <w:sz w:val="24"/>
                <w:rtl/>
              </w:rPr>
              <w:t xml:space="preserve">סעיף 9 </w:t>
            </w: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תחילה ותחולה</w:t>
            </w:r>
          </w:p>
        </w:tc>
        <w:tc>
          <w:tcPr>
            <w:tcW w:w="567" w:type="dxa"/>
          </w:tcPr>
          <w:p w:rsidR="00851A93" w:rsidRPr="00851A93" w:rsidRDefault="00851A93" w:rsidP="00851A93">
            <w:pPr>
              <w:spacing w:line="240" w:lineRule="auto"/>
              <w:jc w:val="left"/>
              <w:rPr>
                <w:rStyle w:val="Hyperlink"/>
                <w:rtl/>
              </w:rPr>
            </w:pPr>
            <w:hyperlink w:anchor="Seif9" w:tooltip="תחילה ותחולה"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A93" w:rsidRPr="00851A93" w:rsidTr="00851A93">
        <w:tblPrEx>
          <w:tblCellMar>
            <w:top w:w="0" w:type="dxa"/>
            <w:bottom w:w="0" w:type="dxa"/>
          </w:tblCellMar>
        </w:tblPrEx>
        <w:tc>
          <w:tcPr>
            <w:tcW w:w="1247" w:type="dxa"/>
          </w:tcPr>
          <w:p w:rsidR="00851A93" w:rsidRPr="00851A93" w:rsidRDefault="00851A93" w:rsidP="00851A93">
            <w:pPr>
              <w:spacing w:line="240" w:lineRule="auto"/>
              <w:jc w:val="left"/>
              <w:rPr>
                <w:rFonts w:cs="Frankruhel"/>
                <w:sz w:val="24"/>
                <w:rtl/>
              </w:rPr>
            </w:pPr>
          </w:p>
        </w:tc>
        <w:tc>
          <w:tcPr>
            <w:tcW w:w="5669" w:type="dxa"/>
          </w:tcPr>
          <w:p w:rsidR="00851A93" w:rsidRPr="00851A93" w:rsidRDefault="00851A93" w:rsidP="00851A93">
            <w:pPr>
              <w:spacing w:line="240" w:lineRule="auto"/>
              <w:jc w:val="left"/>
              <w:rPr>
                <w:rFonts w:cs="Frankruhel"/>
                <w:sz w:val="24"/>
                <w:rtl/>
              </w:rPr>
            </w:pPr>
            <w:r>
              <w:rPr>
                <w:rFonts w:cs="Times New Roman"/>
                <w:sz w:val="24"/>
                <w:rtl/>
              </w:rPr>
              <w:t>ולראיה באו הצדדים על החתום</w:t>
            </w:r>
          </w:p>
        </w:tc>
        <w:tc>
          <w:tcPr>
            <w:tcW w:w="567" w:type="dxa"/>
          </w:tcPr>
          <w:p w:rsidR="00851A93" w:rsidRPr="00851A93" w:rsidRDefault="00851A93" w:rsidP="00851A93">
            <w:pPr>
              <w:spacing w:line="240" w:lineRule="auto"/>
              <w:jc w:val="left"/>
              <w:rPr>
                <w:rStyle w:val="Hyperlink"/>
                <w:rtl/>
              </w:rPr>
            </w:pPr>
            <w:hyperlink w:anchor="med2" w:tooltip="ולראיה באו הצדדים על החתום" w:history="1">
              <w:r w:rsidRPr="00851A93">
                <w:rPr>
                  <w:rStyle w:val="Hyperlink"/>
                </w:rPr>
                <w:t>Go</w:t>
              </w:r>
            </w:hyperlink>
          </w:p>
        </w:tc>
        <w:tc>
          <w:tcPr>
            <w:tcW w:w="850" w:type="dxa"/>
          </w:tcPr>
          <w:p w:rsidR="00851A93" w:rsidRPr="00851A93" w:rsidRDefault="00851A93" w:rsidP="00851A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1D7594" w:rsidRDefault="001D7594">
      <w:pPr>
        <w:pStyle w:val="big-header"/>
        <w:ind w:left="0" w:right="1134"/>
        <w:rPr>
          <w:rtl/>
        </w:rPr>
      </w:pPr>
    </w:p>
    <w:p w:rsidR="001D7594" w:rsidRPr="00C807F6" w:rsidRDefault="001D7594" w:rsidP="00C808B4">
      <w:pPr>
        <w:pStyle w:val="big-header"/>
        <w:ind w:left="0" w:right="1134"/>
        <w:rPr>
          <w:rStyle w:val="default"/>
          <w:rFonts w:cs="FrankRuehl" w:hint="cs"/>
          <w:szCs w:val="32"/>
          <w:rtl/>
        </w:rPr>
      </w:pPr>
      <w:r>
        <w:rPr>
          <w:rtl/>
        </w:rPr>
        <w:br w:type="page"/>
      </w:r>
      <w:r w:rsidR="00C808B4">
        <w:rPr>
          <w:rtl/>
        </w:rPr>
        <w:lastRenderedPageBreak/>
        <w:t xml:space="preserve">הסכם בדבר </w:t>
      </w:r>
      <w:r w:rsidR="00C808B4">
        <w:rPr>
          <w:rFonts w:hint="cs"/>
          <w:rtl/>
        </w:rPr>
        <w:t>תשלום פיצוי לעצמאי בשירות מילואים, תשע"ז-2017</w:t>
      </w:r>
      <w:r w:rsidR="00F4090B">
        <w:rPr>
          <w:rStyle w:val="a6"/>
          <w:rtl/>
        </w:rPr>
        <w:footnoteReference w:customMarkFollows="1" w:id="1"/>
        <w:t>*</w:t>
      </w:r>
    </w:p>
    <w:p w:rsidR="001D7594" w:rsidRDefault="001D7594" w:rsidP="00073717">
      <w:pPr>
        <w:pStyle w:val="medium2-header"/>
        <w:keepLines w:val="0"/>
        <w:spacing w:before="72"/>
        <w:ind w:left="0" w:right="1134"/>
        <w:rPr>
          <w:noProof/>
          <w:sz w:val="20"/>
          <w:rtl/>
        </w:rPr>
      </w:pPr>
      <w:bookmarkStart w:id="0" w:name="med0"/>
      <w:bookmarkEnd w:id="0"/>
      <w:r>
        <w:rPr>
          <w:noProof/>
          <w:sz w:val="20"/>
          <w:rtl/>
        </w:rPr>
        <w:t>ה</w:t>
      </w:r>
      <w:r>
        <w:rPr>
          <w:rFonts w:hint="cs"/>
          <w:noProof/>
          <w:sz w:val="20"/>
          <w:rtl/>
        </w:rPr>
        <w:t xml:space="preserve">סכם בדבר </w:t>
      </w:r>
      <w:r w:rsidR="00073717">
        <w:rPr>
          <w:rFonts w:hint="cs"/>
          <w:noProof/>
          <w:sz w:val="20"/>
          <w:rtl/>
        </w:rPr>
        <w:t>תשלום פיצוי לעצמאי בשירות מילואים</w:t>
      </w:r>
    </w:p>
    <w:p w:rsidR="001D7594" w:rsidRDefault="001D7594" w:rsidP="00073717">
      <w:pPr>
        <w:pStyle w:val="medium2-header"/>
        <w:keepLines w:val="0"/>
        <w:spacing w:before="72"/>
        <w:ind w:left="0" w:right="1134"/>
        <w:rPr>
          <w:noProof/>
          <w:sz w:val="20"/>
          <w:rtl/>
        </w:rPr>
      </w:pPr>
      <w:bookmarkStart w:id="1" w:name="med1"/>
      <w:bookmarkEnd w:id="1"/>
      <w:r>
        <w:rPr>
          <w:noProof/>
          <w:sz w:val="20"/>
          <w:rtl/>
        </w:rPr>
        <w:t>ש</w:t>
      </w:r>
      <w:r>
        <w:rPr>
          <w:rFonts w:hint="cs"/>
          <w:noProof/>
          <w:sz w:val="20"/>
          <w:rtl/>
        </w:rPr>
        <w:t>נערך ונחתם בירושלים ביום י</w:t>
      </w:r>
      <w:r>
        <w:rPr>
          <w:noProof/>
          <w:sz w:val="20"/>
          <w:rtl/>
        </w:rPr>
        <w:t>"</w:t>
      </w:r>
      <w:r>
        <w:rPr>
          <w:rFonts w:hint="cs"/>
          <w:noProof/>
          <w:sz w:val="20"/>
          <w:rtl/>
        </w:rPr>
        <w:t xml:space="preserve">א </w:t>
      </w:r>
      <w:r w:rsidR="00073717">
        <w:rPr>
          <w:rFonts w:hint="cs"/>
          <w:noProof/>
          <w:sz w:val="20"/>
          <w:rtl/>
        </w:rPr>
        <w:t>בתמוז התשע"ז (5 ביולי 2017</w:t>
      </w:r>
      <w:r>
        <w:rPr>
          <w:rFonts w:hint="cs"/>
          <w:noProof/>
          <w:sz w:val="20"/>
          <w:rtl/>
        </w:rPr>
        <w:t>)</w:t>
      </w:r>
    </w:p>
    <w:p w:rsidR="00073717" w:rsidRDefault="001D7594" w:rsidP="00073717">
      <w:pPr>
        <w:pStyle w:val="P00"/>
        <w:spacing w:before="72"/>
        <w:ind w:left="0" w:right="1134"/>
        <w:rPr>
          <w:rStyle w:val="default"/>
          <w:rFonts w:cs="FrankRuehl" w:hint="cs"/>
          <w:rtl/>
        </w:rPr>
      </w:pPr>
      <w:r w:rsidRPr="00073717">
        <w:rPr>
          <w:rStyle w:val="default"/>
          <w:rFonts w:cs="FrankRuehl"/>
          <w:b/>
          <w:bCs/>
          <w:sz w:val="22"/>
          <w:szCs w:val="22"/>
          <w:rtl/>
        </w:rPr>
        <w:t>ב</w:t>
      </w:r>
      <w:r w:rsidRPr="00073717">
        <w:rPr>
          <w:rStyle w:val="default"/>
          <w:rFonts w:cs="FrankRuehl" w:hint="cs"/>
          <w:b/>
          <w:bCs/>
          <w:sz w:val="22"/>
          <w:szCs w:val="22"/>
          <w:rtl/>
        </w:rPr>
        <w:t>ין</w:t>
      </w:r>
      <w:r w:rsidR="00073717">
        <w:rPr>
          <w:rStyle w:val="default"/>
          <w:rFonts w:cs="FrankRuehl" w:hint="cs"/>
          <w:rtl/>
        </w:rPr>
        <w:t xml:space="preserve">: משרד הביטחון/צה"ל (להלן </w:t>
      </w:r>
      <w:r w:rsidR="00073717">
        <w:rPr>
          <w:rStyle w:val="default"/>
          <w:rFonts w:cs="FrankRuehl"/>
          <w:rtl/>
        </w:rPr>
        <w:t>–</w:t>
      </w:r>
      <w:r w:rsidR="00073717">
        <w:rPr>
          <w:rStyle w:val="default"/>
          <w:rFonts w:cs="FrankRuehl" w:hint="cs"/>
          <w:rtl/>
        </w:rPr>
        <w:t xml:space="preserve"> צה"ל</w:t>
      </w:r>
      <w:r>
        <w:rPr>
          <w:rStyle w:val="default"/>
          <w:rFonts w:cs="FrankRuehl" w:hint="cs"/>
          <w:rtl/>
        </w:rPr>
        <w:t>) המ</w:t>
      </w:r>
      <w:r w:rsidR="00073717">
        <w:rPr>
          <w:rStyle w:val="default"/>
          <w:rFonts w:cs="FrankRuehl" w:hint="cs"/>
          <w:rtl/>
        </w:rPr>
        <w:t>יוצג</w:t>
      </w:r>
      <w:r>
        <w:rPr>
          <w:rStyle w:val="default"/>
          <w:rFonts w:cs="FrankRuehl" w:hint="cs"/>
          <w:rtl/>
        </w:rPr>
        <w:t xml:space="preserve"> על ידי </w:t>
      </w:r>
      <w:r w:rsidR="00073717">
        <w:rPr>
          <w:rStyle w:val="default"/>
          <w:rFonts w:cs="FrankRuehl" w:hint="cs"/>
          <w:rtl/>
        </w:rPr>
        <w:t>עמוס שקדי, ראש אגף הכספים</w:t>
      </w:r>
      <w:r>
        <w:rPr>
          <w:rStyle w:val="default"/>
          <w:rFonts w:cs="FrankRuehl" w:hint="cs"/>
          <w:rtl/>
        </w:rPr>
        <w:t xml:space="preserve"> וחשב </w:t>
      </w:r>
      <w:r w:rsidR="00073717">
        <w:rPr>
          <w:rStyle w:val="default"/>
          <w:rFonts w:cs="FrankRuehl" w:hint="cs"/>
          <w:rtl/>
        </w:rPr>
        <w:t>המשרד, אלוף מוטי אלמוז, ראש אגף כוח האדם בצה"ל, ועל ידי תת-אלוף ד"ר ששון חדד, ראש אגף התקציבים במשרד הביטחון והיועץ הכספי לראש המטה הכללי;</w:t>
      </w:r>
    </w:p>
    <w:p w:rsidR="001D7594" w:rsidRPr="00073717" w:rsidRDefault="00073717" w:rsidP="00073717">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b/>
          <w:bCs/>
          <w:sz w:val="22"/>
          <w:szCs w:val="22"/>
          <w:rtl/>
        </w:rPr>
      </w:pPr>
      <w:r>
        <w:rPr>
          <w:rStyle w:val="default"/>
          <w:rFonts w:cs="FrankRuehl" w:hint="cs"/>
          <w:rtl/>
        </w:rPr>
        <w:tab/>
      </w:r>
      <w:r w:rsidR="001D7594" w:rsidRPr="00073717">
        <w:rPr>
          <w:rStyle w:val="default"/>
          <w:rFonts w:cs="FrankRuehl" w:hint="cs"/>
          <w:b/>
          <w:bCs/>
          <w:sz w:val="22"/>
          <w:szCs w:val="22"/>
          <w:rtl/>
        </w:rPr>
        <w:t>מצד אחד</w:t>
      </w:r>
    </w:p>
    <w:p w:rsidR="00073717" w:rsidRDefault="001D7594" w:rsidP="00073717">
      <w:pPr>
        <w:pStyle w:val="P00"/>
        <w:spacing w:before="72"/>
        <w:ind w:left="0" w:right="1134"/>
        <w:rPr>
          <w:rStyle w:val="default"/>
          <w:rFonts w:cs="FrankRuehl" w:hint="cs"/>
          <w:rtl/>
        </w:rPr>
      </w:pPr>
      <w:r w:rsidRPr="00073717">
        <w:rPr>
          <w:rStyle w:val="default"/>
          <w:rFonts w:cs="FrankRuehl"/>
          <w:b/>
          <w:bCs/>
          <w:sz w:val="22"/>
          <w:szCs w:val="22"/>
          <w:rtl/>
        </w:rPr>
        <w:t>ל</w:t>
      </w:r>
      <w:r w:rsidRPr="00073717">
        <w:rPr>
          <w:rStyle w:val="default"/>
          <w:rFonts w:cs="FrankRuehl" w:hint="cs"/>
          <w:b/>
          <w:bCs/>
          <w:sz w:val="22"/>
          <w:szCs w:val="22"/>
          <w:rtl/>
        </w:rPr>
        <w:t>בין</w:t>
      </w:r>
      <w:r w:rsidR="00073717">
        <w:rPr>
          <w:rStyle w:val="default"/>
          <w:rFonts w:cs="FrankRuehl" w:hint="cs"/>
          <w:rtl/>
        </w:rPr>
        <w:t xml:space="preserve">: </w:t>
      </w:r>
      <w:r>
        <w:rPr>
          <w:rStyle w:val="default"/>
          <w:rFonts w:cs="FrankRuehl"/>
          <w:rtl/>
        </w:rPr>
        <w:t>ה</w:t>
      </w:r>
      <w:r>
        <w:rPr>
          <w:rStyle w:val="default"/>
          <w:rFonts w:cs="FrankRuehl" w:hint="cs"/>
          <w:rtl/>
        </w:rPr>
        <w:t>מוסד לביטוח ל</w:t>
      </w:r>
      <w:r>
        <w:rPr>
          <w:rStyle w:val="default"/>
          <w:rFonts w:cs="FrankRuehl"/>
          <w:rtl/>
        </w:rPr>
        <w:t>א</w:t>
      </w:r>
      <w:r>
        <w:rPr>
          <w:rStyle w:val="default"/>
          <w:rFonts w:cs="FrankRuehl" w:hint="cs"/>
          <w:rtl/>
        </w:rPr>
        <w:t xml:space="preserve">ומי (להלן </w:t>
      </w:r>
      <w:r w:rsidR="00073717">
        <w:rPr>
          <w:rStyle w:val="default"/>
          <w:rFonts w:cs="FrankRuehl"/>
          <w:rtl/>
        </w:rPr>
        <w:t>–</w:t>
      </w:r>
      <w:r>
        <w:rPr>
          <w:rStyle w:val="default"/>
          <w:rFonts w:cs="FrankRuehl" w:hint="cs"/>
          <w:rtl/>
        </w:rPr>
        <w:t xml:space="preserve"> המוסד), המיוצג על ידי </w:t>
      </w:r>
      <w:r w:rsidR="00073717">
        <w:rPr>
          <w:rStyle w:val="default"/>
          <w:rFonts w:cs="FrankRuehl" w:hint="cs"/>
          <w:rtl/>
        </w:rPr>
        <w:t>רמי גראור, ממלא מקום המנהל הכללי של המוסד, אילנה שרייבמן, המשנה למנהל הכללי של המוסד, וחגית מויאל גולדשטיין, חשבת המוסד;</w:t>
      </w:r>
    </w:p>
    <w:p w:rsidR="001D7594" w:rsidRPr="00073717" w:rsidRDefault="00073717" w:rsidP="00073717">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b/>
          <w:bCs/>
          <w:sz w:val="22"/>
          <w:szCs w:val="22"/>
          <w:rtl/>
        </w:rPr>
      </w:pPr>
      <w:r>
        <w:rPr>
          <w:rStyle w:val="default"/>
          <w:rFonts w:cs="FrankRuehl" w:hint="cs"/>
          <w:rtl/>
        </w:rPr>
        <w:tab/>
      </w:r>
      <w:r w:rsidRPr="00073717">
        <w:rPr>
          <w:rStyle w:val="default"/>
          <w:rFonts w:cs="FrankRuehl" w:hint="cs"/>
          <w:b/>
          <w:bCs/>
          <w:sz w:val="22"/>
          <w:szCs w:val="22"/>
          <w:rtl/>
        </w:rPr>
        <w:t>מצד שני</w:t>
      </w:r>
    </w:p>
    <w:p w:rsidR="00073717" w:rsidRDefault="00073717" w:rsidP="00073717">
      <w:pPr>
        <w:pStyle w:val="P00"/>
        <w:spacing w:before="72"/>
        <w:ind w:left="0" w:right="1134"/>
        <w:rPr>
          <w:rStyle w:val="default"/>
          <w:rFonts w:cs="FrankRuehl"/>
          <w:rtl/>
        </w:rPr>
      </w:pPr>
      <w:r w:rsidRPr="00073717">
        <w:rPr>
          <w:rStyle w:val="default"/>
          <w:rFonts w:cs="FrankRuehl"/>
          <w:b/>
          <w:bCs/>
          <w:sz w:val="22"/>
          <w:szCs w:val="22"/>
          <w:rtl/>
        </w:rPr>
        <w:t>ה</w:t>
      </w:r>
      <w:r w:rsidRPr="00073717">
        <w:rPr>
          <w:rStyle w:val="default"/>
          <w:rFonts w:cs="FrankRuehl" w:hint="cs"/>
          <w:b/>
          <w:bCs/>
          <w:sz w:val="22"/>
          <w:szCs w:val="22"/>
          <w:rtl/>
        </w:rPr>
        <w:t>ואיל</w:t>
      </w:r>
      <w:r>
        <w:rPr>
          <w:rStyle w:val="default"/>
          <w:rFonts w:cs="FrankRuehl" w:hint="cs"/>
          <w:rtl/>
        </w:rPr>
        <w:t xml:space="preserve">: ובהתאם לחוק הביטוח הלאומי [נוסח משולב], התשנ"ה-1995 (להלן </w:t>
      </w:r>
      <w:r>
        <w:rPr>
          <w:rStyle w:val="default"/>
          <w:rFonts w:cs="FrankRuehl"/>
          <w:rtl/>
        </w:rPr>
        <w:t>–</w:t>
      </w:r>
      <w:r>
        <w:rPr>
          <w:rStyle w:val="default"/>
          <w:rFonts w:cs="FrankRuehl" w:hint="cs"/>
          <w:rtl/>
        </w:rPr>
        <w:t xml:space="preserve"> החוק), משלם המוסד תגמולים למשרתים במילואים לפי כללים, תנאים, מבחנים, שיעורים וסכומים שנקבעו בפרק י"ב לחוק ובתקנות הביטוח הלאומי (תגמול בעד שירות חד-יומי), התשמ"ז-1987, ותקנות הביטוח הלאומי (תגמולים למשרתים במילואים), התשל"ח-1977 (להלן </w:t>
      </w:r>
      <w:r>
        <w:rPr>
          <w:rStyle w:val="default"/>
          <w:rFonts w:cs="FrankRuehl"/>
          <w:rtl/>
        </w:rPr>
        <w:t>–</w:t>
      </w:r>
      <w:r>
        <w:rPr>
          <w:rStyle w:val="default"/>
          <w:rFonts w:cs="FrankRuehl" w:hint="cs"/>
          <w:rtl/>
        </w:rPr>
        <w:t xml:space="preserve"> התקנות);</w:t>
      </w:r>
    </w:p>
    <w:p w:rsidR="00073717" w:rsidRDefault="00073717" w:rsidP="00073717">
      <w:pPr>
        <w:pStyle w:val="P00"/>
        <w:spacing w:before="72"/>
        <w:ind w:left="0" w:right="1134"/>
        <w:rPr>
          <w:rStyle w:val="default"/>
          <w:rFonts w:cs="FrankRuehl"/>
          <w:rtl/>
        </w:rPr>
      </w:pPr>
      <w:r>
        <w:rPr>
          <w:rStyle w:val="default"/>
          <w:rFonts w:cs="FrankRuehl" w:hint="cs"/>
          <w:b/>
          <w:bCs/>
          <w:sz w:val="22"/>
          <w:szCs w:val="22"/>
          <w:rtl/>
        </w:rPr>
        <w:t>ו</w:t>
      </w:r>
      <w:r w:rsidRPr="00073717">
        <w:rPr>
          <w:rStyle w:val="default"/>
          <w:rFonts w:cs="FrankRuehl"/>
          <w:b/>
          <w:bCs/>
          <w:sz w:val="22"/>
          <w:szCs w:val="22"/>
          <w:rtl/>
        </w:rPr>
        <w:t>ה</w:t>
      </w:r>
      <w:r w:rsidRPr="00073717">
        <w:rPr>
          <w:rStyle w:val="default"/>
          <w:rFonts w:cs="FrankRuehl" w:hint="cs"/>
          <w:b/>
          <w:bCs/>
          <w:sz w:val="22"/>
          <w:szCs w:val="22"/>
          <w:rtl/>
        </w:rPr>
        <w:t>ואיל</w:t>
      </w:r>
      <w:r>
        <w:rPr>
          <w:rStyle w:val="default"/>
          <w:rFonts w:cs="FrankRuehl" w:hint="cs"/>
          <w:rtl/>
        </w:rPr>
        <w:t>: ומשרתי מילואים שהם עובדים עצמאיים זכאים להחזר בגין אובדן הכנסתם בתקופת השירות, אך אינם זכאים להחזר בגין הפסדי הכנסה אחרים, כתוצאה משירות המילואים;</w:t>
      </w:r>
    </w:p>
    <w:p w:rsidR="001D7594" w:rsidRDefault="00073717" w:rsidP="00073717">
      <w:pPr>
        <w:pStyle w:val="P00"/>
        <w:spacing w:before="72"/>
        <w:ind w:left="0" w:right="1134"/>
        <w:rPr>
          <w:rStyle w:val="default"/>
          <w:rFonts w:cs="FrankRuehl"/>
          <w:rtl/>
        </w:rPr>
      </w:pPr>
      <w:r>
        <w:rPr>
          <w:rStyle w:val="default"/>
          <w:rFonts w:cs="FrankRuehl" w:hint="cs"/>
          <w:b/>
          <w:bCs/>
          <w:sz w:val="22"/>
          <w:szCs w:val="22"/>
          <w:rtl/>
        </w:rPr>
        <w:t>ו</w:t>
      </w:r>
      <w:r w:rsidR="001D7594" w:rsidRPr="00073717">
        <w:rPr>
          <w:rStyle w:val="default"/>
          <w:rFonts w:cs="FrankRuehl"/>
          <w:b/>
          <w:bCs/>
          <w:sz w:val="22"/>
          <w:szCs w:val="22"/>
          <w:rtl/>
        </w:rPr>
        <w:t>ה</w:t>
      </w:r>
      <w:r w:rsidR="001D7594" w:rsidRPr="00073717">
        <w:rPr>
          <w:rStyle w:val="default"/>
          <w:rFonts w:cs="FrankRuehl" w:hint="cs"/>
          <w:b/>
          <w:bCs/>
          <w:sz w:val="22"/>
          <w:szCs w:val="22"/>
          <w:rtl/>
        </w:rPr>
        <w:t>ואיל</w:t>
      </w:r>
      <w:r>
        <w:rPr>
          <w:rStyle w:val="default"/>
          <w:rFonts w:cs="FrankRuehl" w:hint="cs"/>
          <w:rtl/>
        </w:rPr>
        <w:t>:</w:t>
      </w:r>
      <w:r w:rsidR="001D7594">
        <w:rPr>
          <w:rStyle w:val="default"/>
          <w:rFonts w:cs="FrankRuehl" w:hint="cs"/>
          <w:rtl/>
        </w:rPr>
        <w:t xml:space="preserve"> </w:t>
      </w:r>
      <w:r>
        <w:rPr>
          <w:rStyle w:val="default"/>
          <w:rFonts w:cs="FrankRuehl" w:hint="cs"/>
          <w:rtl/>
        </w:rPr>
        <w:t>וועדת קדמי המליצה לקבוע תגמול בשיעור של 25% מהכנסתו הממוצעת של משרת המילואים העצמאי, כשקלול ההפסדים בגין ההוצאות הקבועות שאינן מוסדות כיום בחוק</w:t>
      </w:r>
      <w:r w:rsidR="001D7594">
        <w:rPr>
          <w:rStyle w:val="default"/>
          <w:rFonts w:cs="FrankRuehl" w:hint="cs"/>
          <w:rtl/>
        </w:rPr>
        <w:t>;</w:t>
      </w:r>
    </w:p>
    <w:p w:rsidR="00073717" w:rsidRDefault="00073717" w:rsidP="00073717">
      <w:pPr>
        <w:pStyle w:val="P00"/>
        <w:spacing w:before="72"/>
        <w:ind w:left="0" w:right="1134"/>
        <w:rPr>
          <w:rStyle w:val="default"/>
          <w:rFonts w:cs="FrankRuehl"/>
          <w:rtl/>
        </w:rPr>
      </w:pPr>
      <w:r>
        <w:rPr>
          <w:rStyle w:val="default"/>
          <w:rFonts w:cs="FrankRuehl" w:hint="cs"/>
          <w:b/>
          <w:bCs/>
          <w:sz w:val="22"/>
          <w:szCs w:val="22"/>
          <w:rtl/>
        </w:rPr>
        <w:t>ו</w:t>
      </w:r>
      <w:r w:rsidRPr="00073717">
        <w:rPr>
          <w:rStyle w:val="default"/>
          <w:rFonts w:cs="FrankRuehl"/>
          <w:b/>
          <w:bCs/>
          <w:sz w:val="22"/>
          <w:szCs w:val="22"/>
          <w:rtl/>
        </w:rPr>
        <w:t>ה</w:t>
      </w:r>
      <w:r w:rsidRPr="00073717">
        <w:rPr>
          <w:rStyle w:val="default"/>
          <w:rFonts w:cs="FrankRuehl" w:hint="cs"/>
          <w:b/>
          <w:bCs/>
          <w:sz w:val="22"/>
          <w:szCs w:val="22"/>
          <w:rtl/>
        </w:rPr>
        <w:t>ואיל</w:t>
      </w:r>
      <w:r>
        <w:rPr>
          <w:rStyle w:val="default"/>
          <w:rFonts w:cs="FrankRuehl" w:hint="cs"/>
          <w:rtl/>
        </w:rPr>
        <w:t>: וועדת השרים לענייני חקיקה החליטה ביום 14 בפברואר 2016 (חק/801) לתמוך, בקריאה טרומית, בהצעות חוק פ/1659/20, 1796/20, שעניינן הגדלת תגמולי המילואים למשרת מילואים עצמאי בשיעור של 25% מההכנסה הממוצעת שלו;</w:t>
      </w:r>
    </w:p>
    <w:p w:rsidR="00073717" w:rsidRDefault="00073717" w:rsidP="00073717">
      <w:pPr>
        <w:pStyle w:val="P00"/>
        <w:spacing w:before="72"/>
        <w:ind w:left="0" w:right="1134"/>
        <w:rPr>
          <w:rStyle w:val="default"/>
          <w:rFonts w:cs="FrankRuehl"/>
          <w:rtl/>
        </w:rPr>
      </w:pPr>
      <w:r>
        <w:rPr>
          <w:rStyle w:val="default"/>
          <w:rFonts w:cs="FrankRuehl" w:hint="cs"/>
          <w:b/>
          <w:bCs/>
          <w:sz w:val="22"/>
          <w:szCs w:val="22"/>
          <w:rtl/>
        </w:rPr>
        <w:t>ו</w:t>
      </w:r>
      <w:r w:rsidRPr="00073717">
        <w:rPr>
          <w:rStyle w:val="default"/>
          <w:rFonts w:cs="FrankRuehl"/>
          <w:b/>
          <w:bCs/>
          <w:sz w:val="22"/>
          <w:szCs w:val="22"/>
          <w:rtl/>
        </w:rPr>
        <w:t>ה</w:t>
      </w:r>
      <w:r w:rsidRPr="00073717">
        <w:rPr>
          <w:rStyle w:val="default"/>
          <w:rFonts w:cs="FrankRuehl" w:hint="cs"/>
          <w:b/>
          <w:bCs/>
          <w:sz w:val="22"/>
          <w:szCs w:val="22"/>
          <w:rtl/>
        </w:rPr>
        <w:t>ואיל</w:t>
      </w:r>
      <w:r>
        <w:rPr>
          <w:rStyle w:val="default"/>
          <w:rFonts w:cs="FrankRuehl" w:hint="cs"/>
          <w:rtl/>
        </w:rPr>
        <w:t xml:space="preserve">: ונוכח סעיף 20 לחוק שירות מילואים, התשס"ח-2008 (להלן </w:t>
      </w:r>
      <w:r>
        <w:rPr>
          <w:rStyle w:val="default"/>
          <w:rFonts w:cs="FrankRuehl"/>
          <w:rtl/>
        </w:rPr>
        <w:t>–</w:t>
      </w:r>
      <w:r>
        <w:rPr>
          <w:rStyle w:val="default"/>
          <w:rFonts w:cs="FrankRuehl" w:hint="cs"/>
          <w:rtl/>
        </w:rPr>
        <w:t xml:space="preserve"> חוק המילואים, שלפיו רשאית הממשלה וכן כל גוף ציבורי לקיים פעילות או לקבוע </w:t>
      </w:r>
      <w:r w:rsidR="00065E97">
        <w:rPr>
          <w:rStyle w:val="default"/>
          <w:rFonts w:cs="FrankRuehl" w:hint="cs"/>
          <w:rtl/>
        </w:rPr>
        <w:t>הוראות שיש בהן כדי לתגמל חיילי מילואים או להביע הוקרה כלפיהם בהתחשב, בין השאר, במספר הימים ששירתו בשירות מילואים, במשך התקופה שבה שירתו במילואים, ברציפות שירות המילואים לאורך השנים, בטיבה של ההטבה שתינתן להם לפי פעולה או הוראה כאמור ובהיקפה</w:t>
      </w:r>
      <w:r>
        <w:rPr>
          <w:rStyle w:val="default"/>
          <w:rFonts w:cs="FrankRuehl" w:hint="cs"/>
          <w:rtl/>
        </w:rPr>
        <w:t>;</w:t>
      </w:r>
    </w:p>
    <w:p w:rsidR="00065E97" w:rsidRDefault="00065E97" w:rsidP="00065E97">
      <w:pPr>
        <w:pStyle w:val="P00"/>
        <w:spacing w:before="72"/>
        <w:ind w:left="0" w:right="1134"/>
        <w:rPr>
          <w:rStyle w:val="default"/>
          <w:rFonts w:cs="FrankRuehl"/>
          <w:rtl/>
        </w:rPr>
      </w:pPr>
      <w:r>
        <w:rPr>
          <w:rStyle w:val="default"/>
          <w:rFonts w:cs="FrankRuehl" w:hint="cs"/>
          <w:b/>
          <w:bCs/>
          <w:sz w:val="22"/>
          <w:szCs w:val="22"/>
          <w:rtl/>
        </w:rPr>
        <w:t>ו</w:t>
      </w:r>
      <w:r w:rsidRPr="00073717">
        <w:rPr>
          <w:rStyle w:val="default"/>
          <w:rFonts w:cs="FrankRuehl"/>
          <w:b/>
          <w:bCs/>
          <w:sz w:val="22"/>
          <w:szCs w:val="22"/>
          <w:rtl/>
        </w:rPr>
        <w:t>ה</w:t>
      </w:r>
      <w:r w:rsidRPr="00073717">
        <w:rPr>
          <w:rStyle w:val="default"/>
          <w:rFonts w:cs="FrankRuehl" w:hint="cs"/>
          <w:b/>
          <w:bCs/>
          <w:sz w:val="22"/>
          <w:szCs w:val="22"/>
          <w:rtl/>
        </w:rPr>
        <w:t>ואיל</w:t>
      </w:r>
      <w:r>
        <w:rPr>
          <w:rStyle w:val="default"/>
          <w:rFonts w:cs="FrankRuehl" w:hint="cs"/>
          <w:rtl/>
        </w:rPr>
        <w:t>: והמוסד וצה"ל מוקירים את חיילי המילואים, המהווים קבוצה נבחרת של משרתים הפועלים מתוך תחושת שליחות;</w:t>
      </w:r>
    </w:p>
    <w:p w:rsidR="00065E97" w:rsidRDefault="00065E97" w:rsidP="00065E97">
      <w:pPr>
        <w:pStyle w:val="P00"/>
        <w:spacing w:before="72"/>
        <w:ind w:left="0" w:right="1134"/>
        <w:rPr>
          <w:rStyle w:val="default"/>
          <w:rFonts w:cs="FrankRuehl"/>
          <w:rtl/>
        </w:rPr>
      </w:pPr>
      <w:r>
        <w:rPr>
          <w:rStyle w:val="default"/>
          <w:rFonts w:cs="FrankRuehl" w:hint="cs"/>
          <w:b/>
          <w:bCs/>
          <w:sz w:val="22"/>
          <w:szCs w:val="22"/>
          <w:rtl/>
        </w:rPr>
        <w:t>ו</w:t>
      </w:r>
      <w:r w:rsidRPr="00073717">
        <w:rPr>
          <w:rStyle w:val="default"/>
          <w:rFonts w:cs="FrankRuehl"/>
          <w:b/>
          <w:bCs/>
          <w:sz w:val="22"/>
          <w:szCs w:val="22"/>
          <w:rtl/>
        </w:rPr>
        <w:t>ה</w:t>
      </w:r>
      <w:r w:rsidRPr="00073717">
        <w:rPr>
          <w:rStyle w:val="default"/>
          <w:rFonts w:cs="FrankRuehl" w:hint="cs"/>
          <w:b/>
          <w:bCs/>
          <w:sz w:val="22"/>
          <w:szCs w:val="22"/>
          <w:rtl/>
        </w:rPr>
        <w:t>ואיל</w:t>
      </w:r>
      <w:r>
        <w:rPr>
          <w:rStyle w:val="default"/>
          <w:rFonts w:cs="FrankRuehl" w:hint="cs"/>
          <w:rtl/>
        </w:rPr>
        <w:t>: והמוסד הסכים, לאחר שהתמלאו התנאים האמורים בסעיף 9 לחוק, לבצע את התשלומים בעד הפיצוי לעצמאים בשירות מילואים, הכול בתנאים ולפי הכללים המפורטים בהסכם זה.</w:t>
      </w:r>
    </w:p>
    <w:p w:rsidR="001D7594" w:rsidRDefault="001D7594" w:rsidP="00065E97">
      <w:pPr>
        <w:pStyle w:val="P00"/>
        <w:spacing w:before="72"/>
        <w:ind w:left="0" w:right="1134"/>
        <w:rPr>
          <w:rStyle w:val="default"/>
          <w:rFonts w:cs="FrankRuehl" w:hint="cs"/>
          <w:rtl/>
        </w:rPr>
      </w:pPr>
      <w:r w:rsidRPr="00065E97">
        <w:rPr>
          <w:rStyle w:val="default"/>
          <w:rFonts w:cs="FrankRuehl"/>
          <w:b/>
          <w:bCs/>
          <w:sz w:val="22"/>
          <w:szCs w:val="22"/>
          <w:rtl/>
        </w:rPr>
        <w:t>ל</w:t>
      </w:r>
      <w:r w:rsidRPr="00065E97">
        <w:rPr>
          <w:rStyle w:val="default"/>
          <w:rFonts w:cs="FrankRuehl" w:hint="cs"/>
          <w:b/>
          <w:bCs/>
          <w:sz w:val="22"/>
          <w:szCs w:val="22"/>
          <w:rtl/>
        </w:rPr>
        <w:t xml:space="preserve">פיכך </w:t>
      </w:r>
      <w:r w:rsidR="00073717" w:rsidRPr="00065E97">
        <w:rPr>
          <w:rStyle w:val="default"/>
          <w:rFonts w:cs="FrankRuehl" w:hint="cs"/>
          <w:b/>
          <w:bCs/>
          <w:sz w:val="22"/>
          <w:szCs w:val="22"/>
          <w:rtl/>
        </w:rPr>
        <w:t xml:space="preserve">הוסכם </w:t>
      </w:r>
      <w:r w:rsidR="00065E97" w:rsidRPr="00065E97">
        <w:rPr>
          <w:rStyle w:val="default"/>
          <w:rFonts w:cs="FrankRuehl" w:hint="cs"/>
          <w:b/>
          <w:bCs/>
          <w:sz w:val="22"/>
          <w:szCs w:val="22"/>
          <w:rtl/>
        </w:rPr>
        <w:t xml:space="preserve">והותנה </w:t>
      </w:r>
      <w:r w:rsidR="00073717" w:rsidRPr="00065E97">
        <w:rPr>
          <w:rStyle w:val="default"/>
          <w:rFonts w:cs="FrankRuehl" w:hint="cs"/>
          <w:b/>
          <w:bCs/>
          <w:sz w:val="22"/>
          <w:szCs w:val="22"/>
          <w:rtl/>
        </w:rPr>
        <w:t>בין הצדדים כדלקמן</w:t>
      </w:r>
      <w:r w:rsidR="00073717">
        <w:rPr>
          <w:rStyle w:val="default"/>
          <w:rFonts w:cs="FrankRuehl" w:hint="cs"/>
          <w:rtl/>
        </w:rPr>
        <w:t>:</w:t>
      </w:r>
    </w:p>
    <w:p w:rsidR="001D7594" w:rsidRDefault="001D7594">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4.2pt;z-index:251653632" o:allowincell="f" filled="f" stroked="f" strokecolor="lime" strokeweight=".25pt">
            <v:textbox inset="0,0,0,0">
              <w:txbxContent>
                <w:p w:rsidR="001D7594" w:rsidRDefault="001D7594">
                  <w:pPr>
                    <w:spacing w:line="160" w:lineRule="exact"/>
                    <w:jc w:val="left"/>
                    <w:rPr>
                      <w:rFonts w:cs="Miriam"/>
                      <w:noProof/>
                      <w:szCs w:val="18"/>
                      <w:rtl/>
                    </w:rPr>
                  </w:pPr>
                  <w:r>
                    <w:rPr>
                      <w:rFonts w:cs="Miriam"/>
                      <w:szCs w:val="18"/>
                      <w:rtl/>
                    </w:rPr>
                    <w:t>ה</w:t>
                  </w:r>
                  <w:r>
                    <w:rPr>
                      <w:rFonts w:cs="Miriam" w:hint="cs"/>
                      <w:szCs w:val="18"/>
                      <w:rtl/>
                    </w:rPr>
                    <w:t>מבוא</w:t>
                  </w:r>
                </w:p>
              </w:txbxContent>
            </v:textbox>
            <w10:anchorlock/>
          </v:rect>
        </w:pict>
      </w:r>
      <w:r>
        <w:rPr>
          <w:rStyle w:val="big-number"/>
          <w:rFonts w:cs="Miriam"/>
          <w:rtl/>
        </w:rPr>
        <w:t>1.</w:t>
      </w:r>
      <w:r>
        <w:rPr>
          <w:rStyle w:val="big-number"/>
          <w:rFonts w:cs="Miriam"/>
          <w:rtl/>
        </w:rPr>
        <w:tab/>
      </w:r>
      <w:r>
        <w:rPr>
          <w:rStyle w:val="default"/>
          <w:rFonts w:cs="FrankRuehl"/>
          <w:rtl/>
        </w:rPr>
        <w:t>ד</w:t>
      </w:r>
      <w:r>
        <w:rPr>
          <w:rStyle w:val="default"/>
          <w:rFonts w:cs="FrankRuehl" w:hint="cs"/>
          <w:rtl/>
        </w:rPr>
        <w:t>ברי המב</w:t>
      </w:r>
      <w:r w:rsidR="00073717">
        <w:rPr>
          <w:rStyle w:val="default"/>
          <w:rFonts w:cs="FrankRuehl" w:hint="cs"/>
          <w:rtl/>
        </w:rPr>
        <w:t xml:space="preserve">וא </w:t>
      </w:r>
      <w:r w:rsidR="00065E97">
        <w:rPr>
          <w:rStyle w:val="default"/>
          <w:rFonts w:cs="FrankRuehl" w:hint="cs"/>
          <w:rtl/>
        </w:rPr>
        <w:t xml:space="preserve">להסכם זה </w:t>
      </w:r>
      <w:r w:rsidR="00073717">
        <w:rPr>
          <w:rStyle w:val="default"/>
          <w:rFonts w:cs="FrankRuehl" w:hint="cs"/>
          <w:rtl/>
        </w:rPr>
        <w:t>מהווים חלק בלתי נפרד מ</w:t>
      </w:r>
      <w:r w:rsidR="00065E97">
        <w:rPr>
          <w:rStyle w:val="default"/>
          <w:rFonts w:cs="FrankRuehl" w:hint="cs"/>
          <w:rtl/>
        </w:rPr>
        <w:t xml:space="preserve">גוף </w:t>
      </w:r>
      <w:r w:rsidR="00073717">
        <w:rPr>
          <w:rStyle w:val="default"/>
          <w:rFonts w:cs="FrankRuehl" w:hint="cs"/>
          <w:rtl/>
        </w:rPr>
        <w:t>ההסכם.</w:t>
      </w:r>
    </w:p>
    <w:p w:rsidR="001D7594" w:rsidRDefault="001D7594">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11.1pt;z-index:251654656" o:allowincell="f" filled="f" stroked="f" strokecolor="lime" strokeweight=".25pt">
            <v:textbox inset="0,0,0,0">
              <w:txbxContent>
                <w:p w:rsidR="001D7594" w:rsidRDefault="001D759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2.</w:t>
      </w:r>
      <w:r>
        <w:rPr>
          <w:rStyle w:val="big-number"/>
          <w:rFonts w:cs="Miriam"/>
          <w:rtl/>
        </w:rPr>
        <w:tab/>
      </w:r>
      <w:r>
        <w:rPr>
          <w:rStyle w:val="default"/>
          <w:rFonts w:cs="FrankRuehl"/>
          <w:rtl/>
        </w:rPr>
        <w:t>ב</w:t>
      </w:r>
      <w:r w:rsidR="00073717">
        <w:rPr>
          <w:rStyle w:val="default"/>
          <w:rFonts w:cs="FrankRuehl" w:hint="cs"/>
          <w:rtl/>
        </w:rPr>
        <w:t xml:space="preserve">הסכם זה </w:t>
      </w:r>
      <w:r w:rsidR="00073717">
        <w:rPr>
          <w:rStyle w:val="default"/>
          <w:rFonts w:cs="FrankRuehl"/>
          <w:rtl/>
        </w:rPr>
        <w:t>–</w:t>
      </w:r>
    </w:p>
    <w:p w:rsidR="00065E97" w:rsidRDefault="00065E97">
      <w:pPr>
        <w:pStyle w:val="P00"/>
        <w:spacing w:before="72"/>
        <w:ind w:left="0" w:right="1134"/>
        <w:rPr>
          <w:rStyle w:val="default"/>
          <w:rFonts w:cs="FrankRuehl" w:hint="cs"/>
          <w:rtl/>
        </w:rPr>
      </w:pPr>
      <w:r>
        <w:rPr>
          <w:rStyle w:val="default"/>
          <w:rFonts w:cs="FrankRuehl" w:hint="cs"/>
          <w:rtl/>
        </w:rPr>
        <w:tab/>
        <w:t xml:space="preserve">"הכנסה ממוצעת" </w:t>
      </w:r>
      <w:r>
        <w:rPr>
          <w:rStyle w:val="default"/>
          <w:rFonts w:cs="FrankRuehl"/>
          <w:rtl/>
        </w:rPr>
        <w:t>–</w:t>
      </w:r>
      <w:r>
        <w:rPr>
          <w:rStyle w:val="default"/>
          <w:rFonts w:cs="FrankRuehl" w:hint="cs"/>
          <w:rtl/>
        </w:rPr>
        <w:t xml:space="preserve"> הכנסתו של משרת מילואים עצמאי כמשמעותה בסעיף 273(א)(1) לחוק;</w:t>
      </w:r>
    </w:p>
    <w:p w:rsidR="00065E97" w:rsidRDefault="00065E97">
      <w:pPr>
        <w:pStyle w:val="P00"/>
        <w:spacing w:before="72"/>
        <w:ind w:left="0" w:right="1134"/>
        <w:rPr>
          <w:rStyle w:val="default"/>
          <w:rFonts w:cs="FrankRuehl" w:hint="cs"/>
          <w:rtl/>
        </w:rPr>
      </w:pPr>
      <w:r>
        <w:rPr>
          <w:rStyle w:val="default"/>
          <w:rFonts w:cs="FrankRuehl" w:hint="cs"/>
          <w:rtl/>
        </w:rPr>
        <w:tab/>
        <w:t>"</w:t>
      </w:r>
      <w:r w:rsidR="00187E65">
        <w:rPr>
          <w:rStyle w:val="default"/>
          <w:rFonts w:cs="FrankRuehl" w:hint="cs"/>
          <w:rtl/>
        </w:rPr>
        <w:t xml:space="preserve">התגמול המזערי" </w:t>
      </w:r>
      <w:r w:rsidR="00187E65">
        <w:rPr>
          <w:rStyle w:val="default"/>
          <w:rFonts w:cs="FrankRuehl"/>
          <w:rtl/>
        </w:rPr>
        <w:t>–</w:t>
      </w:r>
      <w:r w:rsidR="00187E65">
        <w:rPr>
          <w:rStyle w:val="default"/>
          <w:rFonts w:cs="FrankRuehl" w:hint="cs"/>
          <w:rtl/>
        </w:rPr>
        <w:t xml:space="preserve"> תגמול מזערי כהגדרתו בסעיף 270 לחוק, כשהוא מוכפל ב-1.4</w:t>
      </w:r>
      <w:r w:rsidR="0012312C">
        <w:rPr>
          <w:rStyle w:val="default"/>
          <w:rFonts w:cs="FrankRuehl" w:hint="cs"/>
          <w:rtl/>
        </w:rPr>
        <w:t xml:space="preserve"> בהתקיים התנאים המפורטים בסעיף 271(א)(2) לחוק;</w:t>
      </w:r>
    </w:p>
    <w:p w:rsidR="0012312C" w:rsidRDefault="0012312C">
      <w:pPr>
        <w:pStyle w:val="P00"/>
        <w:spacing w:before="72"/>
        <w:ind w:left="0" w:right="1134"/>
        <w:rPr>
          <w:rStyle w:val="default"/>
          <w:rFonts w:cs="FrankRuehl" w:hint="cs"/>
          <w:rtl/>
        </w:rPr>
      </w:pPr>
      <w:r>
        <w:rPr>
          <w:rStyle w:val="default"/>
          <w:rFonts w:cs="FrankRuehl" w:hint="cs"/>
          <w:rtl/>
        </w:rPr>
        <w:tab/>
        <w:t xml:space="preserve">"התגמול המרבי" </w:t>
      </w:r>
      <w:r>
        <w:rPr>
          <w:rStyle w:val="default"/>
          <w:rFonts w:cs="FrankRuehl"/>
          <w:rtl/>
        </w:rPr>
        <w:t>–</w:t>
      </w:r>
      <w:r>
        <w:rPr>
          <w:rStyle w:val="default"/>
          <w:rFonts w:cs="FrankRuehl" w:hint="cs"/>
          <w:rtl/>
        </w:rPr>
        <w:t xml:space="preserve"> תגמול מרבי כהגדרתו בסעיף 270 לחוק, כשהוא מוכפל ב-1.4 בהתקיים התנאים המפורטים בסעיף 271(א)(2) לחוק;</w:t>
      </w:r>
    </w:p>
    <w:p w:rsidR="0012312C" w:rsidRDefault="0012312C">
      <w:pPr>
        <w:pStyle w:val="P00"/>
        <w:spacing w:before="72"/>
        <w:ind w:left="0" w:right="1134"/>
        <w:rPr>
          <w:rStyle w:val="default"/>
          <w:rFonts w:cs="FrankRuehl" w:hint="cs"/>
          <w:rtl/>
        </w:rPr>
      </w:pPr>
      <w:r>
        <w:rPr>
          <w:rStyle w:val="default"/>
          <w:rFonts w:cs="FrankRuehl" w:hint="cs"/>
          <w:rtl/>
        </w:rPr>
        <w:tab/>
        <w:t xml:space="preserve">"משרת מילואים עצמאי" </w:t>
      </w:r>
      <w:r>
        <w:rPr>
          <w:rStyle w:val="default"/>
          <w:rFonts w:cs="FrankRuehl"/>
          <w:rtl/>
        </w:rPr>
        <w:t>–</w:t>
      </w:r>
      <w:r>
        <w:rPr>
          <w:rStyle w:val="default"/>
          <w:rFonts w:cs="FrankRuehl" w:hint="cs"/>
          <w:rtl/>
        </w:rPr>
        <w:t xml:space="preserve"> עובד עצמאי כהגדרתו בסעיף 1 לחוק, ששירת שירות מילואים כהגדרתו בחוק המילואים;</w:t>
      </w:r>
    </w:p>
    <w:p w:rsidR="0012312C" w:rsidRDefault="0012312C">
      <w:pPr>
        <w:pStyle w:val="P00"/>
        <w:spacing w:before="72"/>
        <w:ind w:left="0" w:right="1134"/>
        <w:rPr>
          <w:rStyle w:val="default"/>
          <w:rFonts w:cs="FrankRuehl" w:hint="cs"/>
          <w:rtl/>
        </w:rPr>
      </w:pPr>
      <w:r>
        <w:rPr>
          <w:rStyle w:val="default"/>
          <w:rFonts w:cs="FrankRuehl" w:hint="cs"/>
          <w:rtl/>
        </w:rPr>
        <w:lastRenderedPageBreak/>
        <w:tab/>
        <w:t xml:space="preserve">"פיצוי לעצמאי בשירות מילואים" </w:t>
      </w:r>
      <w:r>
        <w:rPr>
          <w:rStyle w:val="default"/>
          <w:rFonts w:cs="FrankRuehl"/>
          <w:rtl/>
        </w:rPr>
        <w:t>–</w:t>
      </w:r>
      <w:r>
        <w:rPr>
          <w:rStyle w:val="default"/>
          <w:rFonts w:cs="FrankRuehl" w:hint="cs"/>
          <w:rtl/>
        </w:rPr>
        <w:t xml:space="preserve"> תשלום כספי לעצמאי בשירות מילואים בשיעור של 25% מהכנסתו הממוצעת כעצמאי, כשהוא מוכפל ב-1.4 בהתקיים התנאים המפורטים בסעיף 271(א)(2) לחוק, המשולם על ידי המוסד במישרין נוסף על תגמול מילואים ובהתאם להוראות הסכם זה;</w:t>
      </w:r>
    </w:p>
    <w:p w:rsidR="0012312C" w:rsidRDefault="0012312C" w:rsidP="0012312C">
      <w:pPr>
        <w:pStyle w:val="P00"/>
        <w:spacing w:before="72"/>
        <w:ind w:left="0" w:right="1134"/>
        <w:rPr>
          <w:rStyle w:val="default"/>
          <w:rFonts w:cs="FrankRuehl" w:hint="cs"/>
          <w:rtl/>
        </w:rPr>
      </w:pPr>
      <w:r>
        <w:rPr>
          <w:rStyle w:val="default"/>
          <w:rFonts w:cs="FrankRuehl" w:hint="cs"/>
          <w:rtl/>
        </w:rPr>
        <w:tab/>
        <w:t xml:space="preserve">"תגמול מילואים" </w:t>
      </w:r>
      <w:r>
        <w:rPr>
          <w:rStyle w:val="default"/>
          <w:rFonts w:cs="FrankRuehl"/>
          <w:rtl/>
        </w:rPr>
        <w:t>–</w:t>
      </w:r>
      <w:r>
        <w:rPr>
          <w:rStyle w:val="default"/>
          <w:rFonts w:cs="FrankRuehl" w:hint="cs"/>
          <w:rtl/>
        </w:rPr>
        <w:t xml:space="preserve"> תגמול המשולם על ידי המוסד בעד תקופת שירות המילואים בתנאים ובשיעורים הקבועים בחוק ובתקנות.</w:t>
      </w:r>
    </w:p>
    <w:p w:rsidR="001D7594" w:rsidRDefault="001D7594" w:rsidP="00E714A7">
      <w:pPr>
        <w:pStyle w:val="P00"/>
        <w:spacing w:before="72"/>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28.35pt;z-index:251655680" o:allowincell="f" filled="f" stroked="f" strokecolor="lime" strokeweight=".25pt">
            <v:textbox inset="0,0,0,0">
              <w:txbxContent>
                <w:p w:rsidR="001D7594" w:rsidRDefault="00E714A7" w:rsidP="003141C7">
                  <w:pPr>
                    <w:spacing w:line="160" w:lineRule="exact"/>
                    <w:jc w:val="left"/>
                    <w:rPr>
                      <w:rFonts w:cs="Miriam" w:hint="cs"/>
                      <w:noProof/>
                      <w:szCs w:val="18"/>
                      <w:rtl/>
                    </w:rPr>
                  </w:pPr>
                  <w:r>
                    <w:rPr>
                      <w:rFonts w:cs="Miriam" w:hint="cs"/>
                      <w:szCs w:val="18"/>
                      <w:rtl/>
                    </w:rPr>
                    <w:t>תנאי הזכאות לפיצוי לעצמאי בשירות מילואים</w:t>
                  </w:r>
                </w:p>
              </w:txbxContent>
            </v:textbox>
            <w10:anchorlock/>
          </v:rect>
        </w:pict>
      </w:r>
      <w:r>
        <w:rPr>
          <w:rStyle w:val="big-number"/>
          <w:rFonts w:cs="Miriam"/>
          <w:rtl/>
        </w:rPr>
        <w:t>3.</w:t>
      </w:r>
      <w:r>
        <w:rPr>
          <w:rStyle w:val="big-number"/>
          <w:rFonts w:cs="Miriam"/>
          <w:rtl/>
        </w:rPr>
        <w:tab/>
      </w:r>
      <w:r w:rsidR="00E714A7">
        <w:rPr>
          <w:rStyle w:val="default"/>
          <w:rFonts w:cs="FrankRuehl" w:hint="cs"/>
          <w:rtl/>
        </w:rPr>
        <w:t>(א</w:t>
      </w:r>
      <w:r>
        <w:rPr>
          <w:rStyle w:val="default"/>
          <w:rFonts w:cs="FrankRuehl" w:hint="cs"/>
          <w:rtl/>
        </w:rPr>
        <w:t>)</w:t>
      </w:r>
      <w:r w:rsidR="00E714A7">
        <w:rPr>
          <w:rStyle w:val="default"/>
          <w:rFonts w:cs="FrankRuehl" w:hint="cs"/>
          <w:rtl/>
        </w:rPr>
        <w:tab/>
        <w:t>משרת מילואים עצמאי יהיה זכאי לפיצוי לעצמאי בשירות מילואים, במועד תשלום תגמול מילואים</w:t>
      </w:r>
      <w:r>
        <w:rPr>
          <w:rStyle w:val="default"/>
          <w:rFonts w:cs="FrankRuehl" w:hint="cs"/>
          <w:rtl/>
        </w:rPr>
        <w:t>.</w:t>
      </w:r>
    </w:p>
    <w:p w:rsidR="00E714A7" w:rsidRDefault="00E714A7" w:rsidP="00E714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w:t>
      </w:r>
    </w:p>
    <w:p w:rsidR="00E714A7" w:rsidRDefault="00E714A7" w:rsidP="00037F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37F32">
        <w:rPr>
          <w:rStyle w:val="default"/>
          <w:rFonts w:cs="FrankRuehl" w:hint="cs"/>
          <w:rtl/>
        </w:rPr>
        <w:t>סכום הפיצוי לעצמאי בשירות מילואים לא יפחת מ-25% משיעור התגמול המזערי;</w:t>
      </w:r>
    </w:p>
    <w:p w:rsidR="00037F32" w:rsidRDefault="00037F32" w:rsidP="00037F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הפיצוי לעצמאי בשירות מילואים בצירוף תגמול מילואים מכל מקור הכנסה, לא יעלה על התגמול המרבי.</w:t>
      </w:r>
    </w:p>
    <w:p w:rsidR="00037F32" w:rsidRDefault="00037F32" w:rsidP="00E714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מהפיצוי לעצמאי בשירות מילואים ינוכה מס במקור על ידי המוסד בהתאם להוראות החוק.</w:t>
      </w:r>
    </w:p>
    <w:p w:rsidR="00073717" w:rsidRDefault="001D7594" w:rsidP="00037F32">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30.05pt;z-index:251656704" o:allowincell="f" filled="f" stroked="f" strokecolor="lime" strokeweight=".25pt">
            <v:textbox style="mso-next-textbox:#_x0000_s1029" inset="0,0,0,0">
              <w:txbxContent>
                <w:p w:rsidR="001D7594" w:rsidRDefault="00037F32" w:rsidP="003141C7">
                  <w:pPr>
                    <w:spacing w:line="160" w:lineRule="exact"/>
                    <w:jc w:val="left"/>
                    <w:rPr>
                      <w:rFonts w:cs="Miriam" w:hint="cs"/>
                      <w:noProof/>
                      <w:szCs w:val="18"/>
                      <w:rtl/>
                    </w:rPr>
                  </w:pPr>
                  <w:r>
                    <w:rPr>
                      <w:rFonts w:cs="Miriam" w:hint="cs"/>
                      <w:szCs w:val="18"/>
                      <w:rtl/>
                    </w:rPr>
                    <w:t>תשלום הפרשי הפיצוי לעצמאי בשירות מילואים</w:t>
                  </w:r>
                </w:p>
              </w:txbxContent>
            </v:textbox>
            <w10:anchorlock/>
          </v:rect>
        </w:pict>
      </w:r>
      <w:r>
        <w:rPr>
          <w:rStyle w:val="big-number"/>
          <w:rFonts w:cs="Miriam"/>
          <w:rtl/>
        </w:rPr>
        <w:t>4.</w:t>
      </w:r>
      <w:r>
        <w:rPr>
          <w:rStyle w:val="big-number"/>
          <w:rFonts w:cs="Miriam"/>
          <w:rtl/>
        </w:rPr>
        <w:tab/>
      </w:r>
      <w:r w:rsidR="00037F32">
        <w:rPr>
          <w:rStyle w:val="default"/>
          <w:rFonts w:cs="FrankRuehl" w:hint="cs"/>
          <w:rtl/>
        </w:rPr>
        <w:t>(א)</w:t>
      </w:r>
      <w:r w:rsidR="00037F32">
        <w:rPr>
          <w:rStyle w:val="default"/>
          <w:rFonts w:cs="FrankRuehl" w:hint="cs"/>
          <w:rtl/>
        </w:rPr>
        <w:tab/>
        <w:t>בהתאם לשומה הסופית כמשמעותה בסעיף 345 לחוק ו/או בהתאם לשינוי בתקופות שירות המילואים שעל בסיסן מחושב תגמול מילואים, ייערך חישוב מחודש של גובה הפיצוי לעצמאי בשירות מילואים.</w:t>
      </w:r>
    </w:p>
    <w:p w:rsidR="00037F32" w:rsidRDefault="00037F32" w:rsidP="00037F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הפרשים שנוצרו בשל החישוב האמור בסעיף קטן (א), ישולמו למשרת המילואים, לאחר החישוב המחודש.</w:t>
      </w:r>
    </w:p>
    <w:p w:rsidR="00037F32" w:rsidRDefault="00037F32" w:rsidP="00037F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חובות שנוצרו בשל החישוב האמור בסעיף קטן (א) ייגבו כחוב גמלה בהתאם לחוק.</w:t>
      </w:r>
    </w:p>
    <w:p w:rsidR="00037F32" w:rsidRDefault="00037F32" w:rsidP="00037F3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המוסד יחזיר למשרד הביטחון, במועד השיפוי כאמור בסעיף 6 להלן, סכומים אשר נגבו ממשרתי המילואים בהתאם לסעיף קטן (ב).</w:t>
      </w:r>
    </w:p>
    <w:p w:rsidR="001D7594" w:rsidRDefault="001D7594" w:rsidP="00037F32">
      <w:pPr>
        <w:pStyle w:val="P00"/>
        <w:spacing w:before="72"/>
        <w:ind w:left="0" w:right="1134"/>
        <w:rPr>
          <w:rStyle w:val="default"/>
          <w:rFonts w:cs="FrankRuehl" w:hint="cs"/>
          <w:rtl/>
        </w:rPr>
      </w:pPr>
      <w:bookmarkStart w:id="6" w:name="Seif5"/>
      <w:bookmarkEnd w:id="6"/>
      <w:r>
        <w:rPr>
          <w:lang w:val="he-IL"/>
        </w:rPr>
        <w:pict>
          <v:rect id="_x0000_s1030" style="position:absolute;left:0;text-align:left;margin-left:464.5pt;margin-top:8.05pt;width:75.05pt;height:20pt;z-index:251657728" o:allowincell="f" filled="f" stroked="f" strokecolor="lime" strokeweight=".25pt">
            <v:textbox inset="0,0,0,0">
              <w:txbxContent>
                <w:p w:rsidR="001D7594" w:rsidRDefault="00037F32">
                  <w:pPr>
                    <w:spacing w:line="160" w:lineRule="exact"/>
                    <w:jc w:val="left"/>
                    <w:rPr>
                      <w:rFonts w:cs="Miriam" w:hint="cs"/>
                      <w:noProof/>
                      <w:szCs w:val="18"/>
                      <w:rtl/>
                    </w:rPr>
                  </w:pPr>
                  <w:r>
                    <w:rPr>
                      <w:rFonts w:cs="Miriam" w:hint="cs"/>
                      <w:szCs w:val="18"/>
                      <w:rtl/>
                    </w:rPr>
                    <w:t>הגבלות עיקולים וקיזוזים</w:t>
                  </w:r>
                </w:p>
              </w:txbxContent>
            </v:textbox>
            <w10:anchorlock/>
          </v:rect>
        </w:pict>
      </w:r>
      <w:r>
        <w:rPr>
          <w:rStyle w:val="big-number"/>
          <w:rFonts w:cs="Miriam"/>
          <w:rtl/>
        </w:rPr>
        <w:t>5.</w:t>
      </w:r>
      <w:r>
        <w:rPr>
          <w:rStyle w:val="big-number"/>
          <w:rFonts w:cs="Miriam"/>
          <w:rtl/>
        </w:rPr>
        <w:tab/>
      </w:r>
      <w:r w:rsidR="00037F32">
        <w:rPr>
          <w:rStyle w:val="default"/>
          <w:rFonts w:cs="FrankRuehl" w:hint="cs"/>
          <w:rtl/>
        </w:rPr>
        <w:t>על הפיצוי לעצמאי בשירות מילואים יחולו הוראות סעיף 303(א) לחוק</w:t>
      </w:r>
      <w:r w:rsidR="00073717">
        <w:rPr>
          <w:rStyle w:val="default"/>
          <w:rFonts w:cs="FrankRuehl" w:hint="cs"/>
          <w:rtl/>
        </w:rPr>
        <w:t>.</w:t>
      </w:r>
    </w:p>
    <w:p w:rsidR="001D7594" w:rsidRDefault="001D7594" w:rsidP="00037F32">
      <w:pPr>
        <w:pStyle w:val="P00"/>
        <w:spacing w:before="72"/>
        <w:ind w:left="0" w:right="1134"/>
        <w:rPr>
          <w:rStyle w:val="default"/>
          <w:rFonts w:cs="FrankRuehl" w:hint="cs"/>
          <w:rtl/>
        </w:rPr>
      </w:pPr>
      <w:bookmarkStart w:id="7" w:name="Seif6"/>
      <w:bookmarkEnd w:id="7"/>
      <w:r>
        <w:rPr>
          <w:lang w:val="he-IL"/>
        </w:rPr>
        <w:pict>
          <v:rect id="_x0000_s1031" style="position:absolute;left:0;text-align:left;margin-left:464.5pt;margin-top:8.05pt;width:75.05pt;height:11.6pt;z-index:251658752" o:allowincell="f" filled="f" stroked="f" strokecolor="lime" strokeweight=".25pt">
            <v:textbox inset="0,0,0,0">
              <w:txbxContent>
                <w:p w:rsidR="001D7594" w:rsidRDefault="00037F32">
                  <w:pPr>
                    <w:spacing w:line="160" w:lineRule="exact"/>
                    <w:jc w:val="left"/>
                    <w:rPr>
                      <w:rFonts w:cs="Miriam" w:hint="cs"/>
                      <w:noProof/>
                      <w:szCs w:val="18"/>
                      <w:rtl/>
                    </w:rPr>
                  </w:pPr>
                  <w:r>
                    <w:rPr>
                      <w:rFonts w:cs="Miriam" w:hint="cs"/>
                      <w:szCs w:val="18"/>
                      <w:rtl/>
                    </w:rPr>
                    <w:t>מימון</w:t>
                  </w:r>
                </w:p>
              </w:txbxContent>
            </v:textbox>
            <w10:anchorlock/>
          </v:rect>
        </w:pict>
      </w:r>
      <w:r>
        <w:rPr>
          <w:rStyle w:val="big-number"/>
          <w:rFonts w:cs="Miriam"/>
          <w:rtl/>
        </w:rPr>
        <w:t>6.</w:t>
      </w:r>
      <w:r>
        <w:rPr>
          <w:rStyle w:val="big-number"/>
          <w:rFonts w:cs="Miriam"/>
          <w:rtl/>
        </w:rPr>
        <w:tab/>
      </w:r>
      <w:r w:rsidR="00037F32">
        <w:rPr>
          <w:rStyle w:val="default"/>
          <w:rFonts w:cs="FrankRuehl" w:hint="cs"/>
          <w:rtl/>
        </w:rPr>
        <w:t>משרד הביטחון ישפה את המוסד בדרך שבו הוא משפה כיום את המוסד בגין תגמולי המילואים באמצעות הרשאה לחיוב חשבון משרד הביטחון בבנק הדואר, וזאת בגין מלוא הפיצוי לעצמאי בשירות המילואים, לרבות הפרשים לזכות המוסד וההוצאות מכוח הסכם זה כאמור בסעיף 7 שלהלן</w:t>
      </w:r>
      <w:r w:rsidR="00073717">
        <w:rPr>
          <w:rStyle w:val="default"/>
          <w:rFonts w:cs="FrankRuehl" w:hint="cs"/>
          <w:rtl/>
        </w:rPr>
        <w:t>.</w:t>
      </w:r>
    </w:p>
    <w:p w:rsidR="001D7594" w:rsidRDefault="001D7594" w:rsidP="00647873">
      <w:pPr>
        <w:pStyle w:val="P00"/>
        <w:spacing w:before="72"/>
        <w:ind w:left="0" w:right="1134"/>
        <w:rPr>
          <w:rStyle w:val="default"/>
          <w:rFonts w:cs="FrankRuehl" w:hint="cs"/>
          <w:rtl/>
        </w:rPr>
      </w:pPr>
      <w:bookmarkStart w:id="8" w:name="Seif7"/>
      <w:bookmarkEnd w:id="8"/>
      <w:r>
        <w:rPr>
          <w:lang w:val="he-IL"/>
        </w:rPr>
        <w:pict>
          <v:rect id="_x0000_s1032" style="position:absolute;left:0;text-align:left;margin-left:464.5pt;margin-top:8.05pt;width:75.05pt;height:8.65pt;z-index:251659776" o:allowincell="f" filled="f" stroked="f" strokecolor="lime" strokeweight=".25pt">
            <v:textbox inset="0,0,0,0">
              <w:txbxContent>
                <w:p w:rsidR="001D7594" w:rsidRDefault="00037F32">
                  <w:pPr>
                    <w:spacing w:line="160" w:lineRule="exact"/>
                    <w:jc w:val="left"/>
                    <w:rPr>
                      <w:rFonts w:cs="Miriam" w:hint="cs"/>
                      <w:noProof/>
                      <w:szCs w:val="18"/>
                      <w:rtl/>
                    </w:rPr>
                  </w:pPr>
                  <w:r>
                    <w:rPr>
                      <w:rFonts w:cs="Miriam" w:hint="cs"/>
                      <w:szCs w:val="18"/>
                      <w:rtl/>
                    </w:rPr>
                    <w:t>החזר</w:t>
                  </w:r>
                </w:p>
              </w:txbxContent>
            </v:textbox>
            <w10:anchorlock/>
          </v:rect>
        </w:pict>
      </w:r>
      <w:r>
        <w:rPr>
          <w:rStyle w:val="big-number"/>
          <w:rFonts w:cs="Miriam"/>
          <w:rtl/>
        </w:rPr>
        <w:t>7.</w:t>
      </w:r>
      <w:r>
        <w:rPr>
          <w:rStyle w:val="big-number"/>
          <w:rFonts w:cs="Miriam"/>
          <w:rtl/>
        </w:rPr>
        <w:tab/>
      </w:r>
      <w:r w:rsidR="00647873">
        <w:rPr>
          <w:rStyle w:val="default"/>
          <w:rFonts w:cs="FrankRuehl" w:hint="cs"/>
          <w:rtl/>
        </w:rPr>
        <w:t>משרד הביטחון ישלם למוסד באופן חד-פעמי, סכום של 500,000 שקלים חדשים, במועד חתימת ההסכם לכיסוי עלות הקמת מערכת המחשוב הייעודית; כמו כן ישלם משרד הביטחון סך של 50,000 שקלים חדשים לכל שנה נוספת בתקופת ההסכם בגין עלות אחזקת המערכת</w:t>
      </w:r>
      <w:r w:rsidR="00073717">
        <w:rPr>
          <w:rStyle w:val="default"/>
          <w:rFonts w:cs="FrankRuehl" w:hint="cs"/>
          <w:rtl/>
        </w:rPr>
        <w:t>.</w:t>
      </w:r>
    </w:p>
    <w:p w:rsidR="001D7594" w:rsidRDefault="001D7594" w:rsidP="00647873">
      <w:pPr>
        <w:pStyle w:val="P00"/>
        <w:spacing w:before="72"/>
        <w:ind w:left="0" w:right="1134"/>
        <w:rPr>
          <w:rStyle w:val="default"/>
          <w:rFonts w:cs="FrankRuehl" w:hint="cs"/>
          <w:rtl/>
        </w:rPr>
      </w:pPr>
      <w:bookmarkStart w:id="9" w:name="Seif8"/>
      <w:bookmarkEnd w:id="9"/>
      <w:r>
        <w:rPr>
          <w:lang w:val="he-IL"/>
        </w:rPr>
        <w:pict>
          <v:rect id="_x0000_s1033" style="position:absolute;left:0;text-align:left;margin-left:464.5pt;margin-top:8.05pt;width:75.05pt;height:13.15pt;z-index:251660800" o:allowincell="f" filled="f" stroked="f" strokecolor="lime" strokeweight=".25pt">
            <v:textbox inset="0,0,0,0">
              <w:txbxContent>
                <w:p w:rsidR="001D7594" w:rsidRDefault="00647873">
                  <w:pPr>
                    <w:spacing w:line="160" w:lineRule="exact"/>
                    <w:jc w:val="left"/>
                    <w:rPr>
                      <w:rFonts w:cs="Miriam" w:hint="cs"/>
                      <w:noProof/>
                      <w:szCs w:val="18"/>
                      <w:rtl/>
                    </w:rPr>
                  </w:pPr>
                  <w:r>
                    <w:rPr>
                      <w:rFonts w:cs="Miriam" w:hint="cs"/>
                      <w:szCs w:val="18"/>
                      <w:rtl/>
                    </w:rPr>
                    <w:t>דוחות בקרה</w:t>
                  </w:r>
                </w:p>
              </w:txbxContent>
            </v:textbox>
            <w10:anchorlock/>
          </v:rect>
        </w:pict>
      </w:r>
      <w:r>
        <w:rPr>
          <w:rStyle w:val="big-number"/>
          <w:rFonts w:cs="Miriam"/>
          <w:rtl/>
        </w:rPr>
        <w:t>8.</w:t>
      </w:r>
      <w:r>
        <w:rPr>
          <w:rStyle w:val="big-number"/>
          <w:rFonts w:cs="Miriam"/>
          <w:rtl/>
        </w:rPr>
        <w:tab/>
      </w:r>
      <w:r w:rsidR="00647873">
        <w:rPr>
          <w:rStyle w:val="default"/>
          <w:rFonts w:cs="FrankRuehl" w:hint="cs"/>
          <w:rtl/>
        </w:rPr>
        <w:t xml:space="preserve">בתחילת כל רבעון, </w:t>
      </w:r>
      <w:r w:rsidR="008D4893">
        <w:rPr>
          <w:rStyle w:val="default"/>
          <w:rFonts w:cs="FrankRuehl" w:hint="cs"/>
          <w:rtl/>
        </w:rPr>
        <w:t>יעביר המוסד למשרד הביטחון דוח המפרט את התשלומים ששולמו למשרתי המילואים העצמאים וכן דוח בנוגע לחובות שנגבו ממשרתי המילואים העצמאים על פי סעיף 4(ג) לעיל, ברבעון הקודם. נוסף על כל יעביר המוסד למשרד הביטחון דוח כאמור גם בתחילת כל שנה, המפרט את התשלומים והחובות שנגבו כאמור בשנה הקודמת</w:t>
      </w:r>
      <w:r w:rsidR="00073717">
        <w:rPr>
          <w:rStyle w:val="default"/>
          <w:rFonts w:cs="FrankRuehl" w:hint="cs"/>
          <w:rtl/>
        </w:rPr>
        <w:t>.</w:t>
      </w:r>
    </w:p>
    <w:p w:rsidR="001D7594" w:rsidRDefault="001D7594" w:rsidP="008D4893">
      <w:pPr>
        <w:pStyle w:val="P00"/>
        <w:spacing w:before="72"/>
        <w:ind w:left="0" w:right="1134"/>
        <w:rPr>
          <w:rStyle w:val="default"/>
          <w:rFonts w:cs="FrankRuehl" w:hint="cs"/>
          <w:rtl/>
        </w:rPr>
      </w:pPr>
      <w:bookmarkStart w:id="10" w:name="Seif9"/>
      <w:bookmarkEnd w:id="10"/>
      <w:r>
        <w:rPr>
          <w:lang w:val="he-IL"/>
        </w:rPr>
        <w:pict>
          <v:rect id="_x0000_s1034" style="position:absolute;left:0;text-align:left;margin-left:464.5pt;margin-top:8.05pt;width:75.05pt;height:15.85pt;z-index:251661824" o:allowincell="f" filled="f" stroked="f" strokecolor="lime" strokeweight=".25pt">
            <v:textbox inset="0,0,0,0">
              <w:txbxContent>
                <w:p w:rsidR="001D7594" w:rsidRDefault="008D4893" w:rsidP="003141C7">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8D4893">
        <w:rPr>
          <w:rStyle w:val="default"/>
          <w:rFonts w:cs="FrankRuehl" w:hint="cs"/>
          <w:rtl/>
        </w:rPr>
        <w:t>הסכם זה יעמוד בתוקפו מיום פרסומו עד ליום 1.2.2022 והוא יחול על שירות מילואים שבוצע מיום 1.1.2016 עד ליום 31.12.2021</w:t>
      </w:r>
      <w:r>
        <w:rPr>
          <w:rStyle w:val="default"/>
          <w:rFonts w:cs="FrankRuehl" w:hint="cs"/>
          <w:rtl/>
        </w:rPr>
        <w:t>.</w:t>
      </w:r>
    </w:p>
    <w:p w:rsidR="008D4893" w:rsidRDefault="008D4893" w:rsidP="008D489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3(א), בעבור שירות מילואים שבוצע בין התאריכים 1.1.2016 עד 1.8.2017 ישולם הפיצוי לעצמאי בשירות מילואים ב-1.10.2017.</w:t>
      </w:r>
    </w:p>
    <w:p w:rsidR="008D4893" w:rsidRDefault="008D4893" w:rsidP="008D4893">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בסיום התקופה האמורה בסעיף קטן (א) יוארך ההסכם לחמש שנים נוספים, אלא אם כן הודיע צד אחד למשנהו, בתוך 3 חודשים לפני תום תוקפו של ההסכם, על רצונו שלא להאריך את ההסכם עוד.</w:t>
      </w:r>
    </w:p>
    <w:p w:rsidR="00073717" w:rsidRDefault="00073717">
      <w:pPr>
        <w:pStyle w:val="P00"/>
        <w:spacing w:before="72"/>
        <w:ind w:left="0" w:right="1134"/>
        <w:rPr>
          <w:rStyle w:val="default"/>
          <w:rFonts w:cs="FrankRuehl" w:hint="cs"/>
          <w:rtl/>
        </w:rPr>
      </w:pPr>
    </w:p>
    <w:p w:rsidR="001D7594" w:rsidRPr="008D4893" w:rsidRDefault="001D7594">
      <w:pPr>
        <w:pStyle w:val="medium2-header"/>
        <w:keepLines w:val="0"/>
        <w:spacing w:before="72"/>
        <w:ind w:left="0" w:right="1134"/>
        <w:rPr>
          <w:rFonts w:hint="cs"/>
          <w:noProof/>
          <w:sz w:val="22"/>
          <w:szCs w:val="22"/>
          <w:rtl/>
        </w:rPr>
      </w:pPr>
      <w:bookmarkStart w:id="11" w:name="med2"/>
      <w:bookmarkEnd w:id="11"/>
      <w:r w:rsidRPr="008D4893">
        <w:rPr>
          <w:noProof/>
          <w:sz w:val="22"/>
          <w:szCs w:val="22"/>
          <w:rtl/>
        </w:rPr>
        <w:t>ו</w:t>
      </w:r>
      <w:r w:rsidRPr="008D4893">
        <w:rPr>
          <w:rFonts w:hint="cs"/>
          <w:noProof/>
          <w:sz w:val="22"/>
          <w:szCs w:val="22"/>
          <w:rtl/>
        </w:rPr>
        <w:t>לראיה באו הצ</w:t>
      </w:r>
      <w:r w:rsidR="008D4893" w:rsidRPr="008D4893">
        <w:rPr>
          <w:rFonts w:hint="cs"/>
          <w:noProof/>
          <w:sz w:val="22"/>
          <w:szCs w:val="22"/>
          <w:rtl/>
        </w:rPr>
        <w:t>דדים על החתום</w:t>
      </w:r>
    </w:p>
    <w:p w:rsidR="001D7594" w:rsidRDefault="001D7594">
      <w:pPr>
        <w:pStyle w:val="P00"/>
        <w:spacing w:before="72"/>
        <w:ind w:left="0" w:right="1134"/>
        <w:rPr>
          <w:rStyle w:val="default"/>
          <w:rFonts w:cs="FrankRuehl"/>
          <w:rtl/>
        </w:rPr>
      </w:pPr>
    </w:p>
    <w:p w:rsidR="001D7594" w:rsidRDefault="003141C7" w:rsidP="008D4893">
      <w:pPr>
        <w:pStyle w:val="P00"/>
        <w:tabs>
          <w:tab w:val="clear" w:pos="624"/>
          <w:tab w:val="clear" w:pos="1021"/>
          <w:tab w:val="clear" w:pos="1474"/>
          <w:tab w:val="clear" w:pos="1928"/>
          <w:tab w:val="clear" w:pos="2381"/>
          <w:tab w:val="clear" w:pos="2835"/>
          <w:tab w:val="clear" w:pos="6259"/>
          <w:tab w:val="center" w:pos="851"/>
          <w:tab w:val="center" w:pos="2552"/>
          <w:tab w:val="center" w:pos="4536"/>
          <w:tab w:val="center" w:pos="6521"/>
        </w:tabs>
        <w:spacing w:before="72"/>
        <w:ind w:left="0" w:right="1134"/>
        <w:rPr>
          <w:rStyle w:val="default"/>
          <w:rFonts w:cs="FrankRuehl" w:hint="cs"/>
          <w:rtl/>
        </w:rPr>
      </w:pPr>
      <w:r>
        <w:rPr>
          <w:rStyle w:val="default"/>
          <w:rFonts w:cs="FrankRuehl" w:hint="cs"/>
          <w:rtl/>
        </w:rPr>
        <w:tab/>
      </w:r>
      <w:r w:rsidR="008D4893">
        <w:rPr>
          <w:rStyle w:val="default"/>
          <w:rFonts w:cs="FrankRuehl" w:hint="cs"/>
          <w:rtl/>
        </w:rPr>
        <w:t>רמי גראור</w:t>
      </w:r>
      <w:r>
        <w:rPr>
          <w:rStyle w:val="default"/>
          <w:rFonts w:cs="FrankRuehl" w:hint="cs"/>
          <w:rtl/>
        </w:rPr>
        <w:tab/>
      </w:r>
      <w:r w:rsidR="008D4893">
        <w:rPr>
          <w:rStyle w:val="default"/>
          <w:rFonts w:cs="FrankRuehl" w:hint="cs"/>
          <w:rtl/>
        </w:rPr>
        <w:t>אילנה שרייבמן</w:t>
      </w:r>
      <w:r>
        <w:rPr>
          <w:rStyle w:val="default"/>
          <w:rFonts w:cs="FrankRuehl" w:hint="cs"/>
          <w:rtl/>
        </w:rPr>
        <w:tab/>
      </w:r>
      <w:r w:rsidR="008D4893">
        <w:rPr>
          <w:rStyle w:val="default"/>
          <w:rFonts w:cs="FrankRuehl" w:hint="cs"/>
          <w:rtl/>
        </w:rPr>
        <w:t>האלוף מוטי אלמוז</w:t>
      </w:r>
      <w:r w:rsidR="008D4893">
        <w:rPr>
          <w:rStyle w:val="default"/>
          <w:rFonts w:cs="FrankRuehl" w:hint="cs"/>
          <w:rtl/>
        </w:rPr>
        <w:tab/>
        <w:t>תת-אלוף ד"ר ששון חדד</w:t>
      </w:r>
    </w:p>
    <w:p w:rsidR="001D7594" w:rsidRDefault="003141C7" w:rsidP="008D4893">
      <w:pPr>
        <w:pStyle w:val="P00"/>
        <w:tabs>
          <w:tab w:val="clear" w:pos="624"/>
          <w:tab w:val="clear" w:pos="1021"/>
          <w:tab w:val="clear" w:pos="1474"/>
          <w:tab w:val="clear" w:pos="1928"/>
          <w:tab w:val="clear" w:pos="2381"/>
          <w:tab w:val="clear" w:pos="2835"/>
          <w:tab w:val="clear" w:pos="6259"/>
          <w:tab w:val="center" w:pos="851"/>
          <w:tab w:val="center" w:pos="2552"/>
          <w:tab w:val="center" w:pos="4536"/>
          <w:tab w:val="center" w:pos="6521"/>
        </w:tabs>
        <w:spacing w:before="0"/>
        <w:ind w:left="0" w:right="1134"/>
        <w:rPr>
          <w:rStyle w:val="default"/>
          <w:rFonts w:cs="FrankRuehl" w:hint="cs"/>
          <w:sz w:val="22"/>
          <w:szCs w:val="22"/>
          <w:rtl/>
        </w:rPr>
      </w:pPr>
      <w:r w:rsidRPr="003141C7">
        <w:rPr>
          <w:rStyle w:val="default"/>
          <w:rFonts w:cs="FrankRuehl" w:hint="cs"/>
          <w:sz w:val="22"/>
          <w:szCs w:val="22"/>
          <w:rtl/>
        </w:rPr>
        <w:tab/>
      </w:r>
      <w:r w:rsidR="008D4893">
        <w:rPr>
          <w:rStyle w:val="default"/>
          <w:rFonts w:cs="FrankRuehl" w:hint="cs"/>
          <w:sz w:val="22"/>
          <w:szCs w:val="22"/>
          <w:rtl/>
        </w:rPr>
        <w:t>המנהל הכללי</w:t>
      </w:r>
      <w:r w:rsidR="008D4893">
        <w:rPr>
          <w:rStyle w:val="default"/>
          <w:rFonts w:cs="FrankRuehl" w:hint="cs"/>
          <w:sz w:val="22"/>
          <w:szCs w:val="22"/>
          <w:rtl/>
        </w:rPr>
        <w:tab/>
        <w:t>סגנית המנהל</w:t>
      </w:r>
      <w:r w:rsidR="008D4893">
        <w:rPr>
          <w:rStyle w:val="default"/>
          <w:rFonts w:cs="FrankRuehl" w:hint="cs"/>
          <w:sz w:val="22"/>
          <w:szCs w:val="22"/>
          <w:rtl/>
        </w:rPr>
        <w:tab/>
        <w:t xml:space="preserve">ראש אגף כוח האדם </w:t>
      </w:r>
      <w:r w:rsidR="008D4893">
        <w:rPr>
          <w:rStyle w:val="default"/>
          <w:rFonts w:cs="FrankRuehl" w:hint="cs"/>
          <w:sz w:val="22"/>
          <w:szCs w:val="22"/>
          <w:rtl/>
        </w:rPr>
        <w:tab/>
        <w:t xml:space="preserve">ראש אגף התקציבים </w:t>
      </w:r>
    </w:p>
    <w:p w:rsidR="008D4893" w:rsidRDefault="008D4893" w:rsidP="008D4893">
      <w:pPr>
        <w:pStyle w:val="P00"/>
        <w:tabs>
          <w:tab w:val="clear" w:pos="624"/>
          <w:tab w:val="clear" w:pos="1021"/>
          <w:tab w:val="clear" w:pos="1474"/>
          <w:tab w:val="clear" w:pos="1928"/>
          <w:tab w:val="clear" w:pos="2381"/>
          <w:tab w:val="clear" w:pos="2835"/>
          <w:tab w:val="clear" w:pos="6259"/>
          <w:tab w:val="center" w:pos="851"/>
          <w:tab w:val="center" w:pos="2552"/>
          <w:tab w:val="center" w:pos="4536"/>
          <w:tab w:val="center" w:pos="6521"/>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הכללי</w:t>
      </w:r>
      <w:r>
        <w:rPr>
          <w:rStyle w:val="default"/>
          <w:rFonts w:cs="FrankRuehl" w:hint="cs"/>
          <w:sz w:val="22"/>
          <w:szCs w:val="22"/>
          <w:rtl/>
        </w:rPr>
        <w:tab/>
        <w:t>בצה"ל</w:t>
      </w:r>
      <w:r>
        <w:rPr>
          <w:rStyle w:val="default"/>
          <w:rFonts w:cs="FrankRuehl" w:hint="cs"/>
          <w:sz w:val="22"/>
          <w:szCs w:val="22"/>
          <w:rtl/>
        </w:rPr>
        <w:tab/>
        <w:t xml:space="preserve">במשרד הביטחון במשרד </w:t>
      </w:r>
    </w:p>
    <w:p w:rsidR="008D4893" w:rsidRDefault="008D4893" w:rsidP="008D4893">
      <w:pPr>
        <w:pStyle w:val="P00"/>
        <w:tabs>
          <w:tab w:val="clear" w:pos="624"/>
          <w:tab w:val="clear" w:pos="1021"/>
          <w:tab w:val="clear" w:pos="1474"/>
          <w:tab w:val="clear" w:pos="1928"/>
          <w:tab w:val="clear" w:pos="2381"/>
          <w:tab w:val="clear" w:pos="2835"/>
          <w:tab w:val="clear" w:pos="6259"/>
          <w:tab w:val="center" w:pos="851"/>
          <w:tab w:val="center" w:pos="2552"/>
          <w:tab w:val="center" w:pos="4536"/>
          <w:tab w:val="center" w:pos="6521"/>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 xml:space="preserve">הביטחון והיועץ הכספי </w:t>
      </w:r>
    </w:p>
    <w:p w:rsidR="008D4893" w:rsidRPr="003141C7" w:rsidRDefault="008D4893" w:rsidP="008D4893">
      <w:pPr>
        <w:pStyle w:val="P00"/>
        <w:tabs>
          <w:tab w:val="clear" w:pos="624"/>
          <w:tab w:val="clear" w:pos="1021"/>
          <w:tab w:val="clear" w:pos="1474"/>
          <w:tab w:val="clear" w:pos="1928"/>
          <w:tab w:val="clear" w:pos="2381"/>
          <w:tab w:val="clear" w:pos="2835"/>
          <w:tab w:val="clear" w:pos="6259"/>
          <w:tab w:val="center" w:pos="851"/>
          <w:tab w:val="center" w:pos="2552"/>
          <w:tab w:val="center" w:pos="4536"/>
          <w:tab w:val="center" w:pos="6521"/>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לראש המטה הכללי</w:t>
      </w:r>
    </w:p>
    <w:p w:rsidR="001D7594" w:rsidRDefault="001D7594" w:rsidP="008D4893">
      <w:pPr>
        <w:pStyle w:val="sig-1"/>
        <w:widowControl/>
        <w:tabs>
          <w:tab w:val="clear" w:pos="851"/>
          <w:tab w:val="clear" w:pos="2835"/>
          <w:tab w:val="clear" w:pos="4820"/>
          <w:tab w:val="center" w:pos="1701"/>
          <w:tab w:val="center" w:pos="5670"/>
        </w:tabs>
        <w:ind w:left="0" w:right="1134"/>
        <w:rPr>
          <w:rFonts w:hint="cs"/>
          <w:sz w:val="26"/>
          <w:szCs w:val="26"/>
          <w:rtl/>
        </w:rPr>
      </w:pPr>
      <w:r w:rsidRPr="003141C7">
        <w:rPr>
          <w:sz w:val="26"/>
          <w:szCs w:val="26"/>
          <w:rtl/>
        </w:rPr>
        <w:tab/>
      </w:r>
      <w:r w:rsidR="008D4893">
        <w:rPr>
          <w:rFonts w:hint="cs"/>
          <w:sz w:val="26"/>
          <w:szCs w:val="26"/>
          <w:rtl/>
        </w:rPr>
        <w:t>חגית מויאל</w:t>
      </w:r>
      <w:r w:rsidRPr="003141C7">
        <w:rPr>
          <w:sz w:val="26"/>
          <w:szCs w:val="26"/>
          <w:rtl/>
        </w:rPr>
        <w:tab/>
      </w:r>
      <w:r w:rsidR="008D4893">
        <w:rPr>
          <w:rFonts w:hint="cs"/>
          <w:sz w:val="26"/>
          <w:szCs w:val="26"/>
          <w:rtl/>
        </w:rPr>
        <w:t>עמוס שקדי</w:t>
      </w:r>
    </w:p>
    <w:p w:rsidR="008D4893" w:rsidRPr="003141C7" w:rsidRDefault="008D4893" w:rsidP="008D4893">
      <w:pPr>
        <w:pStyle w:val="sig-1"/>
        <w:widowControl/>
        <w:tabs>
          <w:tab w:val="clear" w:pos="851"/>
          <w:tab w:val="clear" w:pos="2835"/>
          <w:tab w:val="clear" w:pos="4820"/>
          <w:tab w:val="center" w:pos="1701"/>
          <w:tab w:val="center" w:pos="5670"/>
        </w:tabs>
        <w:ind w:left="0" w:right="1134"/>
        <w:rPr>
          <w:sz w:val="26"/>
          <w:szCs w:val="26"/>
          <w:rtl/>
        </w:rPr>
      </w:pPr>
      <w:r>
        <w:rPr>
          <w:rFonts w:hint="cs"/>
          <w:sz w:val="26"/>
          <w:szCs w:val="26"/>
          <w:rtl/>
        </w:rPr>
        <w:tab/>
        <w:t>גולדשטיין</w:t>
      </w:r>
      <w:r>
        <w:rPr>
          <w:rFonts w:hint="cs"/>
          <w:sz w:val="26"/>
          <w:szCs w:val="26"/>
          <w:rtl/>
        </w:rPr>
        <w:tab/>
      </w:r>
      <w:r w:rsidRPr="008D4893">
        <w:rPr>
          <w:rFonts w:hint="cs"/>
          <w:rtl/>
        </w:rPr>
        <w:t>ראש אגף הכספים</w:t>
      </w:r>
      <w:r>
        <w:rPr>
          <w:rFonts w:hint="cs"/>
          <w:sz w:val="26"/>
          <w:szCs w:val="26"/>
          <w:rtl/>
        </w:rPr>
        <w:t xml:space="preserve"> </w:t>
      </w:r>
    </w:p>
    <w:p w:rsidR="001D7594" w:rsidRDefault="001D7594" w:rsidP="008D4893">
      <w:pPr>
        <w:pStyle w:val="sig-1"/>
        <w:widowControl/>
        <w:tabs>
          <w:tab w:val="clear" w:pos="851"/>
          <w:tab w:val="clear" w:pos="2835"/>
          <w:tab w:val="clear" w:pos="4820"/>
          <w:tab w:val="center" w:pos="1701"/>
          <w:tab w:val="center" w:pos="5670"/>
        </w:tabs>
        <w:ind w:left="0" w:right="1134"/>
        <w:rPr>
          <w:rtl/>
        </w:rPr>
      </w:pPr>
      <w:r>
        <w:rPr>
          <w:rtl/>
        </w:rPr>
        <w:tab/>
      </w:r>
      <w:r w:rsidR="008D4893">
        <w:rPr>
          <w:rFonts w:hint="cs"/>
          <w:rtl/>
        </w:rPr>
        <w:t>חשבת</w:t>
      </w:r>
      <w:r>
        <w:rPr>
          <w:rtl/>
        </w:rPr>
        <w:tab/>
      </w:r>
      <w:r w:rsidR="008D4893">
        <w:rPr>
          <w:rFonts w:hint="cs"/>
          <w:rtl/>
        </w:rPr>
        <w:t>וחשב המשרד</w:t>
      </w:r>
    </w:p>
    <w:p w:rsidR="008D4893" w:rsidRDefault="008D4893" w:rsidP="008D4893">
      <w:pPr>
        <w:pStyle w:val="sig-1"/>
        <w:widowControl/>
        <w:tabs>
          <w:tab w:val="clear" w:pos="851"/>
          <w:tab w:val="clear" w:pos="2835"/>
          <w:tab w:val="clear" w:pos="4820"/>
          <w:tab w:val="center" w:pos="1985"/>
          <w:tab w:val="center" w:pos="5670"/>
        </w:tabs>
        <w:spacing w:before="72"/>
        <w:ind w:left="0" w:right="1134"/>
        <w:rPr>
          <w:rFonts w:hint="cs"/>
          <w:sz w:val="24"/>
          <w:szCs w:val="24"/>
          <w:rtl/>
        </w:rPr>
      </w:pPr>
    </w:p>
    <w:p w:rsidR="00073717" w:rsidRPr="008D4893" w:rsidRDefault="008D4893" w:rsidP="008D4893">
      <w:pPr>
        <w:pStyle w:val="sig-1"/>
        <w:widowControl/>
        <w:tabs>
          <w:tab w:val="clear" w:pos="851"/>
          <w:tab w:val="clear" w:pos="2835"/>
          <w:tab w:val="clear" w:pos="4820"/>
          <w:tab w:val="center" w:pos="1701"/>
          <w:tab w:val="center" w:pos="5670"/>
        </w:tabs>
        <w:spacing w:before="72"/>
        <w:ind w:left="0" w:right="1134"/>
        <w:rPr>
          <w:rFonts w:hint="cs"/>
          <w:sz w:val="24"/>
          <w:szCs w:val="24"/>
          <w:rtl/>
        </w:rPr>
      </w:pPr>
      <w:r w:rsidRPr="008D4893">
        <w:rPr>
          <w:rFonts w:hint="cs"/>
          <w:sz w:val="24"/>
          <w:szCs w:val="24"/>
          <w:rtl/>
        </w:rPr>
        <w:tab/>
        <w:t>המוסד לביטוח לאומי</w:t>
      </w:r>
      <w:r w:rsidRPr="008D4893">
        <w:rPr>
          <w:rFonts w:hint="cs"/>
          <w:sz w:val="24"/>
          <w:szCs w:val="24"/>
          <w:rtl/>
        </w:rPr>
        <w:tab/>
        <w:t>צה"ל ומשרד הביטחון</w:t>
      </w:r>
    </w:p>
    <w:p w:rsidR="008D4893" w:rsidRPr="003141C7" w:rsidRDefault="008D4893" w:rsidP="003141C7">
      <w:pPr>
        <w:pStyle w:val="P00"/>
        <w:spacing w:before="72"/>
        <w:ind w:left="0" w:right="1134"/>
        <w:rPr>
          <w:rStyle w:val="default"/>
          <w:rFonts w:cs="FrankRuehl" w:hint="cs"/>
          <w:rtl/>
        </w:rPr>
      </w:pPr>
    </w:p>
    <w:p w:rsidR="003141C7" w:rsidRPr="003141C7" w:rsidRDefault="003141C7" w:rsidP="003141C7">
      <w:pPr>
        <w:pStyle w:val="P00"/>
        <w:spacing w:before="72"/>
        <w:ind w:left="0" w:right="1134"/>
        <w:rPr>
          <w:rStyle w:val="default"/>
          <w:rFonts w:cs="FrankRuehl"/>
          <w:rtl/>
        </w:rPr>
      </w:pPr>
    </w:p>
    <w:p w:rsidR="001D7594" w:rsidRPr="003141C7" w:rsidRDefault="001D7594" w:rsidP="003141C7">
      <w:pPr>
        <w:pStyle w:val="P00"/>
        <w:spacing w:before="72"/>
        <w:ind w:left="0" w:right="1134"/>
        <w:rPr>
          <w:rStyle w:val="default"/>
          <w:rFonts w:cs="FrankRuehl"/>
          <w:rtl/>
        </w:rPr>
      </w:pPr>
      <w:bookmarkStart w:id="12" w:name="LawPartEnd"/>
    </w:p>
    <w:bookmarkEnd w:id="12"/>
    <w:p w:rsidR="00851A93" w:rsidRDefault="00851A93" w:rsidP="003141C7">
      <w:pPr>
        <w:pStyle w:val="P00"/>
        <w:spacing w:before="72"/>
        <w:ind w:left="0" w:right="1134"/>
        <w:rPr>
          <w:rStyle w:val="default"/>
          <w:rFonts w:cs="FrankRuehl"/>
          <w:rtl/>
        </w:rPr>
      </w:pPr>
    </w:p>
    <w:p w:rsidR="00851A93" w:rsidRDefault="00851A93" w:rsidP="003141C7">
      <w:pPr>
        <w:pStyle w:val="P00"/>
        <w:spacing w:before="72"/>
        <w:ind w:left="0" w:right="1134"/>
        <w:rPr>
          <w:rStyle w:val="default"/>
          <w:rFonts w:cs="FrankRuehl"/>
          <w:rtl/>
        </w:rPr>
      </w:pPr>
    </w:p>
    <w:p w:rsidR="00851A93" w:rsidRDefault="00851A93" w:rsidP="00851A9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1D7594" w:rsidRPr="00851A93" w:rsidRDefault="001D7594" w:rsidP="00851A93">
      <w:pPr>
        <w:pStyle w:val="P00"/>
        <w:spacing w:before="72"/>
        <w:ind w:left="0" w:right="1134"/>
        <w:jc w:val="center"/>
        <w:rPr>
          <w:rStyle w:val="default"/>
          <w:rFonts w:cs="David"/>
          <w:color w:val="0000FF"/>
          <w:szCs w:val="24"/>
          <w:u w:val="single"/>
          <w:rtl/>
        </w:rPr>
      </w:pPr>
    </w:p>
    <w:sectPr w:rsidR="001D7594" w:rsidRPr="00851A9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52AB" w:rsidRDefault="006B52AB">
      <w:r>
        <w:separator/>
      </w:r>
    </w:p>
  </w:endnote>
  <w:endnote w:type="continuationSeparator" w:id="0">
    <w:p w:rsidR="006B52AB" w:rsidRDefault="006B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594" w:rsidRDefault="001D75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D7594" w:rsidRDefault="001D75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D7594" w:rsidRDefault="001D75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7A39">
      <w:rPr>
        <w:rFonts w:cs="TopType Jerushalmi"/>
        <w:noProof/>
        <w:color w:val="000000"/>
        <w:sz w:val="14"/>
        <w:szCs w:val="14"/>
      </w:rPr>
      <w:t>Z:\000000000000-law\yael\revadim\08-11-27\039_178.doc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594" w:rsidRDefault="001D75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51A93">
      <w:rPr>
        <w:rFonts w:hAnsi="FrankRuehl" w:cs="FrankRuehl"/>
        <w:noProof/>
        <w:sz w:val="24"/>
        <w:szCs w:val="24"/>
        <w:rtl/>
      </w:rPr>
      <w:t>4</w:t>
    </w:r>
    <w:r>
      <w:rPr>
        <w:rFonts w:hAnsi="FrankRuehl" w:cs="FrankRuehl"/>
        <w:sz w:val="24"/>
        <w:szCs w:val="24"/>
        <w:rtl/>
      </w:rPr>
      <w:fldChar w:fldCharType="end"/>
    </w:r>
  </w:p>
  <w:p w:rsidR="001D7594" w:rsidRDefault="001D75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D7594" w:rsidRDefault="001D75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7A39">
      <w:rPr>
        <w:rFonts w:cs="TopType Jerushalmi"/>
        <w:noProof/>
        <w:color w:val="000000"/>
        <w:sz w:val="14"/>
        <w:szCs w:val="14"/>
      </w:rPr>
      <w:t>Z:\000000000000-law\yael\revadim\08-11-27\039_178.doc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52AB" w:rsidRDefault="006B52AB" w:rsidP="00F4090B">
      <w:pPr>
        <w:spacing w:before="60" w:line="240" w:lineRule="auto"/>
        <w:ind w:right="1134"/>
      </w:pPr>
      <w:r>
        <w:separator/>
      </w:r>
    </w:p>
  </w:footnote>
  <w:footnote w:type="continuationSeparator" w:id="0">
    <w:p w:rsidR="006B52AB" w:rsidRDefault="006B52AB">
      <w:r>
        <w:continuationSeparator/>
      </w:r>
    </w:p>
  </w:footnote>
  <w:footnote w:id="1">
    <w:p w:rsidR="00F57842" w:rsidRPr="00F4090B" w:rsidRDefault="00F4090B" w:rsidP="00F5784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4090B">
        <w:rPr>
          <w:sz w:val="20"/>
          <w:rtl/>
        </w:rPr>
        <w:t xml:space="preserve">* </w:t>
      </w:r>
      <w:r>
        <w:rPr>
          <w:sz w:val="20"/>
          <w:rtl/>
        </w:rPr>
        <w:t>פ</w:t>
      </w:r>
      <w:r>
        <w:rPr>
          <w:rFonts w:hint="cs"/>
          <w:sz w:val="20"/>
          <w:rtl/>
        </w:rPr>
        <w:t xml:space="preserve">ורסם </w:t>
      </w:r>
      <w:hyperlink r:id="rId1" w:history="1">
        <w:r w:rsidRPr="00F57842">
          <w:rPr>
            <w:rStyle w:val="Hyperlink"/>
            <w:rFonts w:hint="cs"/>
            <w:sz w:val="20"/>
            <w:rtl/>
          </w:rPr>
          <w:t>י"פ תש</w:t>
        </w:r>
        <w:r w:rsidR="00C808B4" w:rsidRPr="00F57842">
          <w:rPr>
            <w:rStyle w:val="Hyperlink"/>
            <w:rFonts w:hint="cs"/>
            <w:sz w:val="20"/>
            <w:rtl/>
          </w:rPr>
          <w:t>ע</w:t>
        </w:r>
        <w:r w:rsidRPr="00F57842">
          <w:rPr>
            <w:rStyle w:val="Hyperlink"/>
            <w:rFonts w:hint="cs"/>
            <w:sz w:val="20"/>
            <w:rtl/>
          </w:rPr>
          <w:t xml:space="preserve">"ז מס' </w:t>
        </w:r>
        <w:r w:rsidR="00C808B4" w:rsidRPr="00F57842">
          <w:rPr>
            <w:rStyle w:val="Hyperlink"/>
            <w:rFonts w:hint="cs"/>
            <w:sz w:val="20"/>
            <w:rtl/>
          </w:rPr>
          <w:t>7555</w:t>
        </w:r>
      </w:hyperlink>
      <w:r>
        <w:rPr>
          <w:rFonts w:hint="cs"/>
          <w:sz w:val="20"/>
          <w:rtl/>
        </w:rPr>
        <w:t xml:space="preserve"> מיום </w:t>
      </w:r>
      <w:r w:rsidR="00C808B4">
        <w:rPr>
          <w:rFonts w:hint="cs"/>
          <w:sz w:val="20"/>
          <w:rtl/>
        </w:rPr>
        <w:t>27.7.2017</w:t>
      </w:r>
      <w:r>
        <w:rPr>
          <w:rFonts w:hint="cs"/>
          <w:sz w:val="20"/>
          <w:rtl/>
        </w:rPr>
        <w:t xml:space="preserve"> עמ' </w:t>
      </w:r>
      <w:r w:rsidR="00C808B4">
        <w:rPr>
          <w:rFonts w:hint="cs"/>
          <w:sz w:val="20"/>
          <w:rtl/>
        </w:rPr>
        <w:t>8080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594" w:rsidRDefault="001D75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הסכם בדבר מתן תגמולים לחסידי אומות העולם, תשמ"ז- 1987</w:t>
    </w:r>
  </w:p>
  <w:p w:rsidR="001D7594" w:rsidRDefault="001D75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7594" w:rsidRDefault="001D759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594" w:rsidRDefault="001D7594" w:rsidP="00C808B4">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הסכם בדבר </w:t>
    </w:r>
    <w:r w:rsidR="00C808B4">
      <w:rPr>
        <w:rFonts w:hAnsi="FrankRuehl" w:cs="FrankRuehl" w:hint="cs"/>
        <w:color w:val="000000"/>
        <w:sz w:val="28"/>
        <w:szCs w:val="28"/>
        <w:rtl/>
      </w:rPr>
      <w:t>תשלום פיצוי לעצמאי בשירות מילואים, תשע"ז-2017</w:t>
    </w:r>
  </w:p>
  <w:p w:rsidR="001D7594" w:rsidRDefault="001D75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7594" w:rsidRDefault="001D759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518F"/>
    <w:rsid w:val="00037F32"/>
    <w:rsid w:val="00065E97"/>
    <w:rsid w:val="00073717"/>
    <w:rsid w:val="0012312C"/>
    <w:rsid w:val="00187E65"/>
    <w:rsid w:val="001D7594"/>
    <w:rsid w:val="003141C7"/>
    <w:rsid w:val="00647873"/>
    <w:rsid w:val="006B52AB"/>
    <w:rsid w:val="006E7A39"/>
    <w:rsid w:val="0082708B"/>
    <w:rsid w:val="00851A93"/>
    <w:rsid w:val="008D4893"/>
    <w:rsid w:val="009C0228"/>
    <w:rsid w:val="00A91C89"/>
    <w:rsid w:val="00AC1499"/>
    <w:rsid w:val="00AD518F"/>
    <w:rsid w:val="00C807F6"/>
    <w:rsid w:val="00C808B4"/>
    <w:rsid w:val="00DE0995"/>
    <w:rsid w:val="00E714A7"/>
    <w:rsid w:val="00F4090B"/>
    <w:rsid w:val="00F578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35A1E14-064D-4ABB-99F5-1DC55201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4090B"/>
    <w:rPr>
      <w:sz w:val="20"/>
      <w:szCs w:val="20"/>
    </w:rPr>
  </w:style>
  <w:style w:type="character" w:styleId="a6">
    <w:name w:val="footnote reference"/>
    <w:basedOn w:val="a0"/>
    <w:semiHidden/>
    <w:rsid w:val="00F40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0/yalkut-75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6951</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7405571</vt:i4>
      </vt:variant>
      <vt:variant>
        <vt:i4>0</vt:i4>
      </vt:variant>
      <vt:variant>
        <vt:i4>0</vt:i4>
      </vt:variant>
      <vt:variant>
        <vt:i4>5</vt:i4>
      </vt:variant>
      <vt:variant>
        <vt:lpwstr>http://www.nevo.co.il/law_word/law10/yalkut-7555.pdf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ביטוח לאומי</vt:lpwstr>
  </property>
  <property fmtid="{D5CDD505-2E9C-101B-9397-08002B2CF9AE}" pid="4" name="LAWNAME">
    <vt:lpwstr>הסכם בדבר תשלום פיצוי לעצמאי בשירות מילואים, תשע"ז-2017</vt:lpwstr>
  </property>
  <property fmtid="{D5CDD505-2E9C-101B-9397-08002B2CF9AE}" pid="5" name="LAWNUMBER">
    <vt:lpwstr>0651</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בטחון</vt:lpwstr>
  </property>
  <property fmtid="{D5CDD505-2E9C-101B-9397-08002B2CF9AE}" pid="12" name="NOSE22">
    <vt:lpwstr>צה"ל</vt:lpwstr>
  </property>
  <property fmtid="{D5CDD505-2E9C-101B-9397-08002B2CF9AE}" pid="13" name="NOSE32">
    <vt:lpwstr>מילואים</vt:lpwstr>
  </property>
  <property fmtid="{D5CDD505-2E9C-101B-9397-08002B2CF9AE}" pid="14" name="NOSE42">
    <vt:lpwstr>תגמולים</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http://www.nevo.co.il/law_word/law10/yalkut-7555.pdf;‎רשומות - ילקוט פרסומים#פורסם י"פ תשע"ז ‏מס' 7555 #מיום 27.7.2017 עמ' 8080‏</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