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100" w:rsidRDefault="007B0100" w:rsidP="00F97AF2">
      <w:pPr>
        <w:pStyle w:val="big-header"/>
        <w:ind w:left="0" w:right="1134"/>
        <w:rPr>
          <w:rFonts w:cs="FrankRuehl"/>
          <w:sz w:val="32"/>
          <w:rtl/>
        </w:rPr>
      </w:pPr>
      <w:r>
        <w:rPr>
          <w:rFonts w:cs="FrankRuehl"/>
          <w:sz w:val="32"/>
          <w:rtl/>
        </w:rPr>
        <w:t>חוק איגרות מדינת ישראל (הנפק רביעי להשקעת פיתוח), תשל"ג</w:t>
      </w:r>
      <w:r w:rsidR="00F97AF2">
        <w:rPr>
          <w:rFonts w:cs="FrankRuehl" w:hint="cs"/>
          <w:sz w:val="32"/>
          <w:rtl/>
        </w:rPr>
        <w:t>-</w:t>
      </w:r>
      <w:r>
        <w:rPr>
          <w:rFonts w:cs="FrankRuehl"/>
          <w:sz w:val="32"/>
          <w:rtl/>
        </w:rPr>
        <w:t>1973</w:t>
      </w:r>
    </w:p>
    <w:p w:rsidR="00B27F40" w:rsidRPr="00B27F40" w:rsidRDefault="00B27F40" w:rsidP="00B27F40">
      <w:pPr>
        <w:spacing w:line="320" w:lineRule="auto"/>
        <w:jc w:val="left"/>
        <w:rPr>
          <w:rFonts w:cs="FrankRuehl"/>
          <w:szCs w:val="26"/>
          <w:rtl/>
        </w:rPr>
      </w:pPr>
    </w:p>
    <w:p w:rsidR="00B27F40" w:rsidRDefault="00B27F40" w:rsidP="00B27F40">
      <w:pPr>
        <w:spacing w:line="320" w:lineRule="auto"/>
        <w:jc w:val="left"/>
        <w:rPr>
          <w:rtl/>
        </w:rPr>
      </w:pPr>
    </w:p>
    <w:p w:rsidR="00B27F40" w:rsidRDefault="00B27F40" w:rsidP="00B27F40">
      <w:pPr>
        <w:spacing w:line="320" w:lineRule="auto"/>
        <w:jc w:val="left"/>
        <w:rPr>
          <w:rFonts w:cs="FrankRuehl"/>
          <w:szCs w:val="26"/>
          <w:rtl/>
        </w:rPr>
      </w:pPr>
      <w:r w:rsidRPr="00B27F40">
        <w:rPr>
          <w:rFonts w:cs="Miriam"/>
          <w:szCs w:val="22"/>
          <w:rtl/>
        </w:rPr>
        <w:t>משפט פרטי וכלכלה</w:t>
      </w:r>
      <w:r w:rsidRPr="00B27F40">
        <w:rPr>
          <w:rFonts w:cs="FrankRuehl"/>
          <w:szCs w:val="26"/>
          <w:rtl/>
        </w:rPr>
        <w:t xml:space="preserve"> – כספים – מילווים</w:t>
      </w:r>
    </w:p>
    <w:p w:rsidR="00B27F40" w:rsidRDefault="00B27F40" w:rsidP="00B27F40">
      <w:pPr>
        <w:spacing w:line="320" w:lineRule="auto"/>
        <w:jc w:val="left"/>
        <w:rPr>
          <w:rFonts w:cs="FrankRuehl"/>
          <w:szCs w:val="26"/>
          <w:rtl/>
        </w:rPr>
      </w:pPr>
      <w:r w:rsidRPr="00B27F40">
        <w:rPr>
          <w:rFonts w:cs="Miriam"/>
          <w:szCs w:val="22"/>
          <w:rtl/>
        </w:rPr>
        <w:t>מסים</w:t>
      </w:r>
      <w:r w:rsidRPr="00B27F40">
        <w:rPr>
          <w:rFonts w:cs="FrankRuehl"/>
          <w:szCs w:val="26"/>
          <w:rtl/>
        </w:rPr>
        <w:t xml:space="preserve"> – מילווים</w:t>
      </w:r>
    </w:p>
    <w:p w:rsidR="00A642D7" w:rsidRPr="00B27F40" w:rsidRDefault="00B27F40" w:rsidP="00B27F40">
      <w:pPr>
        <w:spacing w:line="320" w:lineRule="auto"/>
        <w:jc w:val="left"/>
        <w:rPr>
          <w:rFonts w:cs="Miriam"/>
          <w:szCs w:val="22"/>
          <w:rtl/>
        </w:rPr>
      </w:pPr>
      <w:r w:rsidRPr="00B27F40">
        <w:rPr>
          <w:rFonts w:cs="Miriam"/>
          <w:szCs w:val="22"/>
          <w:rtl/>
        </w:rPr>
        <w:t>משפט פרטי וכלכלה</w:t>
      </w:r>
      <w:r w:rsidRPr="00B27F40">
        <w:rPr>
          <w:rFonts w:cs="FrankRuehl"/>
          <w:szCs w:val="26"/>
          <w:rtl/>
        </w:rPr>
        <w:t xml:space="preserve"> – כספים – אגרות חוב</w:t>
      </w:r>
    </w:p>
    <w:p w:rsidR="007B0100" w:rsidRDefault="007B010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0" w:tooltip="הרשאה לקבלת מילווה" w:history="1">
              <w:r>
                <w:rPr>
                  <w:rStyle w:val="Hyperlink"/>
                </w:rPr>
                <w:t>Go</w:t>
              </w:r>
            </w:hyperlink>
          </w:p>
        </w:tc>
        <w:tc>
          <w:tcPr>
            <w:tcW w:w="5669" w:type="dxa"/>
          </w:tcPr>
          <w:p w:rsidR="007B0100" w:rsidRDefault="007B0100">
            <w:pPr>
              <w:spacing w:line="240" w:lineRule="auto"/>
              <w:rPr>
                <w:sz w:val="24"/>
                <w:rtl/>
              </w:rPr>
            </w:pPr>
            <w:r>
              <w:rPr>
                <w:sz w:val="24"/>
                <w:rtl/>
              </w:rPr>
              <w:t>הרשאה לקבלת מילווה</w:t>
            </w:r>
          </w:p>
        </w:tc>
        <w:tc>
          <w:tcPr>
            <w:tcW w:w="1247" w:type="dxa"/>
          </w:tcPr>
          <w:p w:rsidR="007B0100" w:rsidRDefault="007B0100">
            <w:pPr>
              <w:spacing w:line="240" w:lineRule="auto"/>
              <w:rPr>
                <w:sz w:val="24"/>
              </w:rPr>
            </w:pPr>
            <w:r>
              <w:rPr>
                <w:sz w:val="24"/>
                <w:rtl/>
              </w:rPr>
              <w:t xml:space="preserve">סעיף 1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1" w:tooltip="שם איגרות החוב וסימונן" w:history="1">
              <w:r>
                <w:rPr>
                  <w:rStyle w:val="Hyperlink"/>
                </w:rPr>
                <w:t>Go</w:t>
              </w:r>
            </w:hyperlink>
          </w:p>
        </w:tc>
        <w:tc>
          <w:tcPr>
            <w:tcW w:w="5669" w:type="dxa"/>
          </w:tcPr>
          <w:p w:rsidR="007B0100" w:rsidRDefault="007B0100">
            <w:pPr>
              <w:spacing w:line="240" w:lineRule="auto"/>
              <w:rPr>
                <w:sz w:val="24"/>
                <w:rtl/>
              </w:rPr>
            </w:pPr>
            <w:r>
              <w:rPr>
                <w:sz w:val="24"/>
                <w:rtl/>
              </w:rPr>
              <w:t>שם איגרות החוב וסימונן</w:t>
            </w:r>
          </w:p>
        </w:tc>
        <w:tc>
          <w:tcPr>
            <w:tcW w:w="1247" w:type="dxa"/>
          </w:tcPr>
          <w:p w:rsidR="007B0100" w:rsidRDefault="007B0100">
            <w:pPr>
              <w:spacing w:line="240" w:lineRule="auto"/>
              <w:rPr>
                <w:sz w:val="24"/>
              </w:rPr>
            </w:pPr>
            <w:r>
              <w:rPr>
                <w:sz w:val="24"/>
                <w:rtl/>
              </w:rPr>
              <w:t xml:space="preserve">סעיף 2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2" w:tooltip="סמכות לשר האוצר" w:history="1">
              <w:r>
                <w:rPr>
                  <w:rStyle w:val="Hyperlink"/>
                </w:rPr>
                <w:t>Go</w:t>
              </w:r>
            </w:hyperlink>
          </w:p>
        </w:tc>
        <w:tc>
          <w:tcPr>
            <w:tcW w:w="5669" w:type="dxa"/>
          </w:tcPr>
          <w:p w:rsidR="007B0100" w:rsidRDefault="007B0100">
            <w:pPr>
              <w:spacing w:line="240" w:lineRule="auto"/>
              <w:rPr>
                <w:sz w:val="24"/>
                <w:rtl/>
              </w:rPr>
            </w:pPr>
            <w:r>
              <w:rPr>
                <w:sz w:val="24"/>
                <w:rtl/>
              </w:rPr>
              <w:t>סמכות לשר האוצר</w:t>
            </w:r>
          </w:p>
        </w:tc>
        <w:tc>
          <w:tcPr>
            <w:tcW w:w="1247" w:type="dxa"/>
          </w:tcPr>
          <w:p w:rsidR="007B0100" w:rsidRDefault="007B0100">
            <w:pPr>
              <w:spacing w:line="240" w:lineRule="auto"/>
              <w:rPr>
                <w:sz w:val="24"/>
              </w:rPr>
            </w:pPr>
            <w:r>
              <w:rPr>
                <w:sz w:val="24"/>
                <w:rtl/>
              </w:rPr>
              <w:t xml:space="preserve">סעיף 3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3" w:tooltip="ערכן הנקוב של איגרות החוב; סוגן וטבען" w:history="1">
              <w:r>
                <w:rPr>
                  <w:rStyle w:val="Hyperlink"/>
                </w:rPr>
                <w:t>Go</w:t>
              </w:r>
            </w:hyperlink>
          </w:p>
        </w:tc>
        <w:tc>
          <w:tcPr>
            <w:tcW w:w="5669" w:type="dxa"/>
          </w:tcPr>
          <w:p w:rsidR="007B0100" w:rsidRDefault="007B0100">
            <w:pPr>
              <w:spacing w:line="240" w:lineRule="auto"/>
              <w:rPr>
                <w:sz w:val="24"/>
                <w:rtl/>
              </w:rPr>
            </w:pPr>
            <w:r>
              <w:rPr>
                <w:sz w:val="24"/>
                <w:rtl/>
              </w:rPr>
              <w:t>ערכן הנקוב של איגרות החוב; סוגן וטבען</w:t>
            </w:r>
          </w:p>
        </w:tc>
        <w:tc>
          <w:tcPr>
            <w:tcW w:w="1247" w:type="dxa"/>
          </w:tcPr>
          <w:p w:rsidR="007B0100" w:rsidRDefault="007B0100">
            <w:pPr>
              <w:spacing w:line="240" w:lineRule="auto"/>
              <w:rPr>
                <w:sz w:val="24"/>
              </w:rPr>
            </w:pPr>
            <w:r>
              <w:rPr>
                <w:sz w:val="24"/>
                <w:rtl/>
              </w:rPr>
              <w:t xml:space="preserve">סעיף 4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4" w:tooltip="חתימת איגרות חוב" w:history="1">
              <w:r>
                <w:rPr>
                  <w:rStyle w:val="Hyperlink"/>
                </w:rPr>
                <w:t>Go</w:t>
              </w:r>
            </w:hyperlink>
          </w:p>
        </w:tc>
        <w:tc>
          <w:tcPr>
            <w:tcW w:w="5669" w:type="dxa"/>
          </w:tcPr>
          <w:p w:rsidR="007B0100" w:rsidRDefault="007B0100">
            <w:pPr>
              <w:spacing w:line="240" w:lineRule="auto"/>
              <w:rPr>
                <w:sz w:val="24"/>
                <w:rtl/>
              </w:rPr>
            </w:pPr>
            <w:r>
              <w:rPr>
                <w:sz w:val="24"/>
                <w:rtl/>
              </w:rPr>
              <w:t>חתימת איגרות חוב</w:t>
            </w:r>
          </w:p>
        </w:tc>
        <w:tc>
          <w:tcPr>
            <w:tcW w:w="1247" w:type="dxa"/>
          </w:tcPr>
          <w:p w:rsidR="007B0100" w:rsidRDefault="007B0100">
            <w:pPr>
              <w:spacing w:line="240" w:lineRule="auto"/>
              <w:rPr>
                <w:sz w:val="24"/>
              </w:rPr>
            </w:pPr>
            <w:r>
              <w:rPr>
                <w:sz w:val="24"/>
                <w:rtl/>
              </w:rPr>
              <w:t xml:space="preserve">סעיף 5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97AF2">
              <w:rPr>
                <w:noProof/>
                <w:sz w:val="24"/>
                <w:rtl/>
              </w:rPr>
              <w:t>2</w:t>
            </w:r>
            <w:r>
              <w:rPr>
                <w:sz w:val="24"/>
                <w:rtl/>
              </w:rPr>
              <w:fldChar w:fldCharType="end"/>
            </w:r>
          </w:p>
        </w:tc>
        <w:tc>
          <w:tcPr>
            <w:tcW w:w="567" w:type="dxa"/>
          </w:tcPr>
          <w:p w:rsidR="007B0100" w:rsidRDefault="007B0100">
            <w:pPr>
              <w:spacing w:line="240" w:lineRule="auto"/>
              <w:rPr>
                <w:sz w:val="24"/>
              </w:rPr>
            </w:pPr>
            <w:hyperlink w:anchor="Seif5" w:tooltip="התשלום במועד הפדיון" w:history="1">
              <w:r>
                <w:rPr>
                  <w:rStyle w:val="Hyperlink"/>
                </w:rPr>
                <w:t>Go</w:t>
              </w:r>
            </w:hyperlink>
          </w:p>
        </w:tc>
        <w:tc>
          <w:tcPr>
            <w:tcW w:w="5669" w:type="dxa"/>
          </w:tcPr>
          <w:p w:rsidR="007B0100" w:rsidRDefault="007B0100">
            <w:pPr>
              <w:spacing w:line="240" w:lineRule="auto"/>
              <w:rPr>
                <w:sz w:val="24"/>
                <w:rtl/>
              </w:rPr>
            </w:pPr>
            <w:r>
              <w:rPr>
                <w:sz w:val="24"/>
                <w:rtl/>
              </w:rPr>
              <w:t>התשלום במועד הפדיון</w:t>
            </w:r>
          </w:p>
        </w:tc>
        <w:tc>
          <w:tcPr>
            <w:tcW w:w="1247" w:type="dxa"/>
          </w:tcPr>
          <w:p w:rsidR="007B0100" w:rsidRDefault="007B0100">
            <w:pPr>
              <w:spacing w:line="240" w:lineRule="auto"/>
              <w:rPr>
                <w:sz w:val="24"/>
              </w:rPr>
            </w:pPr>
            <w:r>
              <w:rPr>
                <w:sz w:val="24"/>
                <w:rtl/>
              </w:rPr>
              <w:t xml:space="preserve">סעיף 6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97AF2">
              <w:rPr>
                <w:noProof/>
                <w:sz w:val="24"/>
                <w:rtl/>
              </w:rPr>
              <w:t>3</w:t>
            </w:r>
            <w:r>
              <w:rPr>
                <w:sz w:val="24"/>
                <w:rtl/>
              </w:rPr>
              <w:fldChar w:fldCharType="end"/>
            </w:r>
          </w:p>
        </w:tc>
        <w:tc>
          <w:tcPr>
            <w:tcW w:w="567" w:type="dxa"/>
          </w:tcPr>
          <w:p w:rsidR="007B0100" w:rsidRDefault="007B0100">
            <w:pPr>
              <w:spacing w:line="240" w:lineRule="auto"/>
              <w:rPr>
                <w:sz w:val="24"/>
              </w:rPr>
            </w:pPr>
            <w:hyperlink w:anchor="Seif6" w:tooltip="פדיון והחזר לפני המועד" w:history="1">
              <w:r>
                <w:rPr>
                  <w:rStyle w:val="Hyperlink"/>
                </w:rPr>
                <w:t>Go</w:t>
              </w:r>
            </w:hyperlink>
          </w:p>
        </w:tc>
        <w:tc>
          <w:tcPr>
            <w:tcW w:w="5669" w:type="dxa"/>
          </w:tcPr>
          <w:p w:rsidR="007B0100" w:rsidRDefault="007B0100">
            <w:pPr>
              <w:spacing w:line="240" w:lineRule="auto"/>
              <w:rPr>
                <w:sz w:val="24"/>
                <w:rtl/>
              </w:rPr>
            </w:pPr>
            <w:r>
              <w:rPr>
                <w:sz w:val="24"/>
                <w:rtl/>
              </w:rPr>
              <w:t>פדיון והחזר לפני המועד</w:t>
            </w:r>
          </w:p>
        </w:tc>
        <w:tc>
          <w:tcPr>
            <w:tcW w:w="1247" w:type="dxa"/>
          </w:tcPr>
          <w:p w:rsidR="007B0100" w:rsidRDefault="007B0100">
            <w:pPr>
              <w:spacing w:line="240" w:lineRule="auto"/>
              <w:rPr>
                <w:sz w:val="24"/>
              </w:rPr>
            </w:pPr>
            <w:r>
              <w:rPr>
                <w:sz w:val="24"/>
                <w:rtl/>
              </w:rPr>
              <w:t xml:space="preserve">סעיף 7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97AF2">
              <w:rPr>
                <w:noProof/>
                <w:sz w:val="24"/>
                <w:rtl/>
              </w:rPr>
              <w:t>3</w:t>
            </w:r>
            <w:r>
              <w:rPr>
                <w:sz w:val="24"/>
                <w:rtl/>
              </w:rPr>
              <w:fldChar w:fldCharType="end"/>
            </w:r>
          </w:p>
        </w:tc>
        <w:tc>
          <w:tcPr>
            <w:tcW w:w="567" w:type="dxa"/>
          </w:tcPr>
          <w:p w:rsidR="007B0100" w:rsidRDefault="007B0100">
            <w:pPr>
              <w:spacing w:line="240" w:lineRule="auto"/>
              <w:rPr>
                <w:sz w:val="24"/>
              </w:rPr>
            </w:pPr>
            <w:hyperlink w:anchor="Seif7" w:tooltip="קרן שמורה והחזר תמורת מטבע ישראלי" w:history="1">
              <w:r>
                <w:rPr>
                  <w:rStyle w:val="Hyperlink"/>
                </w:rPr>
                <w:t>Go</w:t>
              </w:r>
            </w:hyperlink>
          </w:p>
        </w:tc>
        <w:tc>
          <w:tcPr>
            <w:tcW w:w="5669" w:type="dxa"/>
          </w:tcPr>
          <w:p w:rsidR="007B0100" w:rsidRDefault="007B0100">
            <w:pPr>
              <w:spacing w:line="240" w:lineRule="auto"/>
              <w:rPr>
                <w:sz w:val="24"/>
                <w:rtl/>
              </w:rPr>
            </w:pPr>
            <w:r>
              <w:rPr>
                <w:sz w:val="24"/>
                <w:rtl/>
              </w:rPr>
              <w:t>קרן שמורה והחזר תמורת מטבע ישראלי</w:t>
            </w:r>
          </w:p>
        </w:tc>
        <w:tc>
          <w:tcPr>
            <w:tcW w:w="1247" w:type="dxa"/>
          </w:tcPr>
          <w:p w:rsidR="007B0100" w:rsidRDefault="007B0100">
            <w:pPr>
              <w:spacing w:line="240" w:lineRule="auto"/>
              <w:rPr>
                <w:sz w:val="24"/>
              </w:rPr>
            </w:pPr>
            <w:r>
              <w:rPr>
                <w:sz w:val="24"/>
                <w:rtl/>
              </w:rPr>
              <w:t xml:space="preserve">סעיף 8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97AF2">
              <w:rPr>
                <w:noProof/>
                <w:sz w:val="24"/>
                <w:rtl/>
              </w:rPr>
              <w:t>3</w:t>
            </w:r>
            <w:r>
              <w:rPr>
                <w:sz w:val="24"/>
                <w:rtl/>
              </w:rPr>
              <w:fldChar w:fldCharType="end"/>
            </w:r>
          </w:p>
        </w:tc>
        <w:tc>
          <w:tcPr>
            <w:tcW w:w="567" w:type="dxa"/>
          </w:tcPr>
          <w:p w:rsidR="007B0100" w:rsidRDefault="007B0100">
            <w:pPr>
              <w:spacing w:line="240" w:lineRule="auto"/>
              <w:rPr>
                <w:sz w:val="24"/>
              </w:rPr>
            </w:pPr>
            <w:hyperlink w:anchor="Seif8" w:tooltip="פטור ממסים" w:history="1">
              <w:r>
                <w:rPr>
                  <w:rStyle w:val="Hyperlink"/>
                </w:rPr>
                <w:t>Go</w:t>
              </w:r>
            </w:hyperlink>
          </w:p>
        </w:tc>
        <w:tc>
          <w:tcPr>
            <w:tcW w:w="5669" w:type="dxa"/>
          </w:tcPr>
          <w:p w:rsidR="007B0100" w:rsidRDefault="007B0100">
            <w:pPr>
              <w:spacing w:line="240" w:lineRule="auto"/>
              <w:rPr>
                <w:sz w:val="24"/>
                <w:rtl/>
              </w:rPr>
            </w:pPr>
            <w:r>
              <w:rPr>
                <w:sz w:val="24"/>
                <w:rtl/>
              </w:rPr>
              <w:t>פטור ממסים</w:t>
            </w:r>
          </w:p>
        </w:tc>
        <w:tc>
          <w:tcPr>
            <w:tcW w:w="1247" w:type="dxa"/>
          </w:tcPr>
          <w:p w:rsidR="007B0100" w:rsidRDefault="007B0100">
            <w:pPr>
              <w:spacing w:line="240" w:lineRule="auto"/>
              <w:rPr>
                <w:sz w:val="24"/>
              </w:rPr>
            </w:pPr>
            <w:r>
              <w:rPr>
                <w:sz w:val="24"/>
                <w:rtl/>
              </w:rPr>
              <w:t xml:space="preserve">סעיף 9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97AF2">
              <w:rPr>
                <w:noProof/>
                <w:sz w:val="24"/>
                <w:rtl/>
              </w:rPr>
              <w:t>3</w:t>
            </w:r>
            <w:r>
              <w:rPr>
                <w:sz w:val="24"/>
                <w:rtl/>
              </w:rPr>
              <w:fldChar w:fldCharType="end"/>
            </w:r>
          </w:p>
        </w:tc>
        <w:tc>
          <w:tcPr>
            <w:tcW w:w="567" w:type="dxa"/>
          </w:tcPr>
          <w:p w:rsidR="007B0100" w:rsidRDefault="007B0100">
            <w:pPr>
              <w:spacing w:line="240" w:lineRule="auto"/>
              <w:rPr>
                <w:sz w:val="24"/>
              </w:rPr>
            </w:pPr>
            <w:hyperlink w:anchor="Seif9" w:tooltip="מינהל" w:history="1">
              <w:r>
                <w:rPr>
                  <w:rStyle w:val="Hyperlink"/>
                </w:rPr>
                <w:t>Go</w:t>
              </w:r>
            </w:hyperlink>
          </w:p>
        </w:tc>
        <w:tc>
          <w:tcPr>
            <w:tcW w:w="5669" w:type="dxa"/>
          </w:tcPr>
          <w:p w:rsidR="007B0100" w:rsidRDefault="007B0100">
            <w:pPr>
              <w:spacing w:line="240" w:lineRule="auto"/>
              <w:rPr>
                <w:sz w:val="24"/>
                <w:rtl/>
              </w:rPr>
            </w:pPr>
            <w:r>
              <w:rPr>
                <w:sz w:val="24"/>
                <w:rtl/>
              </w:rPr>
              <w:t>מינהל</w:t>
            </w:r>
          </w:p>
        </w:tc>
        <w:tc>
          <w:tcPr>
            <w:tcW w:w="1247" w:type="dxa"/>
          </w:tcPr>
          <w:p w:rsidR="007B0100" w:rsidRDefault="007B0100">
            <w:pPr>
              <w:spacing w:line="240" w:lineRule="auto"/>
              <w:rPr>
                <w:sz w:val="24"/>
              </w:rPr>
            </w:pPr>
            <w:r>
              <w:rPr>
                <w:sz w:val="24"/>
                <w:rtl/>
              </w:rPr>
              <w:t xml:space="preserve">סעיף 10 </w:t>
            </w:r>
          </w:p>
        </w:tc>
      </w:tr>
      <w:tr w:rsidR="007B0100">
        <w:tblPrEx>
          <w:tblCellMar>
            <w:top w:w="0" w:type="dxa"/>
            <w:bottom w:w="0" w:type="dxa"/>
          </w:tblCellMar>
        </w:tblPrEx>
        <w:tc>
          <w:tcPr>
            <w:tcW w:w="850" w:type="dxa"/>
          </w:tcPr>
          <w:p w:rsidR="007B0100" w:rsidRDefault="007B010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97AF2">
              <w:rPr>
                <w:noProof/>
                <w:sz w:val="24"/>
                <w:rtl/>
              </w:rPr>
              <w:t>3</w:t>
            </w:r>
            <w:r>
              <w:rPr>
                <w:sz w:val="24"/>
                <w:rtl/>
              </w:rPr>
              <w:fldChar w:fldCharType="end"/>
            </w:r>
          </w:p>
        </w:tc>
        <w:tc>
          <w:tcPr>
            <w:tcW w:w="567" w:type="dxa"/>
          </w:tcPr>
          <w:p w:rsidR="007B0100" w:rsidRDefault="007B0100">
            <w:pPr>
              <w:spacing w:line="240" w:lineRule="auto"/>
              <w:rPr>
                <w:sz w:val="24"/>
              </w:rPr>
            </w:pPr>
            <w:hyperlink w:anchor="Seif10" w:tooltip="ביצוע ותקנות" w:history="1">
              <w:r>
                <w:rPr>
                  <w:rStyle w:val="Hyperlink"/>
                </w:rPr>
                <w:t>Go</w:t>
              </w:r>
            </w:hyperlink>
          </w:p>
        </w:tc>
        <w:tc>
          <w:tcPr>
            <w:tcW w:w="5669" w:type="dxa"/>
          </w:tcPr>
          <w:p w:rsidR="007B0100" w:rsidRDefault="007B0100">
            <w:pPr>
              <w:spacing w:line="240" w:lineRule="auto"/>
              <w:rPr>
                <w:sz w:val="24"/>
                <w:rtl/>
              </w:rPr>
            </w:pPr>
            <w:r>
              <w:rPr>
                <w:sz w:val="24"/>
                <w:rtl/>
              </w:rPr>
              <w:t>ביצוע ותקנות</w:t>
            </w:r>
          </w:p>
        </w:tc>
        <w:tc>
          <w:tcPr>
            <w:tcW w:w="1247" w:type="dxa"/>
          </w:tcPr>
          <w:p w:rsidR="007B0100" w:rsidRDefault="007B0100">
            <w:pPr>
              <w:spacing w:line="240" w:lineRule="auto"/>
              <w:rPr>
                <w:sz w:val="24"/>
              </w:rPr>
            </w:pPr>
            <w:r>
              <w:rPr>
                <w:sz w:val="24"/>
                <w:rtl/>
              </w:rPr>
              <w:t xml:space="preserve">סעיף 11 </w:t>
            </w:r>
          </w:p>
        </w:tc>
      </w:tr>
    </w:tbl>
    <w:p w:rsidR="007B0100" w:rsidRDefault="007B0100">
      <w:pPr>
        <w:pStyle w:val="big-header"/>
        <w:ind w:left="0" w:right="1134"/>
        <w:rPr>
          <w:rFonts w:cs="FrankRuehl"/>
          <w:sz w:val="32"/>
          <w:rtl/>
        </w:rPr>
      </w:pPr>
    </w:p>
    <w:p w:rsidR="007B0100" w:rsidRDefault="007B0100" w:rsidP="00B27F40">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איגרות מדינת ישראל (הנפק רביעי להשקעת פיתוח), תשל"ג</w:t>
      </w:r>
      <w:r w:rsidR="00F97AF2">
        <w:rPr>
          <w:rFonts w:cs="FrankRuehl" w:hint="cs"/>
          <w:sz w:val="32"/>
          <w:rtl/>
        </w:rPr>
        <w:t>-</w:t>
      </w:r>
      <w:r>
        <w:rPr>
          <w:rFonts w:cs="FrankRuehl"/>
          <w:sz w:val="32"/>
          <w:rtl/>
        </w:rPr>
        <w:t>1973</w:t>
      </w:r>
      <w:r w:rsidR="00F97AF2">
        <w:rPr>
          <w:rStyle w:val="a6"/>
          <w:rFonts w:cs="FrankRuehl"/>
          <w:sz w:val="32"/>
          <w:rtl/>
        </w:rPr>
        <w:footnoteReference w:customMarkFollows="1" w:id="1"/>
        <w:t>*</w:t>
      </w:r>
    </w:p>
    <w:p w:rsidR="007B0100" w:rsidRDefault="007B0100">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2.6pt;z-index:251652608"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מילווה</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שלוש מאות וחמישים מיליון דולר (מעה או מטבע של ארצות הברית של אמריקה, או שוויו במטבע של ארצ</w:t>
      </w:r>
      <w:r>
        <w:rPr>
          <w:rStyle w:val="default"/>
          <w:rFonts w:cs="FrankRuehl"/>
          <w:rtl/>
        </w:rPr>
        <w:t>ות</w:t>
      </w:r>
      <w:r>
        <w:rPr>
          <w:rStyle w:val="default"/>
          <w:rFonts w:cs="FrankRuehl" w:hint="cs"/>
          <w:rtl/>
        </w:rPr>
        <w:t xml:space="preserve"> אחרות), ולהוציא ולמכור למטרה זו, מזמן לזמן, איגרות חוב בארצות הברית של אמריקה ובארצות אחרות.</w:t>
      </w:r>
    </w:p>
    <w:p w:rsidR="007B0100" w:rsidRDefault="007B0100" w:rsidP="00F97AF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5pt;z-index:251653632"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איגרות החוב וסימונן</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F97AF2">
        <w:rPr>
          <w:rStyle w:val="default"/>
          <w:rFonts w:cs="FrankRuehl" w:hint="cs"/>
          <w:rtl/>
        </w:rPr>
        <w:t>-</w:t>
      </w:r>
      <w:r>
        <w:rPr>
          <w:rStyle w:val="default"/>
          <w:rFonts w:cs="FrankRuehl"/>
          <w:rtl/>
        </w:rPr>
        <w:t xml:space="preserve"> </w:t>
      </w:r>
      <w:r>
        <w:rPr>
          <w:rStyle w:val="default"/>
          <w:rFonts w:cs="FrankRuehl" w:hint="cs"/>
          <w:rtl/>
        </w:rPr>
        <w:t xml:space="preserve">איגרות חוב) ייקראו "איגרות מדינת ישראל (הנפק רביעי להשקעת פיתוח) </w:t>
      </w:r>
      <w:r>
        <w:rPr>
          <w:rStyle w:val="default"/>
          <w:rFonts w:cs="FrankRuehl"/>
          <w:sz w:val="20"/>
        </w:rPr>
        <w:t>"State of Israel Bonds (Fourth Development Investment Issue)"</w:t>
      </w:r>
      <w:r>
        <w:rPr>
          <w:rStyle w:val="default"/>
          <w:rFonts w:cs="FrankRuehl"/>
          <w:rtl/>
        </w:rPr>
        <w:t xml:space="preserve"> א</w:t>
      </w:r>
      <w:r>
        <w:rPr>
          <w:rStyle w:val="default"/>
          <w:rFonts w:cs="FrankRuehl" w:hint="cs"/>
          <w:rtl/>
        </w:rPr>
        <w:t>ו בשינוי שם ובסימוני סדרות, כפי שיקבע שר האוצר.</w:t>
      </w:r>
    </w:p>
    <w:p w:rsidR="007B0100" w:rsidRDefault="007B010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75pt;z-index:251654656"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סמ</w:t>
                  </w:r>
                  <w:r>
                    <w:rPr>
                      <w:rFonts w:cs="Miriam" w:hint="cs"/>
                      <w:sz w:val="18"/>
                      <w:szCs w:val="18"/>
                      <w:rtl/>
                    </w:rPr>
                    <w:t>כות לשר האוצר</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יהיו ניתנות להוצאה בסדרות שנתיות או בסדרות אחרות ושר האוצר יהא רשאי לקבוע, מ</w:t>
      </w:r>
      <w:r>
        <w:rPr>
          <w:rStyle w:val="default"/>
          <w:rFonts w:cs="FrankRuehl"/>
          <w:rtl/>
        </w:rPr>
        <w:t>זמ</w:t>
      </w:r>
      <w:r>
        <w:rPr>
          <w:rStyle w:val="default"/>
          <w:rFonts w:cs="FrankRuehl" w:hint="cs"/>
          <w:rtl/>
        </w:rPr>
        <w:t>ן לזמן, את צורתן של איגרות החוב ושל כל סדרה שלהן, את הסכומים שבהם יוצאו, שלא יפחתו מ-2500 דולר של ארצות הברית של אמריקה או משוויים במטבע של ארצות אחרות, הכל בכפוף להגבלה שבסעיף 1, את דרכי הוצאתן, וא</w:t>
      </w:r>
      <w:r>
        <w:rPr>
          <w:rStyle w:val="default"/>
          <w:rFonts w:cs="FrankRuehl"/>
          <w:rtl/>
        </w:rPr>
        <w:t>ת</w:t>
      </w:r>
      <w:r>
        <w:rPr>
          <w:rStyle w:val="default"/>
          <w:rFonts w:cs="FrankRuehl" w:hint="cs"/>
          <w:rtl/>
        </w:rPr>
        <w:t xml:space="preserve"> הכללים והתנאים שיחולו עליהן, לרבות הגבלות על העברתן; </w:t>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חובה שהכללים והתנאים יהיו אחידים לכל הסדרות, אלא אפשר שיהיו שונים מסדרה לסדרה.</w:t>
      </w:r>
    </w:p>
    <w:p w:rsidR="007B0100" w:rsidRDefault="007B0100" w:rsidP="00F97AF2">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30.65pt;z-index:251655680"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ער</w:t>
                  </w:r>
                  <w:r>
                    <w:rPr>
                      <w:rFonts w:cs="Miriam" w:hint="cs"/>
                      <w:sz w:val="18"/>
                      <w:szCs w:val="18"/>
                      <w:rtl/>
                    </w:rPr>
                    <w:t>כן הנקוב של איגרות החוב; סוגן וטבען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יוצאו רק על בסיס של נשיאת ריבית, ומועד פדיונן יהיה בזמן או בזמנים שיקבע שר האוצר, ובלבד ששום איגרת המוצאת על פי חוק זה, לא יהא מועד פדיונה מאוחר מעשרים שנ</w:t>
      </w:r>
      <w:r>
        <w:rPr>
          <w:rStyle w:val="default"/>
          <w:rFonts w:cs="FrankRuehl"/>
          <w:rtl/>
        </w:rPr>
        <w:t>ים</w:t>
      </w:r>
      <w:r>
        <w:rPr>
          <w:rStyle w:val="default"/>
          <w:rFonts w:cs="FrankRuehl" w:hint="cs"/>
          <w:rtl/>
        </w:rPr>
        <w:t xml:space="preserve"> מיום תאריך ההוצאה; שיעור הריבית שישאו האיגרות יהיה כפי שיקבע שר האוצר, ובלבד ששום איגרת המוצאת על פי חוק זה לא תביא פרי השקעה העולה על חמישה אחוזים וחצי האחו</w:t>
      </w:r>
      <w:r>
        <w:rPr>
          <w:rStyle w:val="default"/>
          <w:rFonts w:cs="FrankRuehl"/>
          <w:rtl/>
        </w:rPr>
        <w:t>ז</w:t>
      </w:r>
      <w:r>
        <w:rPr>
          <w:rStyle w:val="default"/>
          <w:rFonts w:cs="FrankRuehl" w:hint="cs"/>
          <w:rtl/>
        </w:rPr>
        <w:t xml:space="preserve"> לשנה </w:t>
      </w:r>
      <w:r w:rsidR="00F97AF2">
        <w:rPr>
          <w:rStyle w:val="default"/>
          <w:rFonts w:cs="FrankRuehl" w:hint="cs"/>
          <w:rtl/>
        </w:rPr>
        <w:t>-</w:t>
      </w:r>
      <w:r>
        <w:rPr>
          <w:rStyle w:val="default"/>
          <w:rFonts w:cs="FrankRuehl"/>
          <w:rtl/>
        </w:rPr>
        <w:t xml:space="preserve"> </w:t>
      </w:r>
      <w:r>
        <w:rPr>
          <w:rStyle w:val="default"/>
          <w:rFonts w:cs="FrankRuehl" w:hint="cs"/>
          <w:rtl/>
        </w:rPr>
        <w:t xml:space="preserve">לאחר שיובאו בחשבון שיעור הריבית או כל נכיון או פרמיה שיחולו עליה </w:t>
      </w:r>
      <w:r w:rsidR="00F97AF2">
        <w:rPr>
          <w:rStyle w:val="default"/>
          <w:rFonts w:cs="FrankRuehl" w:hint="cs"/>
          <w:rtl/>
        </w:rPr>
        <w:t>-</w:t>
      </w:r>
      <w:r>
        <w:rPr>
          <w:rStyle w:val="default"/>
          <w:rFonts w:cs="FrankRuehl"/>
          <w:rtl/>
        </w:rPr>
        <w:t xml:space="preserve"> </w:t>
      </w:r>
      <w:r>
        <w:rPr>
          <w:rStyle w:val="default"/>
          <w:rFonts w:cs="FrankRuehl" w:hint="cs"/>
          <w:rtl/>
        </w:rPr>
        <w:t>והמשתלם כל חצי שנה;</w:t>
      </w:r>
      <w:r>
        <w:rPr>
          <w:rStyle w:val="default"/>
          <w:rFonts w:cs="FrankRuehl"/>
          <w:rtl/>
        </w:rPr>
        <w:t xml:space="preserve"> </w:t>
      </w:r>
      <w:r>
        <w:rPr>
          <w:rStyle w:val="default"/>
          <w:rFonts w:cs="FrankRuehl" w:hint="cs"/>
          <w:rtl/>
        </w:rPr>
        <w:t>ע</w:t>
      </w:r>
      <w:r>
        <w:rPr>
          <w:rStyle w:val="default"/>
          <w:rFonts w:cs="FrankRuehl"/>
          <w:rtl/>
        </w:rPr>
        <w:t>ר</w:t>
      </w:r>
      <w:r>
        <w:rPr>
          <w:rStyle w:val="default"/>
          <w:rFonts w:cs="FrankRuehl" w:hint="cs"/>
          <w:rtl/>
        </w:rPr>
        <w:t xml:space="preserve">כה הנקוב של כל איגרת חוב </w:t>
      </w:r>
      <w:r w:rsidR="00F97AF2">
        <w:rPr>
          <w:rStyle w:val="default"/>
          <w:rFonts w:cs="FrankRuehl" w:hint="cs"/>
          <w:rtl/>
        </w:rPr>
        <w:t>-</w:t>
      </w:r>
      <w:r>
        <w:rPr>
          <w:rStyle w:val="default"/>
          <w:rFonts w:cs="FrankRuehl"/>
          <w:rtl/>
        </w:rPr>
        <w:t xml:space="preserve"> </w:t>
      </w:r>
      <w:r>
        <w:rPr>
          <w:rStyle w:val="default"/>
          <w:rFonts w:cs="FrankRuehl" w:hint="cs"/>
          <w:rtl/>
        </w:rPr>
        <w:t xml:space="preserve">שלא יפחת מ-2500 דולר של ארצות הברית של אמריקה או משוויים במטבע של ארצות אחרות </w:t>
      </w:r>
      <w:r w:rsidR="00F97AF2">
        <w:rPr>
          <w:rStyle w:val="default"/>
          <w:rFonts w:cs="FrankRuehl" w:hint="cs"/>
          <w:rtl/>
        </w:rPr>
        <w:t>-</w:t>
      </w:r>
      <w:r>
        <w:rPr>
          <w:rStyle w:val="default"/>
          <w:rFonts w:cs="FrankRuehl"/>
          <w:rtl/>
        </w:rPr>
        <w:t xml:space="preserve"> </w:t>
      </w:r>
      <w:r>
        <w:rPr>
          <w:rStyle w:val="default"/>
          <w:rFonts w:cs="FrankRuehl" w:hint="cs"/>
          <w:rtl/>
        </w:rPr>
        <w:t>המחיר או המחירים שבהם ניתן למכרן, והכללים והתנאים ש</w:t>
      </w:r>
      <w:r>
        <w:rPr>
          <w:rStyle w:val="default"/>
          <w:rFonts w:cs="FrankRuehl"/>
          <w:rtl/>
        </w:rPr>
        <w:t>ב</w:t>
      </w:r>
      <w:r>
        <w:rPr>
          <w:rStyle w:val="default"/>
          <w:rFonts w:cs="FrankRuehl" w:hint="cs"/>
          <w:rtl/>
        </w:rPr>
        <w:t>הם ניתן לפדותן או להחזירן לפני מועד פדיונן ובבוא המועד, בהתאם להוראות חוק זה, יהיו כפי שיקבע 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אוצר מזמן לזמן.</w:t>
      </w:r>
    </w:p>
    <w:p w:rsidR="007B0100" w:rsidRDefault="007B01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להגביל את היחידים, התאגידים, הארגונים, המוסדות ושאר גופים הרשאים לרכוש את איגרות החוב.</w:t>
      </w:r>
    </w:p>
    <w:p w:rsidR="007B0100" w:rsidRDefault="007B01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w:t>
      </w:r>
      <w:r>
        <w:rPr>
          <w:rStyle w:val="default"/>
          <w:rFonts w:cs="FrankRuehl"/>
          <w:rtl/>
        </w:rPr>
        <w:t>י</w:t>
      </w:r>
      <w:r>
        <w:rPr>
          <w:rStyle w:val="default"/>
          <w:rFonts w:cs="FrankRuehl" w:hint="cs"/>
          <w:rtl/>
        </w:rPr>
        <w:t>בות של מדינת ישראל שזמן פרעונם עדיין לא הגיע, יקובלו כתשלום לאיגרות, והוא רשאי לציין את שטרי הה</w:t>
      </w:r>
      <w:r>
        <w:rPr>
          <w:rStyle w:val="default"/>
          <w:rFonts w:cs="FrankRuehl"/>
          <w:rtl/>
        </w:rPr>
        <w:t>תח</w:t>
      </w:r>
      <w:r>
        <w:rPr>
          <w:rStyle w:val="default"/>
          <w:rFonts w:cs="FrankRuehl" w:hint="cs"/>
          <w:rtl/>
        </w:rPr>
        <w:t>ייבות של מדינת ישראל שיותר לקבלם כאמור, ואת הכללים והתנאים לקבלתם.</w:t>
      </w:r>
    </w:p>
    <w:p w:rsidR="007B0100" w:rsidRDefault="007B0100">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5pt;z-index:251656704"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את סמל המדינה או את דמות אחד מאלה.</w:t>
      </w:r>
    </w:p>
    <w:p w:rsidR="007B0100" w:rsidRDefault="007B0100" w:rsidP="00F97AF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יגרת חוב תהא חתומה ביד ראש הממשלה וביד שר האוצר או בחותם חקוק של חתימותיהם; התלוש המצורף לאיגרת חוב </w:t>
      </w:r>
      <w:r w:rsidR="00F97AF2">
        <w:rPr>
          <w:rStyle w:val="default"/>
          <w:rFonts w:cs="FrankRuehl" w:hint="cs"/>
          <w:rtl/>
        </w:rPr>
        <w:t>-</w:t>
      </w:r>
      <w:r>
        <w:rPr>
          <w:rStyle w:val="default"/>
          <w:rFonts w:cs="FrankRuehl"/>
          <w:rtl/>
        </w:rPr>
        <w:t xml:space="preserve"> </w:t>
      </w:r>
      <w:r>
        <w:rPr>
          <w:rStyle w:val="default"/>
          <w:rFonts w:cs="FrankRuehl" w:hint="cs"/>
          <w:rtl/>
        </w:rPr>
        <w:t>דיי</w:t>
      </w:r>
      <w:r>
        <w:rPr>
          <w:rStyle w:val="default"/>
          <w:rFonts w:cs="FrankRuehl"/>
          <w:rtl/>
        </w:rPr>
        <w:t xml:space="preserve">ו </w:t>
      </w:r>
      <w:r>
        <w:rPr>
          <w:rStyle w:val="default"/>
          <w:rFonts w:cs="FrankRuehl" w:hint="cs"/>
          <w:rtl/>
        </w:rPr>
        <w:t>שיהא חתום בחותם חקוק של חתימת שר האוצר.</w:t>
      </w:r>
    </w:p>
    <w:p w:rsidR="007B0100" w:rsidRDefault="007B01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תיחתם בידי אנשים נוספים, שימנה לכך מבין העובדים בשירות מדינת יש</w:t>
      </w:r>
      <w:r>
        <w:rPr>
          <w:rStyle w:val="default"/>
          <w:rFonts w:cs="FrankRuehl"/>
          <w:rtl/>
        </w:rPr>
        <w:t>ר</w:t>
      </w:r>
      <w:r>
        <w:rPr>
          <w:rStyle w:val="default"/>
          <w:rFonts w:cs="FrankRuehl" w:hint="cs"/>
          <w:rtl/>
        </w:rPr>
        <w:t>אל; הודעה על המינוי תפורסם ברשומות.</w:t>
      </w:r>
    </w:p>
    <w:p w:rsidR="007B0100" w:rsidRDefault="007B0100" w:rsidP="00F97AF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0.45pt;z-index:251657728"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במועד הפדיון</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רן, הריבית ומחיר הפדיון וההחזר, המשתלמים לפי אי</w:t>
      </w:r>
      <w:r>
        <w:rPr>
          <w:rStyle w:val="default"/>
          <w:rFonts w:cs="FrankRuehl"/>
          <w:rtl/>
        </w:rPr>
        <w:t>גר</w:t>
      </w:r>
      <w:r>
        <w:rPr>
          <w:rStyle w:val="default"/>
          <w:rFonts w:cs="FrankRuehl" w:hint="cs"/>
          <w:rtl/>
        </w:rPr>
        <w:t xml:space="preserve">ות החוב, ישולמו </w:t>
      </w:r>
      <w:r w:rsidR="00F97AF2">
        <w:rPr>
          <w:rStyle w:val="default"/>
          <w:rFonts w:cs="FrankRuehl" w:hint="cs"/>
          <w:rtl/>
        </w:rPr>
        <w:t>-</w:t>
      </w:r>
      <w:r>
        <w:rPr>
          <w:rStyle w:val="default"/>
          <w:rFonts w:cs="FrankRuehl"/>
          <w:rtl/>
        </w:rPr>
        <w:t xml:space="preserve"> </w:t>
      </w:r>
      <w:r>
        <w:rPr>
          <w:rStyle w:val="default"/>
          <w:rFonts w:cs="FrankRuehl" w:hint="cs"/>
          <w:rtl/>
        </w:rPr>
        <w:t xml:space="preserve">בכפוף להוראות שבסעיף 8 בדבר ההחזר תמורת מטבע ישראלי, לפי ברירת מחזיק האיגרת </w:t>
      </w:r>
      <w:r w:rsidR="00F97AF2">
        <w:rPr>
          <w:rStyle w:val="default"/>
          <w:rFonts w:cs="FrankRuehl" w:hint="cs"/>
          <w:rtl/>
        </w:rPr>
        <w:t>-</w:t>
      </w:r>
      <w:r>
        <w:rPr>
          <w:rStyle w:val="default"/>
          <w:rFonts w:cs="FrankRuehl"/>
          <w:rtl/>
        </w:rPr>
        <w:t xml:space="preserve"> </w:t>
      </w:r>
      <w:r>
        <w:rPr>
          <w:rStyle w:val="default"/>
          <w:rFonts w:cs="FrankRuehl" w:hint="cs"/>
          <w:rtl/>
        </w:rPr>
        <w:t>במטבע חוקי של ארצות ה</w:t>
      </w:r>
      <w:r>
        <w:rPr>
          <w:rStyle w:val="default"/>
          <w:rFonts w:cs="FrankRuehl"/>
          <w:rtl/>
        </w:rPr>
        <w:t>ב</w:t>
      </w:r>
      <w:r>
        <w:rPr>
          <w:rStyle w:val="default"/>
          <w:rFonts w:cs="FrankRuehl" w:hint="cs"/>
          <w:rtl/>
        </w:rPr>
        <w:t>רית של אמריקה, מתוך הכנסותיה הכלליות של מדינת ישראל ומתוך רכושה, ומדינת ישראל מתחייבת על תשלומים אלה במלוא מהימנותה ואחריותה.</w:t>
      </w:r>
    </w:p>
    <w:p w:rsidR="007B0100" w:rsidRDefault="007B0100">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2.2pt;z-index:251658752" o:allowincell="f" filled="f" stroked="f" strokecolor="lime" strokeweight=".25pt">
            <v:textbox inset="0,0,0,0">
              <w:txbxContent>
                <w:p w:rsidR="007B0100" w:rsidRDefault="007B0100" w:rsidP="00F97AF2">
                  <w:pPr>
                    <w:spacing w:line="160" w:lineRule="exact"/>
                    <w:jc w:val="left"/>
                    <w:rPr>
                      <w:rFonts w:cs="Miriam"/>
                      <w:noProof/>
                      <w:sz w:val="18"/>
                      <w:szCs w:val="18"/>
                      <w:rtl/>
                    </w:rPr>
                  </w:pPr>
                  <w:r>
                    <w:rPr>
                      <w:rFonts w:cs="Miriam"/>
                      <w:sz w:val="18"/>
                      <w:szCs w:val="18"/>
                      <w:rtl/>
                    </w:rPr>
                    <w:t>פד</w:t>
                  </w:r>
                  <w:r>
                    <w:rPr>
                      <w:rFonts w:cs="Miriam" w:hint="cs"/>
                      <w:sz w:val="18"/>
                      <w:szCs w:val="18"/>
                      <w:rtl/>
                    </w:rPr>
                    <w:t>יון והחזר</w:t>
                  </w:r>
                  <w:r w:rsidR="00F97AF2">
                    <w:rPr>
                      <w:rFonts w:cs="Miriam" w:hint="cs"/>
                      <w:sz w:val="18"/>
                      <w:szCs w:val="18"/>
                      <w:rtl/>
                    </w:rPr>
                    <w:t xml:space="preserve"> </w:t>
                  </w:r>
                  <w:r>
                    <w:rPr>
                      <w:rFonts w:cs="Miriam"/>
                      <w:sz w:val="18"/>
                      <w:szCs w:val="18"/>
                      <w:rtl/>
                    </w:rPr>
                    <w:t>לפ</w:t>
                  </w:r>
                  <w:r>
                    <w:rPr>
                      <w:rFonts w:cs="Miriam" w:hint="cs"/>
                      <w:sz w:val="18"/>
                      <w:szCs w:val="18"/>
                      <w:rtl/>
                    </w:rPr>
                    <w:t>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w:t>
      </w:r>
      <w:r>
        <w:rPr>
          <w:rStyle w:val="default"/>
          <w:rFonts w:cs="FrankRuehl"/>
          <w:rtl/>
        </w:rPr>
        <w:t>צר</w:t>
      </w:r>
      <w:r>
        <w:rPr>
          <w:rStyle w:val="default"/>
          <w:rFonts w:cs="FrankRuehl" w:hint="cs"/>
          <w:rtl/>
        </w:rPr>
        <w:t xml:space="preserve"> מוסמך לקבוע תנאים וכללים שלפיהם אפשר לפדות או להחזיר איגרות חוב לפני מועד הפדיון, ובלבד שבאיגרות היוצאות בסדרות, לא תדרוש מדינת ישראל פדיון איגרת חוב מכל סדרה שהיא לפני שדרשה לפדות כל איגרות החוב מסדרות קודמות.</w:t>
      </w:r>
    </w:p>
    <w:p w:rsidR="007B0100" w:rsidRDefault="007B0100">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9.1pt;z-index:251659776"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קר</w:t>
                  </w:r>
                  <w:r>
                    <w:rPr>
                      <w:rFonts w:cs="Miriam" w:hint="cs"/>
                      <w:sz w:val="18"/>
                      <w:szCs w:val="18"/>
                      <w:rtl/>
                    </w:rPr>
                    <w:t>ן ש</w:t>
                  </w:r>
                  <w:r>
                    <w:rPr>
                      <w:rFonts w:cs="Miriam"/>
                      <w:sz w:val="18"/>
                      <w:szCs w:val="18"/>
                      <w:rtl/>
                    </w:rPr>
                    <w:t>מו</w:t>
                  </w:r>
                  <w:r>
                    <w:rPr>
                      <w:rFonts w:cs="Miriam" w:hint="cs"/>
                      <w:sz w:val="18"/>
                      <w:szCs w:val="18"/>
                      <w:rtl/>
                    </w:rPr>
                    <w:t>רה והחזר תמורת מטבע ישראלי</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רשאי להורות בדבר יצירת קרן שמ</w:t>
      </w:r>
      <w:r>
        <w:rPr>
          <w:rStyle w:val="default"/>
          <w:rFonts w:cs="FrankRuehl"/>
          <w:rtl/>
        </w:rPr>
        <w:t>ור</w:t>
      </w:r>
      <w:r>
        <w:rPr>
          <w:rStyle w:val="default"/>
          <w:rFonts w:cs="FrankRuehl" w:hint="cs"/>
          <w:rtl/>
        </w:rPr>
        <w:t>ה ולקבוע כללים ותנאים שבהם תחזיר מדינת ישראל איגרות תמור</w:t>
      </w:r>
      <w:r>
        <w:rPr>
          <w:rStyle w:val="default"/>
          <w:rFonts w:cs="FrankRuehl"/>
          <w:rtl/>
        </w:rPr>
        <w:t>ת</w:t>
      </w:r>
      <w:r>
        <w:rPr>
          <w:rStyle w:val="default"/>
          <w:rFonts w:cs="FrankRuehl" w:hint="cs"/>
          <w:rtl/>
        </w:rPr>
        <w:t xml:space="preserve"> מטבע ישראלי על פי בקשתו של מחזיק האיגרת.</w:t>
      </w:r>
    </w:p>
    <w:p w:rsidR="007B0100" w:rsidRDefault="007B0100">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4.15pt;z-index:251660800"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rsidR="007B0100" w:rsidRDefault="007B0100">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שהבעלות למעשה עליה היא בידי תושב-חוץ, יהיו הקרן, הריבית ומחיר הפדיון וההחזר המשתלמים לפיה, וכל הכנסה א</w:t>
      </w:r>
      <w:r>
        <w:rPr>
          <w:rStyle w:val="default"/>
          <w:rFonts w:cs="FrankRuehl"/>
          <w:rtl/>
        </w:rPr>
        <w:t xml:space="preserve">ו </w:t>
      </w:r>
      <w:r>
        <w:rPr>
          <w:rStyle w:val="default"/>
          <w:rFonts w:cs="FrankRuehl" w:hint="cs"/>
          <w:rtl/>
        </w:rPr>
        <w:t>השתכרות שהגיעו מכל עסקה בה, פטורים מכל מס, בין שלפי הערך ובין אחר, בין שתחולתו כללית ובין שהיא מיוחדת, המוטל או העתיד להיות מוטל בישראל.</w:t>
      </w:r>
    </w:p>
    <w:p w:rsidR="007B0100" w:rsidRDefault="007B0100">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1.45pt;z-index:251661824"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רשאי למנות בארצות הברית של אמריקה ובארצות אחרות, סוכני האוצר לצרכי חוק זה, והוא רשאי להתקשר בחוזים בשם </w:t>
      </w:r>
      <w:r>
        <w:rPr>
          <w:rStyle w:val="default"/>
          <w:rFonts w:cs="FrankRuehl"/>
          <w:rtl/>
        </w:rPr>
        <w:t>מד</w:t>
      </w:r>
      <w:r>
        <w:rPr>
          <w:rStyle w:val="default"/>
          <w:rFonts w:cs="FrankRuehl" w:hint="cs"/>
          <w:rtl/>
        </w:rPr>
        <w:t>ינת ישראל עם כל אדם לשם ביצוע כל פע</w:t>
      </w:r>
      <w:r>
        <w:rPr>
          <w:rStyle w:val="default"/>
          <w:rFonts w:cs="FrankRuehl"/>
          <w:rtl/>
        </w:rPr>
        <w:t>ו</w:t>
      </w:r>
      <w:r>
        <w:rPr>
          <w:rStyle w:val="default"/>
          <w:rFonts w:cs="FrankRuehl" w:hint="cs"/>
          <w:rtl/>
        </w:rPr>
        <w:t>לה הכרוכה בהוצאתן, בהפצתן, ברישומן ובהעברתן של איגרות החוב.</w:t>
      </w:r>
    </w:p>
    <w:p w:rsidR="007B0100" w:rsidRDefault="007B0100">
      <w:pPr>
        <w:pStyle w:val="P00"/>
        <w:spacing w:before="72"/>
        <w:ind w:left="0" w:right="1134"/>
        <w:rPr>
          <w:rStyle w:val="default"/>
          <w:rFonts w:cs="FrankRuehl" w:hint="cs"/>
          <w:rtl/>
        </w:rPr>
      </w:pPr>
      <w:bookmarkStart w:id="10" w:name="Seif10"/>
      <w:bookmarkEnd w:id="10"/>
      <w:r>
        <w:rPr>
          <w:lang w:val="he-IL"/>
        </w:rPr>
        <w:pict>
          <v:rect id="_x0000_s1036" style="position:absolute;left:0;text-align:left;margin-left:464.5pt;margin-top:8.05pt;width:75.05pt;height:15.9pt;z-index:251662848" o:allowincell="f" filled="f" stroked="f" strokecolor="lime" strokeweight=".25pt">
            <v:textbox inset="0,0,0,0">
              <w:txbxContent>
                <w:p w:rsidR="007B0100" w:rsidRDefault="007B010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F97AF2">
        <w:rPr>
          <w:rStyle w:val="default"/>
          <w:rFonts w:cs="FrankRuehl"/>
          <w:rtl/>
        </w:rPr>
        <w:t>–</w:t>
      </w:r>
    </w:p>
    <w:p w:rsidR="007B0100" w:rsidRDefault="007B0100" w:rsidP="00F97AF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חתום, בין בעצמו ובין בידי אדם שימנה לכך בכתב, על כל מסמך שייראה לו דרוש או רצוי לביצוע חוק זה, ובכלל </w:t>
      </w:r>
      <w:r>
        <w:rPr>
          <w:rStyle w:val="default"/>
          <w:rFonts w:cs="FrankRuehl"/>
          <w:rtl/>
        </w:rPr>
        <w:t>זה</w:t>
      </w:r>
      <w:r>
        <w:rPr>
          <w:rStyle w:val="default"/>
          <w:rFonts w:cs="FrankRuehl" w:hint="cs"/>
          <w:rtl/>
        </w:rPr>
        <w:t xml:space="preserve"> </w:t>
      </w:r>
      <w:r w:rsidR="00F97AF2">
        <w:rPr>
          <w:rStyle w:val="default"/>
          <w:rFonts w:cs="FrankRuehl" w:hint="cs"/>
          <w:rtl/>
        </w:rPr>
        <w:t>-</w:t>
      </w:r>
      <w:r>
        <w:rPr>
          <w:rStyle w:val="default"/>
          <w:rFonts w:cs="FrankRuehl"/>
          <w:rtl/>
        </w:rPr>
        <w:t xml:space="preserve"> </w:t>
      </w:r>
      <w:r>
        <w:rPr>
          <w:rStyle w:val="default"/>
          <w:rFonts w:cs="FrankRuehl" w:hint="cs"/>
          <w:rtl/>
        </w:rPr>
        <w:t>כל התקשרות מן הסו</w:t>
      </w:r>
      <w:r>
        <w:rPr>
          <w:rStyle w:val="default"/>
          <w:rFonts w:cs="FrankRuehl"/>
          <w:rtl/>
        </w:rPr>
        <w:t>ג</w:t>
      </w:r>
      <w:r>
        <w:rPr>
          <w:rStyle w:val="default"/>
          <w:rFonts w:cs="FrankRuehl" w:hint="cs"/>
          <w:rtl/>
        </w:rPr>
        <w:t xml:space="preserve"> הנזכר בסעיף 10;</w:t>
      </w:r>
    </w:p>
    <w:p w:rsidR="007B0100" w:rsidRDefault="007B010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במכירת איגרות חוב ובשאר שירותים הכרוכים בהן;</w:t>
      </w:r>
    </w:p>
    <w:p w:rsidR="007B0100" w:rsidRDefault="007B010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רשמים וסוכני העברה ולהקים משרדים לניהול פנקסים של רישום האיגרות והעברתן.</w:t>
      </w:r>
    </w:p>
    <w:p w:rsidR="007B0100" w:rsidRDefault="007B01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הכרוכו</w:t>
      </w:r>
      <w:r>
        <w:rPr>
          <w:rStyle w:val="default"/>
          <w:rFonts w:cs="FrankRuehl"/>
          <w:rtl/>
        </w:rPr>
        <w:t xml:space="preserve">ת </w:t>
      </w:r>
      <w:r>
        <w:rPr>
          <w:rStyle w:val="default"/>
          <w:rFonts w:cs="FrankRuehl" w:hint="cs"/>
          <w:rtl/>
        </w:rPr>
        <w:t>בביצוע חוק זה ישולמו מתוך הכנסותיה הכלליות של מדינת ישראל ומתוך רכושה.</w:t>
      </w:r>
    </w:p>
    <w:p w:rsidR="007B0100" w:rsidRDefault="007B01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ענין הנוגע לביצוע חוק זה.</w:t>
      </w:r>
    </w:p>
    <w:p w:rsidR="007B0100" w:rsidRDefault="007B0100">
      <w:pPr>
        <w:pStyle w:val="P00"/>
        <w:spacing w:before="72"/>
        <w:ind w:left="0" w:right="1134"/>
        <w:rPr>
          <w:rStyle w:val="default"/>
          <w:rFonts w:cs="FrankRuehl" w:hint="cs"/>
          <w:rtl/>
        </w:rPr>
      </w:pPr>
    </w:p>
    <w:p w:rsidR="00F97AF2" w:rsidRDefault="00F97AF2">
      <w:pPr>
        <w:pStyle w:val="P00"/>
        <w:spacing w:before="72"/>
        <w:ind w:left="0" w:right="1134"/>
        <w:rPr>
          <w:rStyle w:val="default"/>
          <w:rFonts w:cs="FrankRuehl" w:hint="cs"/>
          <w:rtl/>
        </w:rPr>
      </w:pPr>
    </w:p>
    <w:p w:rsidR="007B0100" w:rsidRPr="00F97AF2" w:rsidRDefault="00F97AF2" w:rsidP="00F97AF2">
      <w:pPr>
        <w:pStyle w:val="sig-1"/>
        <w:widowControl/>
        <w:spacing w:before="72"/>
        <w:ind w:left="0" w:right="1134"/>
        <w:rPr>
          <w:rFonts w:cs="FrankRuehl"/>
          <w:sz w:val="26"/>
          <w:szCs w:val="26"/>
          <w:rtl/>
        </w:rPr>
      </w:pPr>
      <w:r w:rsidRPr="00F97AF2">
        <w:rPr>
          <w:rFonts w:cs="FrankRuehl" w:hint="cs"/>
          <w:sz w:val="26"/>
          <w:szCs w:val="26"/>
          <w:rtl/>
        </w:rPr>
        <w:tab/>
      </w:r>
      <w:r w:rsidRPr="00F97AF2">
        <w:rPr>
          <w:rFonts w:cs="FrankRuehl" w:hint="cs"/>
          <w:sz w:val="26"/>
          <w:szCs w:val="26"/>
          <w:rtl/>
        </w:rPr>
        <w:tab/>
      </w:r>
      <w:r w:rsidR="007B0100" w:rsidRPr="00F97AF2">
        <w:rPr>
          <w:rFonts w:cs="FrankRuehl"/>
          <w:sz w:val="26"/>
          <w:szCs w:val="26"/>
          <w:rtl/>
        </w:rPr>
        <w:t>גו</w:t>
      </w:r>
      <w:r w:rsidR="007B0100" w:rsidRPr="00F97AF2">
        <w:rPr>
          <w:rFonts w:cs="FrankRuehl" w:hint="cs"/>
          <w:sz w:val="26"/>
          <w:szCs w:val="26"/>
          <w:rtl/>
        </w:rPr>
        <w:t>לדה מאיר</w:t>
      </w:r>
      <w:r w:rsidR="007B0100" w:rsidRPr="00F97AF2">
        <w:rPr>
          <w:rFonts w:cs="FrankRuehl"/>
          <w:sz w:val="26"/>
          <w:szCs w:val="26"/>
          <w:rtl/>
        </w:rPr>
        <w:tab/>
        <w:t>י</w:t>
      </w:r>
      <w:r w:rsidR="007B0100" w:rsidRPr="00F97AF2">
        <w:rPr>
          <w:rFonts w:cs="FrankRuehl" w:hint="cs"/>
          <w:sz w:val="26"/>
          <w:szCs w:val="26"/>
          <w:rtl/>
        </w:rPr>
        <w:t>עקב ש' שפירא</w:t>
      </w:r>
    </w:p>
    <w:p w:rsidR="007B0100" w:rsidRDefault="007B0100" w:rsidP="00F97AF2">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7B0100" w:rsidRDefault="007B010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מ</w:t>
      </w:r>
      <w:r>
        <w:rPr>
          <w:rFonts w:cs="FrankRuehl" w:hint="cs"/>
          <w:sz w:val="22"/>
          <w:rtl/>
        </w:rPr>
        <w:t>מלא מקום שר האוצר</w:t>
      </w:r>
    </w:p>
    <w:p w:rsidR="00F97AF2" w:rsidRPr="00F97AF2" w:rsidRDefault="00F97AF2" w:rsidP="00F97AF2">
      <w:pPr>
        <w:pStyle w:val="sig-1"/>
        <w:widowControl/>
        <w:spacing w:before="72"/>
        <w:ind w:left="0" w:right="1134"/>
        <w:rPr>
          <w:rFonts w:cs="FrankRuehl"/>
          <w:sz w:val="26"/>
          <w:szCs w:val="26"/>
          <w:rtl/>
        </w:rPr>
      </w:pPr>
      <w:r w:rsidRPr="00F97AF2">
        <w:rPr>
          <w:rFonts w:cs="FrankRuehl" w:hint="cs"/>
          <w:sz w:val="26"/>
          <w:szCs w:val="26"/>
          <w:rtl/>
        </w:rPr>
        <w:tab/>
      </w:r>
      <w:r w:rsidRPr="00F97AF2">
        <w:rPr>
          <w:rFonts w:cs="FrankRuehl"/>
          <w:sz w:val="26"/>
          <w:szCs w:val="26"/>
          <w:rtl/>
        </w:rPr>
        <w:t>ש</w:t>
      </w:r>
      <w:r w:rsidRPr="00F97AF2">
        <w:rPr>
          <w:rFonts w:cs="FrankRuehl" w:hint="cs"/>
          <w:sz w:val="26"/>
          <w:szCs w:val="26"/>
          <w:rtl/>
        </w:rPr>
        <w:t>ניאור זלמן שזר</w:t>
      </w:r>
    </w:p>
    <w:p w:rsidR="00F97AF2" w:rsidRDefault="00F97AF2" w:rsidP="00F97AF2">
      <w:pPr>
        <w:pStyle w:val="sig-1"/>
        <w:widowControl/>
        <w:ind w:left="0" w:right="1134"/>
        <w:rPr>
          <w:rFonts w:cs="FrankRuehl"/>
          <w:sz w:val="22"/>
          <w:rtl/>
        </w:rPr>
      </w:pPr>
      <w:r>
        <w:rPr>
          <w:rFonts w:cs="FrankRuehl"/>
          <w:sz w:val="22"/>
          <w:rtl/>
        </w:rPr>
        <w:tab/>
        <w:t>נ</w:t>
      </w:r>
      <w:r>
        <w:rPr>
          <w:rFonts w:cs="FrankRuehl" w:hint="cs"/>
          <w:sz w:val="22"/>
          <w:rtl/>
        </w:rPr>
        <w:t>שיא המדינה</w:t>
      </w:r>
    </w:p>
    <w:p w:rsidR="00F97AF2" w:rsidRPr="00F97AF2" w:rsidRDefault="00F97AF2" w:rsidP="00F97AF2">
      <w:pPr>
        <w:pStyle w:val="P00"/>
        <w:spacing w:before="72"/>
        <w:ind w:left="0" w:right="1134"/>
        <w:rPr>
          <w:rStyle w:val="default"/>
          <w:rFonts w:cs="FrankRuehl" w:hint="cs"/>
          <w:rtl/>
        </w:rPr>
      </w:pPr>
    </w:p>
    <w:p w:rsidR="00F97AF2" w:rsidRPr="00F97AF2" w:rsidRDefault="00F97AF2" w:rsidP="00F97AF2">
      <w:pPr>
        <w:pStyle w:val="P00"/>
        <w:spacing w:before="72"/>
        <w:ind w:left="0" w:right="1134"/>
        <w:rPr>
          <w:rStyle w:val="default"/>
          <w:rFonts w:cs="FrankRuehl"/>
          <w:rtl/>
        </w:rPr>
      </w:pPr>
    </w:p>
    <w:p w:rsidR="007B0100" w:rsidRPr="00F97AF2" w:rsidRDefault="007B0100" w:rsidP="00F97AF2">
      <w:pPr>
        <w:pStyle w:val="P00"/>
        <w:spacing w:before="72"/>
        <w:ind w:left="0" w:right="1134"/>
        <w:rPr>
          <w:rStyle w:val="default"/>
          <w:rFonts w:cs="FrankRuehl"/>
          <w:rtl/>
        </w:rPr>
      </w:pPr>
      <w:bookmarkStart w:id="11" w:name="LawPartEnd"/>
    </w:p>
    <w:bookmarkEnd w:id="11"/>
    <w:p w:rsidR="007B0100" w:rsidRPr="00F97AF2" w:rsidRDefault="007B0100" w:rsidP="00F97AF2">
      <w:pPr>
        <w:pStyle w:val="P00"/>
        <w:spacing w:before="72"/>
        <w:ind w:left="0" w:right="1134"/>
        <w:rPr>
          <w:rStyle w:val="default"/>
          <w:rFonts w:cs="FrankRuehl"/>
          <w:rtl/>
        </w:rPr>
      </w:pPr>
    </w:p>
    <w:sectPr w:rsidR="007B0100" w:rsidRPr="00F97AF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193" w:rsidRDefault="004D2193">
      <w:pPr>
        <w:spacing w:line="240" w:lineRule="auto"/>
      </w:pPr>
      <w:r>
        <w:separator/>
      </w:r>
    </w:p>
  </w:endnote>
  <w:endnote w:type="continuationSeparator" w:id="0">
    <w:p w:rsidR="004D2193" w:rsidRDefault="004D2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100" w:rsidRDefault="007B01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0100" w:rsidRDefault="007B01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0100" w:rsidRDefault="007B01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AF2">
      <w:rPr>
        <w:rFonts w:cs="TopType Jerushalmi"/>
        <w:noProof/>
        <w:color w:val="000000"/>
        <w:sz w:val="14"/>
        <w:szCs w:val="14"/>
      </w:rPr>
      <w:t>C:\Yael\hakika\Revadim\006_018.doc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100" w:rsidRDefault="007B01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7F40">
      <w:rPr>
        <w:rFonts w:hAnsi="FrankRuehl" w:cs="FrankRuehl"/>
        <w:noProof/>
        <w:sz w:val="24"/>
        <w:szCs w:val="24"/>
        <w:rtl/>
      </w:rPr>
      <w:t>1</w:t>
    </w:r>
    <w:r>
      <w:rPr>
        <w:rFonts w:hAnsi="FrankRuehl" w:cs="FrankRuehl"/>
        <w:sz w:val="24"/>
        <w:szCs w:val="24"/>
        <w:rtl/>
      </w:rPr>
      <w:fldChar w:fldCharType="end"/>
    </w:r>
  </w:p>
  <w:p w:rsidR="007B0100" w:rsidRDefault="007B01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0100" w:rsidRDefault="007B01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AF2">
      <w:rPr>
        <w:rFonts w:cs="TopType Jerushalmi"/>
        <w:noProof/>
        <w:color w:val="000000"/>
        <w:sz w:val="14"/>
        <w:szCs w:val="14"/>
      </w:rPr>
      <w:t>C:\Yael\hakika\Revadim\006_018.doc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193" w:rsidRDefault="004D2193" w:rsidP="00F97AF2">
      <w:pPr>
        <w:spacing w:before="60" w:line="240" w:lineRule="auto"/>
        <w:ind w:right="1134"/>
      </w:pPr>
      <w:r>
        <w:separator/>
      </w:r>
    </w:p>
  </w:footnote>
  <w:footnote w:type="continuationSeparator" w:id="0">
    <w:p w:rsidR="004D2193" w:rsidRDefault="004D2193">
      <w:pPr>
        <w:spacing w:line="240" w:lineRule="auto"/>
      </w:pPr>
      <w:r>
        <w:continuationSeparator/>
      </w:r>
    </w:p>
  </w:footnote>
  <w:footnote w:id="1">
    <w:p w:rsidR="00F97AF2" w:rsidRPr="00F97AF2" w:rsidRDefault="00F97AF2" w:rsidP="00F97A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97AF2">
        <w:rPr>
          <w:rFonts w:cs="FrankRuehl"/>
          <w:rtl/>
        </w:rPr>
        <w:t xml:space="preserve">* </w:t>
      </w:r>
      <w:r>
        <w:rPr>
          <w:rFonts w:cs="FrankRuehl"/>
          <w:rtl/>
        </w:rPr>
        <w:t>פו</w:t>
      </w:r>
      <w:r>
        <w:rPr>
          <w:rFonts w:cs="FrankRuehl" w:hint="cs"/>
          <w:rtl/>
        </w:rPr>
        <w:t xml:space="preserve">רסם </w:t>
      </w:r>
      <w:hyperlink r:id="rId1" w:history="1">
        <w:r w:rsidRPr="00372031">
          <w:rPr>
            <w:rStyle w:val="Hyperlink"/>
            <w:rFonts w:cs="FrankRuehl" w:hint="cs"/>
            <w:rtl/>
          </w:rPr>
          <w:t>ס"ח תש</w:t>
        </w:r>
        <w:r w:rsidRPr="00372031">
          <w:rPr>
            <w:rStyle w:val="Hyperlink"/>
            <w:rFonts w:cs="FrankRuehl" w:hint="cs"/>
            <w:rtl/>
          </w:rPr>
          <w:t>ל</w:t>
        </w:r>
        <w:r w:rsidRPr="00372031">
          <w:rPr>
            <w:rStyle w:val="Hyperlink"/>
            <w:rFonts w:cs="FrankRuehl" w:hint="cs"/>
            <w:rtl/>
          </w:rPr>
          <w:t>"</w:t>
        </w:r>
        <w:r w:rsidRPr="00372031">
          <w:rPr>
            <w:rStyle w:val="Hyperlink"/>
            <w:rFonts w:cs="FrankRuehl" w:hint="cs"/>
            <w:rtl/>
          </w:rPr>
          <w:t>ג</w:t>
        </w:r>
        <w:r w:rsidRPr="00372031">
          <w:rPr>
            <w:rStyle w:val="Hyperlink"/>
            <w:rFonts w:cs="FrankRuehl" w:hint="cs"/>
            <w:rtl/>
          </w:rPr>
          <w:t xml:space="preserve"> מס' 684</w:t>
        </w:r>
      </w:hyperlink>
      <w:r>
        <w:rPr>
          <w:rFonts w:cs="FrankRuehl" w:hint="cs"/>
          <w:rtl/>
        </w:rPr>
        <w:t xml:space="preserve"> מיום 18.2.1973 עמ' 70 (</w:t>
      </w:r>
      <w:hyperlink r:id="rId2" w:history="1">
        <w:r w:rsidRPr="00372031">
          <w:rPr>
            <w:rStyle w:val="Hyperlink"/>
            <w:rFonts w:cs="FrankRuehl" w:hint="cs"/>
            <w:rtl/>
          </w:rPr>
          <w:t>ה"ח תשל"ג 1042</w:t>
        </w:r>
      </w:hyperlink>
      <w:r>
        <w:rPr>
          <w:rFonts w:cs="FrankRuehl" w:hint="cs"/>
          <w:rtl/>
        </w:rPr>
        <w:t xml:space="preserve"> עמ' 156).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100" w:rsidRDefault="007B01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רביעי להשקעת פיתוח), תשל"ג–1973</w:t>
    </w:r>
  </w:p>
  <w:p w:rsidR="007B0100" w:rsidRDefault="007B01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0100" w:rsidRDefault="007B01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100" w:rsidRDefault="007B0100" w:rsidP="00F97A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רביעי להשקעת פיתוח), תשל"ג</w:t>
    </w:r>
    <w:r w:rsidR="00F97AF2">
      <w:rPr>
        <w:rFonts w:hAnsi="FrankRuehl" w:cs="FrankRuehl" w:hint="cs"/>
        <w:color w:val="000000"/>
        <w:sz w:val="28"/>
        <w:szCs w:val="28"/>
        <w:rtl/>
      </w:rPr>
      <w:t>-</w:t>
    </w:r>
    <w:r>
      <w:rPr>
        <w:rFonts w:hAnsi="FrankRuehl" w:cs="FrankRuehl"/>
        <w:color w:val="000000"/>
        <w:sz w:val="28"/>
        <w:szCs w:val="28"/>
        <w:rtl/>
      </w:rPr>
      <w:t>1973</w:t>
    </w:r>
  </w:p>
  <w:p w:rsidR="007B0100" w:rsidRDefault="007B01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0100" w:rsidRDefault="007B010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2031"/>
    <w:rsid w:val="000418B9"/>
    <w:rsid w:val="00062333"/>
    <w:rsid w:val="00372031"/>
    <w:rsid w:val="004D2193"/>
    <w:rsid w:val="00650FB4"/>
    <w:rsid w:val="007B0100"/>
    <w:rsid w:val="00912B71"/>
    <w:rsid w:val="00A642D7"/>
    <w:rsid w:val="00B27F40"/>
    <w:rsid w:val="00F97A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759923A-06B5-4D36-8DEF-C23C088F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character" w:styleId="FollowedHyperlink">
    <w:name w:val="FollowedHyperlink"/>
    <w:basedOn w:val="a0"/>
    <w:uiPriority w:val="99"/>
    <w:semiHidden/>
    <w:unhideWhenUsed/>
    <w:rsid w:val="00372031"/>
    <w:rPr>
      <w:color w:val="800080"/>
      <w:u w:val="single"/>
    </w:rPr>
  </w:style>
  <w:style w:type="paragraph" w:styleId="a5">
    <w:name w:val="footnote text"/>
    <w:basedOn w:val="a"/>
    <w:semiHidden/>
    <w:rsid w:val="00F97AF2"/>
    <w:rPr>
      <w:sz w:val="20"/>
      <w:szCs w:val="20"/>
    </w:rPr>
  </w:style>
  <w:style w:type="character" w:styleId="a6">
    <w:name w:val="footnote reference"/>
    <w:basedOn w:val="a0"/>
    <w:semiHidden/>
    <w:rsid w:val="00F97A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042.pdf" TargetMode="External"/><Relationship Id="rId1" Type="http://schemas.openxmlformats.org/officeDocument/2006/relationships/hyperlink" Target="http://www.nevo.co.il/Law_word/law14/LAW-06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5444</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721016</vt:i4>
      </vt:variant>
      <vt:variant>
        <vt:i4>3</vt:i4>
      </vt:variant>
      <vt:variant>
        <vt:i4>0</vt:i4>
      </vt:variant>
      <vt:variant>
        <vt:i4>5</vt:i4>
      </vt:variant>
      <vt:variant>
        <vt:lpwstr>http://www.nevo.co.il/Law_word/law17/PROP-1042.pdf</vt:lpwstr>
      </vt:variant>
      <vt:variant>
        <vt:lpwstr/>
      </vt:variant>
      <vt:variant>
        <vt:i4>7798795</vt:i4>
      </vt:variant>
      <vt:variant>
        <vt:i4>0</vt:i4>
      </vt:variant>
      <vt:variant>
        <vt:i4>0</vt:i4>
      </vt:variant>
      <vt:variant>
        <vt:i4>5</vt:i4>
      </vt:variant>
      <vt:variant>
        <vt:lpwstr>http://www.nevo.co.il/Law_word/law14/LAW-0684.pdf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חוק איגרות מדינת ישראל (הנפק רביעי להשקעת פיתוח), תשל"ג-1973</vt:lpwstr>
  </property>
  <property fmtid="{D5CDD505-2E9C-101B-9397-08002B2CF9AE}" pid="5" name="LAWNUMBER">
    <vt:lpwstr>0018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