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66B" w:rsidRDefault="001E466B">
      <w:pPr>
        <w:pStyle w:val="big-header"/>
        <w:ind w:left="0" w:right="1134"/>
        <w:rPr>
          <w:rFonts w:cs="FrankRuehl"/>
          <w:sz w:val="32"/>
        </w:rPr>
      </w:pPr>
      <w:r>
        <w:rPr>
          <w:rFonts w:cs="FrankRuehl" w:hint="cs"/>
          <w:sz w:val="32"/>
          <w:rtl/>
        </w:rPr>
        <w:t>חוק איסור פעילות מסחרית במוסדות חינוך, תשס"ח-2007</w:t>
      </w:r>
    </w:p>
    <w:p w:rsidR="006E7E96" w:rsidRPr="006E7E96" w:rsidRDefault="006E7E96" w:rsidP="006E7E96">
      <w:pPr>
        <w:spacing w:line="320" w:lineRule="auto"/>
        <w:rPr>
          <w:rFonts w:cs="FrankRuehl"/>
          <w:szCs w:val="26"/>
          <w:rtl/>
        </w:rPr>
      </w:pPr>
    </w:p>
    <w:p w:rsidR="006E7E96" w:rsidRDefault="006E7E96" w:rsidP="006E7E96">
      <w:pPr>
        <w:spacing w:line="320" w:lineRule="auto"/>
        <w:rPr>
          <w:rtl/>
        </w:rPr>
      </w:pPr>
    </w:p>
    <w:p w:rsidR="006E7E96" w:rsidRPr="006E7E96" w:rsidRDefault="006E7E96" w:rsidP="006E7E96">
      <w:pPr>
        <w:spacing w:line="320" w:lineRule="auto"/>
        <w:rPr>
          <w:rFonts w:cs="Miriam"/>
          <w:szCs w:val="22"/>
          <w:rtl/>
        </w:rPr>
      </w:pPr>
      <w:r w:rsidRPr="006E7E96">
        <w:rPr>
          <w:rFonts w:cs="Miriam"/>
          <w:szCs w:val="22"/>
          <w:rtl/>
        </w:rPr>
        <w:t>רשויות ומשפט מנהלי</w:t>
      </w:r>
      <w:r w:rsidRPr="006E7E96">
        <w:rPr>
          <w:rFonts w:cs="FrankRuehl"/>
          <w:szCs w:val="26"/>
          <w:rtl/>
        </w:rPr>
        <w:t xml:space="preserve"> – חינוך – מוסדות חינוך</w:t>
      </w:r>
    </w:p>
    <w:p w:rsidR="001E466B" w:rsidRDefault="001E466B">
      <w:pPr>
        <w:pStyle w:val="big-header"/>
        <w:ind w:left="0" w:right="1134"/>
        <w:rPr>
          <w:rFonts w:cs="FrankRuehl" w:hint="cs"/>
          <w:sz w:val="32"/>
          <w:rtl/>
        </w:rPr>
      </w:pPr>
      <w:r>
        <w:rPr>
          <w:rFonts w:cs="FrankRuehl" w:hint="cs"/>
          <w:sz w:val="32"/>
          <w:rtl/>
        </w:rPr>
        <w:t>תוכן ענינים</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E466B">
        <w:tblPrEx>
          <w:tblCellMar>
            <w:top w:w="0" w:type="dxa"/>
            <w:bottom w:w="0" w:type="dxa"/>
          </w:tblCellMar>
        </w:tblPrEx>
        <w:trPr>
          <w:jc w:val="right"/>
        </w:trPr>
        <w:tc>
          <w:tcPr>
            <w:tcW w:w="850" w:type="dxa"/>
          </w:tcPr>
          <w:p w:rsidR="001E466B" w:rsidRDefault="001E466B">
            <w:pPr>
              <w:rPr>
                <w:rFonts w:cs="Frankruhel" w:hint="cs"/>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E466B" w:rsidRDefault="001E466B">
            <w:pPr>
              <w:rPr>
                <w:rFonts w:cs="Frankruhel" w:hint="cs"/>
              </w:rPr>
            </w:pPr>
            <w:hyperlink w:anchor="Seif1" w:tooltip="הגדרות" w:history="1">
              <w:r>
                <w:rPr>
                  <w:rStyle w:val="Hyperlink"/>
                </w:rPr>
                <w:t>Go</w:t>
              </w:r>
            </w:hyperlink>
          </w:p>
        </w:tc>
        <w:tc>
          <w:tcPr>
            <w:tcW w:w="5669" w:type="dxa"/>
          </w:tcPr>
          <w:p w:rsidR="001E466B" w:rsidRDefault="001E466B">
            <w:pPr>
              <w:rPr>
                <w:rFonts w:cs="Frankruhel" w:hint="cs"/>
              </w:rPr>
            </w:pPr>
            <w:r>
              <w:rPr>
                <w:rFonts w:cs="Frankruhel"/>
                <w:rtl/>
              </w:rPr>
              <w:t>הגדרות</w:t>
            </w:r>
          </w:p>
        </w:tc>
        <w:tc>
          <w:tcPr>
            <w:tcW w:w="1247" w:type="dxa"/>
          </w:tcPr>
          <w:p w:rsidR="001E466B" w:rsidRDefault="001E466B">
            <w:pPr>
              <w:rPr>
                <w:rFonts w:cs="Frankruhel" w:hint="cs"/>
              </w:rPr>
            </w:pPr>
            <w:r>
              <w:rPr>
                <w:rFonts w:cs="Frankruhel"/>
                <w:rtl/>
              </w:rPr>
              <w:t xml:space="preserve">סעיף 1 </w:t>
            </w:r>
          </w:p>
        </w:tc>
      </w:tr>
      <w:tr w:rsidR="001E466B">
        <w:tblPrEx>
          <w:tblCellMar>
            <w:top w:w="0" w:type="dxa"/>
            <w:bottom w:w="0" w:type="dxa"/>
          </w:tblCellMar>
        </w:tblPrEx>
        <w:trPr>
          <w:jc w:val="right"/>
        </w:trPr>
        <w:tc>
          <w:tcPr>
            <w:tcW w:w="850" w:type="dxa"/>
          </w:tcPr>
          <w:p w:rsidR="001E466B" w:rsidRDefault="001E466B">
            <w:pPr>
              <w:rPr>
                <w:rFonts w:cs="Frankruhel" w:hint="cs"/>
              </w:rPr>
            </w:pPr>
            <w:r>
              <w:rPr>
                <w:rFonts w:cs="Frankruhel"/>
                <w:rtl/>
              </w:rPr>
              <w:fldChar w:fldCharType="begin"/>
            </w:r>
            <w:r>
              <w:rPr>
                <w:rFonts w:cs="Frankruhel"/>
                <w:rtl/>
              </w:rPr>
              <w:instrText xml:space="preserve"> </w:instrText>
            </w:r>
            <w:r>
              <w:rPr>
                <w:rFonts w:cs="Frankruhel"/>
              </w:rPr>
              <w:instrText>PAGEREF Seif2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E466B" w:rsidRDefault="001E466B">
            <w:pPr>
              <w:rPr>
                <w:rFonts w:cs="Frankruhel" w:hint="cs"/>
              </w:rPr>
            </w:pPr>
            <w:hyperlink w:anchor="Seif2" w:tooltip="פעולות אסורות" w:history="1">
              <w:r>
                <w:rPr>
                  <w:rStyle w:val="Hyperlink"/>
                </w:rPr>
                <w:t>Go</w:t>
              </w:r>
            </w:hyperlink>
          </w:p>
        </w:tc>
        <w:tc>
          <w:tcPr>
            <w:tcW w:w="5669" w:type="dxa"/>
          </w:tcPr>
          <w:p w:rsidR="001E466B" w:rsidRDefault="001E466B">
            <w:pPr>
              <w:rPr>
                <w:rFonts w:cs="Frankruhel" w:hint="cs"/>
              </w:rPr>
            </w:pPr>
            <w:r>
              <w:rPr>
                <w:rFonts w:cs="Frankruhel"/>
                <w:rtl/>
              </w:rPr>
              <w:t>פעולות אסורות</w:t>
            </w:r>
          </w:p>
        </w:tc>
        <w:tc>
          <w:tcPr>
            <w:tcW w:w="1247" w:type="dxa"/>
          </w:tcPr>
          <w:p w:rsidR="001E466B" w:rsidRDefault="001E466B">
            <w:pPr>
              <w:rPr>
                <w:rFonts w:cs="Frankruhel" w:hint="cs"/>
              </w:rPr>
            </w:pPr>
            <w:r>
              <w:rPr>
                <w:rFonts w:cs="Frankruhel"/>
                <w:rtl/>
              </w:rPr>
              <w:t xml:space="preserve">סעיף 2 </w:t>
            </w:r>
          </w:p>
        </w:tc>
      </w:tr>
      <w:tr w:rsidR="001E466B">
        <w:tblPrEx>
          <w:tblCellMar>
            <w:top w:w="0" w:type="dxa"/>
            <w:bottom w:w="0" w:type="dxa"/>
          </w:tblCellMar>
        </w:tblPrEx>
        <w:trPr>
          <w:jc w:val="right"/>
        </w:trPr>
        <w:tc>
          <w:tcPr>
            <w:tcW w:w="850" w:type="dxa"/>
          </w:tcPr>
          <w:p w:rsidR="001E466B" w:rsidRDefault="001E466B">
            <w:pPr>
              <w:rPr>
                <w:rFonts w:cs="Frankruhel" w:hint="cs"/>
              </w:rPr>
            </w:pPr>
            <w:r>
              <w:rPr>
                <w:rFonts w:cs="Frankruhel"/>
                <w:rtl/>
              </w:rPr>
              <w:fldChar w:fldCharType="begin"/>
            </w:r>
            <w:r>
              <w:rPr>
                <w:rFonts w:cs="Frankruhel"/>
                <w:rtl/>
              </w:rPr>
              <w:instrText xml:space="preserve"> </w:instrText>
            </w:r>
            <w:r>
              <w:rPr>
                <w:rFonts w:cs="Frankruhel"/>
              </w:rPr>
              <w:instrText>PAGEREF Seif3</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E466B" w:rsidRDefault="001E466B">
            <w:pPr>
              <w:rPr>
                <w:rFonts w:cs="Frankruhel" w:hint="cs"/>
              </w:rPr>
            </w:pPr>
            <w:hyperlink w:anchor="Seif3" w:tooltip="איסור מסירה של פרטים" w:history="1">
              <w:r>
                <w:rPr>
                  <w:rStyle w:val="Hyperlink"/>
                </w:rPr>
                <w:t>Go</w:t>
              </w:r>
            </w:hyperlink>
          </w:p>
        </w:tc>
        <w:tc>
          <w:tcPr>
            <w:tcW w:w="5669" w:type="dxa"/>
          </w:tcPr>
          <w:p w:rsidR="001E466B" w:rsidRDefault="001E466B">
            <w:pPr>
              <w:rPr>
                <w:rFonts w:cs="Frankruhel" w:hint="cs"/>
              </w:rPr>
            </w:pPr>
            <w:r>
              <w:rPr>
                <w:rFonts w:cs="Frankruhel"/>
                <w:rtl/>
              </w:rPr>
              <w:t>איסור מסירה של פרטים</w:t>
            </w:r>
          </w:p>
        </w:tc>
        <w:tc>
          <w:tcPr>
            <w:tcW w:w="1247" w:type="dxa"/>
          </w:tcPr>
          <w:p w:rsidR="001E466B" w:rsidRDefault="001E466B">
            <w:pPr>
              <w:rPr>
                <w:rFonts w:cs="Frankruhel" w:hint="cs"/>
              </w:rPr>
            </w:pPr>
            <w:r>
              <w:rPr>
                <w:rFonts w:cs="Frankruhel"/>
                <w:rtl/>
              </w:rPr>
              <w:t xml:space="preserve">סעיף 3 </w:t>
            </w:r>
          </w:p>
        </w:tc>
      </w:tr>
      <w:tr w:rsidR="001E466B">
        <w:tblPrEx>
          <w:tblCellMar>
            <w:top w:w="0" w:type="dxa"/>
            <w:bottom w:w="0" w:type="dxa"/>
          </w:tblCellMar>
        </w:tblPrEx>
        <w:trPr>
          <w:jc w:val="right"/>
        </w:trPr>
        <w:tc>
          <w:tcPr>
            <w:tcW w:w="850" w:type="dxa"/>
          </w:tcPr>
          <w:p w:rsidR="001E466B" w:rsidRDefault="001E466B">
            <w:pPr>
              <w:rPr>
                <w:rFonts w:cs="Frankruhel" w:hint="cs"/>
              </w:rPr>
            </w:pPr>
            <w:r>
              <w:rPr>
                <w:rFonts w:cs="Frankruhel"/>
                <w:rtl/>
              </w:rPr>
              <w:fldChar w:fldCharType="begin"/>
            </w:r>
            <w:r>
              <w:rPr>
                <w:rFonts w:cs="Frankruhel"/>
                <w:rtl/>
              </w:rPr>
              <w:instrText xml:space="preserve"> </w:instrText>
            </w:r>
            <w:r>
              <w:rPr>
                <w:rFonts w:cs="Frankruhel"/>
              </w:rPr>
              <w:instrText>PAGEREF Seif4</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E466B" w:rsidRDefault="001E466B">
            <w:pPr>
              <w:rPr>
                <w:rFonts w:cs="Frankruhel" w:hint="cs"/>
              </w:rPr>
            </w:pPr>
            <w:hyperlink w:anchor="Seif4" w:tooltip="אישור מיוחד" w:history="1">
              <w:r>
                <w:rPr>
                  <w:rStyle w:val="Hyperlink"/>
                </w:rPr>
                <w:t>Go</w:t>
              </w:r>
            </w:hyperlink>
          </w:p>
        </w:tc>
        <w:tc>
          <w:tcPr>
            <w:tcW w:w="5669" w:type="dxa"/>
          </w:tcPr>
          <w:p w:rsidR="001E466B" w:rsidRDefault="001E466B">
            <w:pPr>
              <w:rPr>
                <w:rFonts w:cs="Frankruhel" w:hint="cs"/>
              </w:rPr>
            </w:pPr>
            <w:r>
              <w:rPr>
                <w:rFonts w:cs="Frankruhel"/>
                <w:rtl/>
              </w:rPr>
              <w:t>אישור מיוחד</w:t>
            </w:r>
          </w:p>
        </w:tc>
        <w:tc>
          <w:tcPr>
            <w:tcW w:w="1247" w:type="dxa"/>
          </w:tcPr>
          <w:p w:rsidR="001E466B" w:rsidRDefault="001E466B">
            <w:pPr>
              <w:rPr>
                <w:rFonts w:cs="Frankruhel" w:hint="cs"/>
              </w:rPr>
            </w:pPr>
            <w:r>
              <w:rPr>
                <w:rFonts w:cs="Frankruhel"/>
                <w:rtl/>
              </w:rPr>
              <w:t xml:space="preserve">סעיף 4 </w:t>
            </w:r>
          </w:p>
        </w:tc>
      </w:tr>
      <w:tr w:rsidR="001E466B">
        <w:tblPrEx>
          <w:tblCellMar>
            <w:top w:w="0" w:type="dxa"/>
            <w:bottom w:w="0" w:type="dxa"/>
          </w:tblCellMar>
        </w:tblPrEx>
        <w:trPr>
          <w:jc w:val="right"/>
        </w:trPr>
        <w:tc>
          <w:tcPr>
            <w:tcW w:w="850" w:type="dxa"/>
          </w:tcPr>
          <w:p w:rsidR="001E466B" w:rsidRDefault="001E466B">
            <w:pPr>
              <w:rPr>
                <w:rFonts w:cs="Frankruhel" w:hint="cs"/>
              </w:rPr>
            </w:pPr>
            <w:r>
              <w:rPr>
                <w:rFonts w:cs="Frankruhel"/>
                <w:rtl/>
              </w:rPr>
              <w:fldChar w:fldCharType="begin"/>
            </w:r>
            <w:r>
              <w:rPr>
                <w:rFonts w:cs="Frankruhel"/>
                <w:rtl/>
              </w:rPr>
              <w:instrText xml:space="preserve"> </w:instrText>
            </w:r>
            <w:r>
              <w:rPr>
                <w:rFonts w:cs="Frankruhel"/>
              </w:rPr>
              <w:instrText>PAGEREF Seif5</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E466B" w:rsidRDefault="001E466B">
            <w:pPr>
              <w:rPr>
                <w:rFonts w:cs="Frankruhel" w:hint="cs"/>
              </w:rPr>
            </w:pPr>
            <w:hyperlink w:anchor="Seif5" w:tooltip="שמירת דינים" w:history="1">
              <w:r>
                <w:rPr>
                  <w:rStyle w:val="Hyperlink"/>
                </w:rPr>
                <w:t>Go</w:t>
              </w:r>
            </w:hyperlink>
          </w:p>
        </w:tc>
        <w:tc>
          <w:tcPr>
            <w:tcW w:w="5669" w:type="dxa"/>
          </w:tcPr>
          <w:p w:rsidR="001E466B" w:rsidRDefault="001E466B">
            <w:pPr>
              <w:rPr>
                <w:rFonts w:cs="Frankruhel" w:hint="cs"/>
              </w:rPr>
            </w:pPr>
            <w:r>
              <w:rPr>
                <w:rFonts w:cs="Frankruhel"/>
                <w:rtl/>
              </w:rPr>
              <w:t>שמירת דינים</w:t>
            </w:r>
          </w:p>
        </w:tc>
        <w:tc>
          <w:tcPr>
            <w:tcW w:w="1247" w:type="dxa"/>
          </w:tcPr>
          <w:p w:rsidR="001E466B" w:rsidRDefault="001E466B">
            <w:pPr>
              <w:rPr>
                <w:rFonts w:cs="Frankruhel" w:hint="cs"/>
              </w:rPr>
            </w:pPr>
            <w:r>
              <w:rPr>
                <w:rFonts w:cs="Frankruhel"/>
                <w:rtl/>
              </w:rPr>
              <w:t xml:space="preserve">סעיף 5 </w:t>
            </w:r>
          </w:p>
        </w:tc>
      </w:tr>
      <w:tr w:rsidR="001E466B">
        <w:tblPrEx>
          <w:tblCellMar>
            <w:top w:w="0" w:type="dxa"/>
            <w:bottom w:w="0" w:type="dxa"/>
          </w:tblCellMar>
        </w:tblPrEx>
        <w:trPr>
          <w:jc w:val="right"/>
        </w:trPr>
        <w:tc>
          <w:tcPr>
            <w:tcW w:w="850" w:type="dxa"/>
          </w:tcPr>
          <w:p w:rsidR="001E466B" w:rsidRDefault="001E466B">
            <w:pPr>
              <w:rPr>
                <w:rFonts w:cs="Frankruhel" w:hint="cs"/>
              </w:rPr>
            </w:pPr>
            <w:r>
              <w:rPr>
                <w:rFonts w:cs="Frankruhel"/>
                <w:rtl/>
              </w:rPr>
              <w:fldChar w:fldCharType="begin"/>
            </w:r>
            <w:r>
              <w:rPr>
                <w:rFonts w:cs="Frankruhel"/>
                <w:rtl/>
              </w:rPr>
              <w:instrText xml:space="preserve"> </w:instrText>
            </w:r>
            <w:r>
              <w:rPr>
                <w:rFonts w:cs="Frankruhel"/>
              </w:rPr>
              <w:instrText>PAGEREF Seif6</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E466B" w:rsidRDefault="001E466B">
            <w:pPr>
              <w:rPr>
                <w:rFonts w:cs="Frankruhel" w:hint="cs"/>
              </w:rPr>
            </w:pPr>
            <w:hyperlink w:anchor="Seif6" w:tooltip="דיווח לכנסת" w:history="1">
              <w:r>
                <w:rPr>
                  <w:rStyle w:val="Hyperlink"/>
                </w:rPr>
                <w:t>Go</w:t>
              </w:r>
            </w:hyperlink>
          </w:p>
        </w:tc>
        <w:tc>
          <w:tcPr>
            <w:tcW w:w="5669" w:type="dxa"/>
          </w:tcPr>
          <w:p w:rsidR="001E466B" w:rsidRDefault="001E466B">
            <w:pPr>
              <w:rPr>
                <w:rFonts w:cs="Frankruhel" w:hint="cs"/>
              </w:rPr>
            </w:pPr>
            <w:r>
              <w:rPr>
                <w:rFonts w:cs="Frankruhel"/>
                <w:rtl/>
              </w:rPr>
              <w:t>דיווח לכנסת</w:t>
            </w:r>
          </w:p>
        </w:tc>
        <w:tc>
          <w:tcPr>
            <w:tcW w:w="1247" w:type="dxa"/>
          </w:tcPr>
          <w:p w:rsidR="001E466B" w:rsidRDefault="001E466B">
            <w:pPr>
              <w:rPr>
                <w:rFonts w:cs="Frankruhel" w:hint="cs"/>
              </w:rPr>
            </w:pPr>
            <w:r>
              <w:rPr>
                <w:rFonts w:cs="Frankruhel"/>
                <w:rtl/>
              </w:rPr>
              <w:t xml:space="preserve">סעיף 6 </w:t>
            </w:r>
          </w:p>
        </w:tc>
      </w:tr>
      <w:tr w:rsidR="001E466B">
        <w:tblPrEx>
          <w:tblCellMar>
            <w:top w:w="0" w:type="dxa"/>
            <w:bottom w:w="0" w:type="dxa"/>
          </w:tblCellMar>
        </w:tblPrEx>
        <w:trPr>
          <w:jc w:val="right"/>
        </w:trPr>
        <w:tc>
          <w:tcPr>
            <w:tcW w:w="850" w:type="dxa"/>
          </w:tcPr>
          <w:p w:rsidR="001E466B" w:rsidRDefault="001E466B">
            <w:pPr>
              <w:rPr>
                <w:rFonts w:cs="Frankruhel" w:hint="cs"/>
              </w:rPr>
            </w:pPr>
            <w:r>
              <w:rPr>
                <w:rFonts w:cs="Frankruhel"/>
                <w:rtl/>
              </w:rPr>
              <w:fldChar w:fldCharType="begin"/>
            </w:r>
            <w:r>
              <w:rPr>
                <w:rFonts w:cs="Frankruhel"/>
                <w:rtl/>
              </w:rPr>
              <w:instrText xml:space="preserve"> </w:instrText>
            </w:r>
            <w:r>
              <w:rPr>
                <w:rFonts w:cs="Frankruhel"/>
              </w:rPr>
              <w:instrText>PAGEREF Seif7</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E466B" w:rsidRDefault="001E466B">
            <w:pPr>
              <w:rPr>
                <w:rFonts w:cs="Frankruhel" w:hint="cs"/>
              </w:rPr>
            </w:pPr>
            <w:hyperlink w:anchor="Seif7" w:tooltip="ביצוע ותקנות" w:history="1">
              <w:r>
                <w:rPr>
                  <w:rStyle w:val="Hyperlink"/>
                </w:rPr>
                <w:t>Go</w:t>
              </w:r>
            </w:hyperlink>
          </w:p>
        </w:tc>
        <w:tc>
          <w:tcPr>
            <w:tcW w:w="5669" w:type="dxa"/>
          </w:tcPr>
          <w:p w:rsidR="001E466B" w:rsidRDefault="001E466B">
            <w:pPr>
              <w:rPr>
                <w:rFonts w:cs="Frankruhel" w:hint="cs"/>
              </w:rPr>
            </w:pPr>
            <w:r>
              <w:rPr>
                <w:rFonts w:cs="Frankruhel"/>
                <w:rtl/>
              </w:rPr>
              <w:t>ביצוע ותקנות</w:t>
            </w:r>
          </w:p>
        </w:tc>
        <w:tc>
          <w:tcPr>
            <w:tcW w:w="1247" w:type="dxa"/>
          </w:tcPr>
          <w:p w:rsidR="001E466B" w:rsidRDefault="001E466B">
            <w:pPr>
              <w:rPr>
                <w:rFonts w:cs="Frankruhel" w:hint="cs"/>
              </w:rPr>
            </w:pPr>
            <w:r>
              <w:rPr>
                <w:rFonts w:cs="Frankruhel"/>
                <w:rtl/>
              </w:rPr>
              <w:t xml:space="preserve">סעיף 7 </w:t>
            </w:r>
          </w:p>
        </w:tc>
      </w:tr>
      <w:tr w:rsidR="001E466B">
        <w:tblPrEx>
          <w:tblCellMar>
            <w:top w:w="0" w:type="dxa"/>
            <w:bottom w:w="0" w:type="dxa"/>
          </w:tblCellMar>
        </w:tblPrEx>
        <w:trPr>
          <w:jc w:val="right"/>
        </w:trPr>
        <w:tc>
          <w:tcPr>
            <w:tcW w:w="850" w:type="dxa"/>
          </w:tcPr>
          <w:p w:rsidR="001E466B" w:rsidRDefault="001E466B">
            <w:pPr>
              <w:rPr>
                <w:rFonts w:cs="Frankruhel" w:hint="cs"/>
              </w:rPr>
            </w:pPr>
            <w:r>
              <w:rPr>
                <w:rFonts w:cs="Frankruhel"/>
                <w:rtl/>
              </w:rPr>
              <w:fldChar w:fldCharType="begin"/>
            </w:r>
            <w:r>
              <w:rPr>
                <w:rFonts w:cs="Frankruhel"/>
                <w:rtl/>
              </w:rPr>
              <w:instrText xml:space="preserve"> </w:instrText>
            </w:r>
            <w:r>
              <w:rPr>
                <w:rFonts w:cs="Frankruhel"/>
              </w:rPr>
              <w:instrText>PAGEREF Seif8</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1E466B" w:rsidRDefault="001E466B">
            <w:pPr>
              <w:rPr>
                <w:rFonts w:cs="Frankruhel" w:hint="cs"/>
              </w:rPr>
            </w:pPr>
            <w:hyperlink w:anchor="Seif8" w:tooltip="תחילה" w:history="1">
              <w:r>
                <w:rPr>
                  <w:rStyle w:val="Hyperlink"/>
                </w:rPr>
                <w:t>Go</w:t>
              </w:r>
            </w:hyperlink>
          </w:p>
        </w:tc>
        <w:tc>
          <w:tcPr>
            <w:tcW w:w="5669" w:type="dxa"/>
          </w:tcPr>
          <w:p w:rsidR="001E466B" w:rsidRDefault="001E466B">
            <w:pPr>
              <w:rPr>
                <w:rFonts w:cs="Frankruhel" w:hint="cs"/>
              </w:rPr>
            </w:pPr>
            <w:r>
              <w:rPr>
                <w:rFonts w:cs="Frankruhel"/>
                <w:rtl/>
              </w:rPr>
              <w:t>תחילה</w:t>
            </w:r>
          </w:p>
        </w:tc>
        <w:tc>
          <w:tcPr>
            <w:tcW w:w="1247" w:type="dxa"/>
          </w:tcPr>
          <w:p w:rsidR="001E466B" w:rsidRDefault="001E466B">
            <w:pPr>
              <w:rPr>
                <w:rFonts w:cs="Frankruhel" w:hint="cs"/>
              </w:rPr>
            </w:pPr>
            <w:r>
              <w:rPr>
                <w:rFonts w:cs="Frankruhel"/>
                <w:rtl/>
              </w:rPr>
              <w:t xml:space="preserve">סעיף 8 </w:t>
            </w:r>
          </w:p>
        </w:tc>
      </w:tr>
    </w:tbl>
    <w:p w:rsidR="001E466B" w:rsidRDefault="001E466B">
      <w:pPr>
        <w:pStyle w:val="big-header"/>
        <w:ind w:left="0" w:right="1134"/>
        <w:rPr>
          <w:rFonts w:cs="FrankRuehl" w:hint="cs"/>
          <w:sz w:val="32"/>
          <w:rtl/>
        </w:rPr>
      </w:pPr>
    </w:p>
    <w:p w:rsidR="001E466B" w:rsidRDefault="001E466B" w:rsidP="006E7E96">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איסור פעילות מסחרית במוסדות חינוך, תשס"ח-2007</w:t>
      </w:r>
      <w:r>
        <w:rPr>
          <w:rStyle w:val="default"/>
          <w:sz w:val="22"/>
          <w:szCs w:val="22"/>
          <w:rtl/>
        </w:rPr>
        <w:footnoteReference w:customMarkFollows="1" w:id="1"/>
        <w:t>*</w:t>
      </w:r>
    </w:p>
    <w:p w:rsidR="001E466B" w:rsidRDefault="001E466B">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6.95pt;z-index:251654144" o:allowincell="f" filled="f" stroked="f" strokecolor="lime" strokeweight=".25pt">
            <v:textbox style="mso-next-textbox:#_x0000_s1026" inset="0,0,0,0">
              <w:txbxContent>
                <w:p w:rsidR="001E466B" w:rsidRDefault="001E466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w:t>
      </w:r>
      <w:r>
        <w:rPr>
          <w:rStyle w:val="default"/>
          <w:rFonts w:cs="FrankRuehl"/>
          <w:rtl/>
        </w:rPr>
        <w:t>חוק</w:t>
      </w:r>
      <w:r>
        <w:rPr>
          <w:rStyle w:val="default"/>
          <w:rFonts w:cs="FrankRuehl" w:hint="cs"/>
          <w:rtl/>
        </w:rPr>
        <w:t xml:space="preserve"> ז</w:t>
      </w:r>
      <w:r>
        <w:rPr>
          <w:rStyle w:val="default"/>
          <w:rFonts w:cs="FrankRuehl"/>
          <w:rtl/>
        </w:rPr>
        <w:t>ה</w:t>
      </w:r>
      <w:r>
        <w:rPr>
          <w:rStyle w:val="default"/>
          <w:rFonts w:cs="FrankRuehl" w:hint="cs"/>
          <w:rtl/>
        </w:rPr>
        <w:t xml:space="preserve"> </w:t>
      </w:r>
      <w:r>
        <w:rPr>
          <w:rStyle w:val="default"/>
          <w:rFonts w:cs="FrankRuehl"/>
          <w:rtl/>
        </w:rPr>
        <w:t>–</w:t>
      </w:r>
    </w:p>
    <w:p w:rsidR="001E466B" w:rsidRDefault="001E466B">
      <w:pPr>
        <w:pStyle w:val="P00"/>
        <w:spacing w:before="72"/>
        <w:ind w:left="0" w:right="1134"/>
        <w:rPr>
          <w:rStyle w:val="default"/>
          <w:rFonts w:cs="FrankRuehl" w:hint="cs"/>
          <w:rtl/>
        </w:rPr>
      </w:pPr>
      <w:r>
        <w:rPr>
          <w:rStyle w:val="default"/>
          <w:rFonts w:cs="FrankRuehl" w:hint="cs"/>
          <w:rtl/>
        </w:rPr>
        <w:tab/>
        <w:t xml:space="preserve">"מוסד חינוך" </w:t>
      </w:r>
      <w:r>
        <w:rPr>
          <w:rStyle w:val="default"/>
          <w:rFonts w:cs="FrankRuehl"/>
          <w:rtl/>
        </w:rPr>
        <w:t>–</w:t>
      </w:r>
      <w:r>
        <w:rPr>
          <w:rStyle w:val="default"/>
          <w:rFonts w:cs="FrankRuehl" w:hint="cs"/>
          <w:rtl/>
        </w:rPr>
        <w:t xml:space="preserve"> מוסד חינוך רשמי כהגדרתו בחוק לימוד חובה, התש"ט-1949, וכן בית ספר או גן ילדים שבו מתחנכים תלמידים באופן שיטתי, שניתן בו חינוך גן ילדים, חינוך יסודי, חינוך על יסודי או חינוך מיוחד, ושחל עליו חוק פיקוח על בתי ספר, התשכ"ט-1969;</w:t>
      </w:r>
    </w:p>
    <w:p w:rsidR="001E466B" w:rsidRDefault="001E466B">
      <w:pPr>
        <w:pStyle w:val="P00"/>
        <w:spacing w:before="72"/>
        <w:ind w:left="0" w:right="1134"/>
        <w:rPr>
          <w:rStyle w:val="default"/>
          <w:rFonts w:cs="FrankRuehl" w:hint="cs"/>
          <w:rtl/>
        </w:rPr>
      </w:pPr>
      <w:r>
        <w:rPr>
          <w:rStyle w:val="default"/>
          <w:rFonts w:cs="FrankRuehl" w:hint="cs"/>
          <w:rtl/>
        </w:rPr>
        <w:tab/>
        <w:t xml:space="preserve">"מפרסם" </w:t>
      </w:r>
      <w:r>
        <w:rPr>
          <w:rStyle w:val="default"/>
          <w:rFonts w:cs="FrankRuehl"/>
          <w:rtl/>
        </w:rPr>
        <w:t>–</w:t>
      </w:r>
      <w:r>
        <w:rPr>
          <w:rStyle w:val="default"/>
          <w:rFonts w:cs="FrankRuehl" w:hint="cs"/>
          <w:rtl/>
        </w:rPr>
        <w:t xml:space="preserve"> מי שמטעמו נעשית הפרסומת, מי שמביא את דבר הפרסומת לפרסום וגורם בכך לפרסומה, מי שמפיץ פרסומת או מי שמחליט בפועל על הפרסום;</w:t>
      </w:r>
    </w:p>
    <w:p w:rsidR="001E466B" w:rsidRDefault="001E466B">
      <w:pPr>
        <w:pStyle w:val="P00"/>
        <w:spacing w:before="72"/>
        <w:ind w:left="0" w:right="1134"/>
        <w:rPr>
          <w:rStyle w:val="default"/>
          <w:rFonts w:cs="FrankRuehl" w:hint="cs"/>
          <w:rtl/>
        </w:rPr>
      </w:pPr>
      <w:r>
        <w:rPr>
          <w:rStyle w:val="default"/>
          <w:rFonts w:cs="FrankRuehl" w:hint="cs"/>
          <w:rtl/>
        </w:rPr>
        <w:tab/>
        <w:t xml:space="preserve">"עוסק" </w:t>
      </w:r>
      <w:r>
        <w:rPr>
          <w:rStyle w:val="default"/>
          <w:rFonts w:cs="FrankRuehl"/>
          <w:rtl/>
        </w:rPr>
        <w:t>–</w:t>
      </w:r>
      <w:r>
        <w:rPr>
          <w:rStyle w:val="default"/>
          <w:rFonts w:cs="FrankRuehl" w:hint="cs"/>
          <w:rtl/>
        </w:rPr>
        <w:t xml:space="preserve"> מי שמוכר נכס או נותן שירות דרך עיסוק, כולל יצרן;</w:t>
      </w:r>
    </w:p>
    <w:p w:rsidR="001E466B" w:rsidRDefault="001E466B">
      <w:pPr>
        <w:pStyle w:val="P00"/>
        <w:spacing w:before="72"/>
        <w:ind w:left="0" w:right="1134"/>
        <w:rPr>
          <w:rStyle w:val="default"/>
          <w:rFonts w:cs="FrankRuehl" w:hint="cs"/>
          <w:rtl/>
        </w:rPr>
      </w:pPr>
      <w:r>
        <w:rPr>
          <w:rStyle w:val="default"/>
          <w:rFonts w:cs="FrankRuehl" w:hint="cs"/>
          <w:rtl/>
        </w:rPr>
        <w:tab/>
        <w:t xml:space="preserve">"פרסומת" </w:t>
      </w:r>
      <w:r>
        <w:rPr>
          <w:rStyle w:val="default"/>
          <w:rFonts w:cs="FrankRuehl"/>
          <w:rtl/>
        </w:rPr>
        <w:t>–</w:t>
      </w:r>
      <w:r>
        <w:rPr>
          <w:rStyle w:val="default"/>
          <w:rFonts w:cs="FrankRuehl" w:hint="cs"/>
          <w:rtl/>
        </w:rPr>
        <w:t xml:space="preserve"> לרבות פרסום שממומן או שנתמך בידי גורם מסחרי הקשור לנושא הפרסום, או שהמפרסם קיבל בעדו, מראש או בדיעבד, תשלום או כל טובת הנאה אחרת, או התחייבות לקבלם מאת גורם מסחרי כאמור;</w:t>
      </w:r>
    </w:p>
    <w:p w:rsidR="001E466B" w:rsidRDefault="001E466B">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החינוך.</w:t>
      </w:r>
    </w:p>
    <w:p w:rsidR="001E466B" w:rsidRDefault="001E466B">
      <w:pPr>
        <w:pStyle w:val="P00"/>
        <w:spacing w:before="72"/>
        <w:ind w:left="0" w:right="1134"/>
        <w:rPr>
          <w:rStyle w:val="default"/>
          <w:rFonts w:cs="FrankRuehl" w:hint="cs"/>
          <w:rtl/>
        </w:rPr>
      </w:pPr>
      <w:bookmarkStart w:id="1" w:name="Seif2"/>
      <w:bookmarkEnd w:id="1"/>
      <w:r>
        <w:rPr>
          <w:rFonts w:cs="Miriam"/>
          <w:lang w:val="he-IL"/>
        </w:rPr>
        <w:pict>
          <v:rect id="_x0000_s1358" style="position:absolute;left:0;text-align:left;margin-left:464.35pt;margin-top:7.1pt;width:75.05pt;height:16.95pt;z-index:251655168" o:allowincell="f" filled="f" stroked="f" strokecolor="lime" strokeweight=".25pt">
            <v:textbox style="mso-next-textbox:#_x0000_s1358" inset="0,0,0,0">
              <w:txbxContent>
                <w:p w:rsidR="001E466B" w:rsidRDefault="001E466B">
                  <w:pPr>
                    <w:pStyle w:val="a7"/>
                    <w:rPr>
                      <w:rFonts w:hint="cs"/>
                      <w:noProof/>
                      <w:rtl/>
                    </w:rPr>
                  </w:pPr>
                  <w:r>
                    <w:rPr>
                      <w:rFonts w:hint="cs"/>
                      <w:rtl/>
                    </w:rPr>
                    <w:t>פעולות אסורות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מנהל מוסד חינוך לא יאפשר ביצוע של פעולות אלה מטעם עוסק או מפרסם בשטח מוסד החינוך </w:t>
      </w:r>
      <w:r>
        <w:rPr>
          <w:rStyle w:val="default"/>
          <w:rFonts w:cs="FrankRuehl"/>
          <w:rtl/>
        </w:rPr>
        <w:t>–</w:t>
      </w:r>
    </w:p>
    <w:p w:rsidR="001E466B" w:rsidRDefault="001E466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כניסה לשם פרסום, שיווק, קידום מכירות או הצגת מוצר או שירות מסחרי לכל מטרה שהיא, בשעות שבהן מתקיימת פעילות מוסד החינוך;</w:t>
      </w:r>
    </w:p>
    <w:p w:rsidR="001E466B" w:rsidRDefault="001E466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הצגת פרסומות בכל דרך;</w:t>
      </w:r>
    </w:p>
    <w:p w:rsidR="001E466B" w:rsidRDefault="001E466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חלוקת חומר פרסומי או מתנות, עריכת הגרלות או החתמת תלמידים על מסמכים, בשעות שבהן מתקיימת פעילות מוסד החינוך;</w:t>
      </w:r>
    </w:p>
    <w:p w:rsidR="001E466B" w:rsidRDefault="001E466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שימוש בעזרי לימוד לשם פרסום או קידום מכירות;</w:t>
      </w:r>
    </w:p>
    <w:p w:rsidR="001E466B" w:rsidRDefault="001E466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קבלת פרטים מזהים מתלמידים, שלהם או של בני משפחתם.</w:t>
      </w:r>
    </w:p>
    <w:p w:rsidR="001E466B" w:rsidRDefault="001E466B">
      <w:pPr>
        <w:pStyle w:val="P00"/>
        <w:spacing w:before="72"/>
        <w:ind w:left="0" w:right="1134"/>
        <w:rPr>
          <w:rStyle w:val="default"/>
          <w:rFonts w:cs="FrankRuehl" w:hint="cs"/>
          <w:rtl/>
        </w:rPr>
      </w:pPr>
      <w:bookmarkStart w:id="2" w:name="Seif3"/>
      <w:bookmarkEnd w:id="2"/>
      <w:r>
        <w:rPr>
          <w:rFonts w:cs="Miriam"/>
          <w:lang w:val="he-IL"/>
        </w:rPr>
        <w:pict>
          <v:rect id="_x0000_s1359" style="position:absolute;left:0;text-align:left;margin-left:464.35pt;margin-top:7.1pt;width:75.05pt;height:24.7pt;z-index:251656192" o:allowincell="f" filled="f" stroked="f" strokecolor="lime" strokeweight=".25pt">
            <v:textbox style="mso-next-textbox:#_x0000_s1359" inset="0,0,0,0">
              <w:txbxContent>
                <w:p w:rsidR="001E466B" w:rsidRDefault="001E466B">
                  <w:pPr>
                    <w:spacing w:line="160" w:lineRule="exact"/>
                    <w:rPr>
                      <w:rFonts w:cs="Miriam" w:hint="cs"/>
                      <w:noProof/>
                      <w:sz w:val="18"/>
                      <w:szCs w:val="18"/>
                      <w:rtl/>
                    </w:rPr>
                  </w:pPr>
                  <w:r>
                    <w:rPr>
                      <w:rFonts w:cs="Miriam" w:hint="cs"/>
                      <w:sz w:val="18"/>
                      <w:szCs w:val="18"/>
                      <w:rtl/>
                    </w:rPr>
                    <w:t>איסור מסירה של פרטים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מי שהגיעו אליו, תוך כדי מילוי תפקידו או במהלך עבודתו במוסד חינוך, פרטי מידע על תלמידים או על בני משפחתם, לא ימסרם לעוסק או למפרסם; אין בהוראות סעיף זה כדי לגרוע מחובת סודיות לפי כל דין.</w:t>
      </w:r>
    </w:p>
    <w:p w:rsidR="001E466B" w:rsidRDefault="001E466B">
      <w:pPr>
        <w:pStyle w:val="P00"/>
        <w:spacing w:before="72"/>
        <w:ind w:left="0" w:right="1134"/>
        <w:rPr>
          <w:rStyle w:val="default"/>
          <w:rFonts w:cs="FrankRuehl" w:hint="cs"/>
          <w:rtl/>
        </w:rPr>
      </w:pPr>
      <w:bookmarkStart w:id="3" w:name="Seif4"/>
      <w:bookmarkEnd w:id="3"/>
      <w:r>
        <w:rPr>
          <w:rFonts w:cs="Miriam"/>
          <w:lang w:val="he-IL"/>
        </w:rPr>
        <w:pict>
          <v:rect id="_x0000_s1379" style="position:absolute;left:0;text-align:left;margin-left:464.35pt;margin-top:7.1pt;width:75.05pt;height:14.8pt;z-index:251657216" o:allowincell="f" filled="f" stroked="f" strokecolor="lime" strokeweight=".25pt">
            <v:textbox style="mso-next-textbox:#_x0000_s1379" inset="0,0,0,0">
              <w:txbxContent>
                <w:p w:rsidR="001E466B" w:rsidRDefault="001E466B">
                  <w:pPr>
                    <w:spacing w:line="160" w:lineRule="exact"/>
                    <w:rPr>
                      <w:rFonts w:cs="Miriam" w:hint="cs"/>
                      <w:noProof/>
                      <w:sz w:val="18"/>
                      <w:szCs w:val="18"/>
                      <w:rtl/>
                    </w:rPr>
                  </w:pPr>
                  <w:r>
                    <w:rPr>
                      <w:rFonts w:cs="Miriam" w:hint="cs"/>
                      <w:sz w:val="18"/>
                      <w:szCs w:val="18"/>
                      <w:rtl/>
                    </w:rPr>
                    <w:t>אישור מיוחד</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בסעיף 2, רשאי המנהל הכללי של משרד החינוך או מי שהוא הסמיכו לכך, לפי פנייה של מנהל מוסד חינוך או של אדם אחר, לתת אישור מיוחד, מטעמים שיירשמו, לביצוע פעולה מהפעולות המנויות באותו סעיף; אישור כאמור יכול שיהא לעניין מסוים או באופן כללי לסוגי עניינים לתקופה שתיקבע.</w:t>
      </w:r>
    </w:p>
    <w:p w:rsidR="001E466B" w:rsidRDefault="001E466B">
      <w:pPr>
        <w:pStyle w:val="P00"/>
        <w:spacing w:before="72"/>
        <w:ind w:left="0" w:right="1134"/>
        <w:rPr>
          <w:rStyle w:val="default"/>
          <w:rFonts w:cs="FrankRuehl" w:hint="cs"/>
          <w:rtl/>
        </w:rPr>
      </w:pPr>
      <w:bookmarkStart w:id="4" w:name="Seif5"/>
      <w:bookmarkEnd w:id="4"/>
      <w:r>
        <w:rPr>
          <w:rFonts w:cs="Miriam"/>
          <w:lang w:val="he-IL"/>
        </w:rPr>
        <w:pict>
          <v:rect id="_x0000_s1380" style="position:absolute;left:0;text-align:left;margin-left:464.35pt;margin-top:7.1pt;width:75.05pt;height:19.5pt;z-index:251658240" o:allowincell="f" filled="f" stroked="f" strokecolor="lime" strokeweight=".25pt">
            <v:textbox style="mso-next-textbox:#_x0000_s1380" inset="0,0,0,0">
              <w:txbxContent>
                <w:p w:rsidR="001E466B" w:rsidRDefault="001E466B">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הוראות חוק זה באות להוסיף על הוראות כל דין ולא לגרוע מהן.</w:t>
      </w:r>
    </w:p>
    <w:p w:rsidR="001E466B" w:rsidRDefault="001E466B">
      <w:pPr>
        <w:pStyle w:val="P00"/>
        <w:spacing w:before="72"/>
        <w:ind w:left="0" w:right="1134"/>
        <w:rPr>
          <w:rStyle w:val="default"/>
          <w:rFonts w:cs="FrankRuehl" w:hint="cs"/>
          <w:rtl/>
        </w:rPr>
      </w:pPr>
      <w:bookmarkStart w:id="5" w:name="Seif6"/>
      <w:bookmarkEnd w:id="5"/>
      <w:r>
        <w:rPr>
          <w:rFonts w:cs="Miriam"/>
          <w:lang w:val="he-IL"/>
        </w:rPr>
        <w:pict>
          <v:rect id="_x0000_s1381" style="position:absolute;left:0;text-align:left;margin-left:464.35pt;margin-top:7.1pt;width:75.05pt;height:16.95pt;z-index:251659264" o:allowincell="f" filled="f" stroked="f" strokecolor="lime" strokeweight=".25pt">
            <v:textbox style="mso-next-textbox:#_x0000_s1381" inset="0,0,0,0">
              <w:txbxContent>
                <w:p w:rsidR="001E466B" w:rsidRDefault="001E466B">
                  <w:pPr>
                    <w:spacing w:line="160" w:lineRule="exact"/>
                    <w:rPr>
                      <w:rFonts w:cs="Miriam" w:hint="cs"/>
                      <w:noProof/>
                      <w:sz w:val="18"/>
                      <w:szCs w:val="18"/>
                      <w:rtl/>
                    </w:rPr>
                  </w:pPr>
                  <w:r>
                    <w:rPr>
                      <w:rFonts w:cs="Miriam" w:hint="cs"/>
                      <w:sz w:val="18"/>
                      <w:szCs w:val="18"/>
                      <w:rtl/>
                    </w:rPr>
                    <w:t>דיווח לכנסת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המנהל הכללי של משרד החינוך ימסור לוועדת החינוך התרבות והספורט של הכנסת, מדי שנה, לא יאוחר מיום א' בכסלו, דין וחשבון על אישורים שניתנו לפי הוראות סעיף 4, בשנה שקדמה למועד הדיווח.</w:t>
      </w:r>
    </w:p>
    <w:p w:rsidR="001E466B" w:rsidRDefault="001E466B">
      <w:pPr>
        <w:pStyle w:val="P00"/>
        <w:spacing w:before="72"/>
        <w:ind w:left="0" w:right="1134"/>
        <w:rPr>
          <w:rStyle w:val="default"/>
          <w:rFonts w:cs="FrankRuehl" w:hint="cs"/>
          <w:rtl/>
        </w:rPr>
      </w:pPr>
      <w:bookmarkStart w:id="6" w:name="Seif7"/>
      <w:bookmarkEnd w:id="6"/>
      <w:r>
        <w:rPr>
          <w:rFonts w:cs="Miriam"/>
          <w:lang w:val="he-IL"/>
        </w:rPr>
        <w:pict>
          <v:rect id="_x0000_s1419" style="position:absolute;left:0;text-align:left;margin-left:464.35pt;margin-top:7.1pt;width:75.05pt;height:19.5pt;z-index:251660288" o:allowincell="f" filled="f" stroked="f" strokecolor="lime" strokeweight=".25pt">
            <v:textbox style="mso-next-textbox:#_x0000_s1419" inset="0,0,0,0">
              <w:txbxContent>
                <w:p w:rsidR="001E466B" w:rsidRDefault="001E466B">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השר ממונה על ביצוע חוק זה והוא רשאי להתקין תקנות לביצועו, לרבות לעניין דרכי הפיקוח על קיום הוראותיו.</w:t>
      </w:r>
    </w:p>
    <w:p w:rsidR="001E466B" w:rsidRDefault="001E466B">
      <w:pPr>
        <w:pStyle w:val="P00"/>
        <w:spacing w:before="72"/>
        <w:ind w:left="0" w:right="1134"/>
        <w:rPr>
          <w:rStyle w:val="default"/>
          <w:rFonts w:cs="FrankRuehl" w:hint="cs"/>
          <w:rtl/>
        </w:rPr>
      </w:pPr>
      <w:bookmarkStart w:id="7" w:name="Seif8"/>
      <w:bookmarkEnd w:id="7"/>
      <w:r>
        <w:rPr>
          <w:rFonts w:cs="Miriam"/>
          <w:lang w:val="he-IL"/>
        </w:rPr>
        <w:pict>
          <v:rect id="_x0000_s1420" style="position:absolute;left:0;text-align:left;margin-left:464.35pt;margin-top:7.1pt;width:75.05pt;height:19.5pt;z-index:251661312" o:allowincell="f" filled="f" stroked="f" strokecolor="lime" strokeweight=".25pt">
            <v:textbox style="mso-next-textbox:#_x0000_s1420" inset="0,0,0,0">
              <w:txbxContent>
                <w:p w:rsidR="001E466B" w:rsidRDefault="001E466B">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חוק זה שישים ימים מיום פרסומו.</w:t>
      </w:r>
    </w:p>
    <w:p w:rsidR="001E466B" w:rsidRDefault="001E466B">
      <w:pPr>
        <w:pStyle w:val="P00"/>
        <w:spacing w:before="72"/>
        <w:ind w:left="0" w:right="1134"/>
        <w:rPr>
          <w:rStyle w:val="default"/>
          <w:rFonts w:cs="FrankRuehl" w:hint="cs"/>
          <w:rtl/>
        </w:rPr>
      </w:pPr>
    </w:p>
    <w:p w:rsidR="001E466B" w:rsidRDefault="001E466B">
      <w:pPr>
        <w:pStyle w:val="P00"/>
        <w:spacing w:before="72"/>
        <w:ind w:left="0" w:right="1134"/>
        <w:rPr>
          <w:rStyle w:val="default"/>
          <w:rFonts w:cs="FrankRuehl" w:hint="cs"/>
          <w:rtl/>
        </w:rPr>
      </w:pPr>
    </w:p>
    <w:p w:rsidR="001E466B" w:rsidRDefault="001E466B">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t>אהוד אולמרט</w:t>
      </w:r>
      <w:r>
        <w:rPr>
          <w:rStyle w:val="default"/>
          <w:rFonts w:cs="FrankRuehl" w:hint="cs"/>
          <w:rtl/>
        </w:rPr>
        <w:tab/>
      </w:r>
      <w:r>
        <w:rPr>
          <w:rStyle w:val="default"/>
          <w:rFonts w:cs="FrankRuehl" w:hint="cs"/>
          <w:rtl/>
        </w:rPr>
        <w:tab/>
        <w:t>יולי תמיר</w:t>
      </w:r>
    </w:p>
    <w:p w:rsidR="001E466B" w:rsidRDefault="001E466B">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שרת החינוך</w:t>
      </w:r>
    </w:p>
    <w:p w:rsidR="001E466B" w:rsidRDefault="001E466B">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t>שמעון פרס</w:t>
      </w:r>
      <w:r>
        <w:rPr>
          <w:rStyle w:val="default"/>
          <w:rFonts w:cs="FrankRuehl" w:hint="cs"/>
          <w:rtl/>
        </w:rPr>
        <w:tab/>
      </w:r>
      <w:r>
        <w:rPr>
          <w:rStyle w:val="default"/>
          <w:rFonts w:cs="FrankRuehl" w:hint="cs"/>
          <w:rtl/>
        </w:rPr>
        <w:tab/>
        <w:t>דליה איציק</w:t>
      </w:r>
    </w:p>
    <w:p w:rsidR="001E466B" w:rsidRDefault="001E466B">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lastRenderedPageBreak/>
        <w:tab/>
        <w:t>נשיא המדינה</w:t>
      </w:r>
      <w:r>
        <w:rPr>
          <w:rFonts w:cs="FrankRuehl" w:hint="cs"/>
          <w:sz w:val="22"/>
          <w:szCs w:val="22"/>
          <w:rtl/>
        </w:rPr>
        <w:tab/>
      </w:r>
      <w:r>
        <w:rPr>
          <w:rFonts w:cs="FrankRuehl" w:hint="cs"/>
          <w:sz w:val="22"/>
          <w:szCs w:val="22"/>
          <w:rtl/>
        </w:rPr>
        <w:tab/>
        <w:t>יושבת ראש הכנסת</w:t>
      </w:r>
    </w:p>
    <w:p w:rsidR="001E466B" w:rsidRDefault="001E466B">
      <w:pPr>
        <w:pStyle w:val="sig-0"/>
        <w:tabs>
          <w:tab w:val="clear" w:pos="4820"/>
          <w:tab w:val="center" w:pos="5670"/>
        </w:tabs>
        <w:ind w:left="0" w:right="1134"/>
        <w:rPr>
          <w:rFonts w:cs="FrankRuehl" w:hint="cs"/>
          <w:sz w:val="26"/>
          <w:rtl/>
        </w:rPr>
      </w:pPr>
    </w:p>
    <w:p w:rsidR="001E466B" w:rsidRDefault="001E466B">
      <w:pPr>
        <w:pStyle w:val="sig-0"/>
        <w:tabs>
          <w:tab w:val="clear" w:pos="4820"/>
          <w:tab w:val="center" w:pos="5670"/>
        </w:tabs>
        <w:ind w:left="0" w:right="1134"/>
        <w:rPr>
          <w:rFonts w:cs="FrankRuehl" w:hint="cs"/>
          <w:sz w:val="26"/>
          <w:rtl/>
        </w:rPr>
      </w:pPr>
    </w:p>
    <w:p w:rsidR="001E466B" w:rsidRDefault="001E466B">
      <w:pPr>
        <w:pStyle w:val="sig-0"/>
        <w:ind w:left="0" w:right="1134"/>
        <w:rPr>
          <w:rFonts w:cs="FrankRuehl"/>
          <w:sz w:val="26"/>
          <w:rtl/>
        </w:rPr>
      </w:pPr>
    </w:p>
    <w:sectPr w:rsidR="001E466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466B" w:rsidRDefault="001E466B">
      <w:r>
        <w:separator/>
      </w:r>
    </w:p>
  </w:endnote>
  <w:endnote w:type="continuationSeparator" w:id="0">
    <w:p w:rsidR="001E466B" w:rsidRDefault="001E4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66B" w:rsidRDefault="001E46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E466B" w:rsidRDefault="001E46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E466B" w:rsidRDefault="001E46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Z:\000000000000-law\yael\08-01-01\tav\999_878.doc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66B" w:rsidRDefault="001E46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7E96">
      <w:rPr>
        <w:rFonts w:hAnsi="FrankRuehl" w:cs="FrankRuehl"/>
        <w:noProof/>
        <w:sz w:val="24"/>
        <w:szCs w:val="24"/>
        <w:rtl/>
      </w:rPr>
      <w:t>2</w:t>
    </w:r>
    <w:r>
      <w:rPr>
        <w:rFonts w:hAnsi="FrankRuehl" w:cs="FrankRuehl"/>
        <w:sz w:val="24"/>
        <w:szCs w:val="24"/>
        <w:rtl/>
      </w:rPr>
      <w:fldChar w:fldCharType="end"/>
    </w:r>
  </w:p>
  <w:p w:rsidR="001E466B" w:rsidRDefault="001E46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E466B" w:rsidRDefault="001E46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Z:\000000000000-law\yael\08-01-01\tav\999_878.doc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466B" w:rsidRDefault="001E466B">
      <w:pPr>
        <w:pStyle w:val="a5"/>
        <w:rPr>
          <w:rFonts w:cs="David"/>
          <w:sz w:val="24"/>
          <w:szCs w:val="24"/>
        </w:rPr>
      </w:pPr>
      <w:r>
        <w:separator/>
      </w:r>
    </w:p>
  </w:footnote>
  <w:footnote w:type="continuationSeparator" w:id="0">
    <w:p w:rsidR="001E466B" w:rsidRDefault="001E466B">
      <w:r>
        <w:continuationSeparator/>
      </w:r>
    </w:p>
  </w:footnote>
  <w:footnote w:id="1">
    <w:p w:rsidR="001E466B" w:rsidRDefault="001E46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cs"/>
            <w:rtl/>
          </w:rPr>
          <w:t>ס"ח תשס"ח מס' 2124</w:t>
        </w:r>
      </w:hyperlink>
      <w:r>
        <w:rPr>
          <w:rFonts w:cs="FrankRuehl" w:hint="cs"/>
          <w:rtl/>
        </w:rPr>
        <w:t xml:space="preserve"> מיום 31.12.2007 עמ' 101 (</w:t>
      </w:r>
      <w:hyperlink r:id="rId2" w:history="1">
        <w:r>
          <w:rPr>
            <w:rStyle w:val="Hyperlink"/>
            <w:rFonts w:cs="FrankRuehl" w:hint="eastAsia"/>
            <w:rtl/>
          </w:rPr>
          <w:t>ה</w:t>
        </w:r>
        <w:r>
          <w:rPr>
            <w:rStyle w:val="Hyperlink"/>
            <w:rFonts w:cs="FrankRuehl"/>
            <w:rtl/>
          </w:rPr>
          <w:t>"ח הכנסת תשס"ז מס' 136</w:t>
        </w:r>
      </w:hyperlink>
      <w:r>
        <w:rPr>
          <w:rFonts w:cs="FrankRuehl" w:hint="cs"/>
          <w:rtl/>
        </w:rPr>
        <w:t xml:space="preserve"> עמ' 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66B" w:rsidRDefault="001E466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E466B" w:rsidRDefault="001E46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E466B" w:rsidRDefault="001E466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466B" w:rsidRDefault="001E466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איסור פעילות מסחרית במוסדות חינוך, תשס"ח-2007</w:t>
    </w:r>
  </w:p>
  <w:p w:rsidR="001E466B" w:rsidRDefault="001E46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E466B" w:rsidRDefault="001E466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8241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7E96"/>
    <w:rsid w:val="001E466B"/>
    <w:rsid w:val="006E7E96"/>
    <w:rsid w:val="00EA53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F79F78D-AB62-4251-A909-07761E78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136.pdf" TargetMode="External"/><Relationship Id="rId1" Type="http://schemas.openxmlformats.org/officeDocument/2006/relationships/hyperlink" Target="http://www.nevo.co.il/Law_word/law14/law-21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בריאות</vt:lpstr>
    </vt:vector>
  </TitlesOfParts>
  <Company/>
  <LinksUpToDate>false</LinksUpToDate>
  <CharactersWithSpaces>2927</CharactersWithSpaces>
  <SharedDoc>false</SharedDoc>
  <HLinks>
    <vt:vector size="60" baseType="variant">
      <vt:variant>
        <vt:i4>196634</vt:i4>
      </vt:variant>
      <vt:variant>
        <vt:i4>45</vt:i4>
      </vt:variant>
      <vt:variant>
        <vt:i4>0</vt:i4>
      </vt:variant>
      <vt:variant>
        <vt:i4>5</vt:i4>
      </vt:variant>
      <vt:variant>
        <vt:lpwstr/>
      </vt:variant>
      <vt:variant>
        <vt:lpwstr>Seif8</vt:lpwstr>
      </vt:variant>
      <vt:variant>
        <vt:i4>196634</vt:i4>
      </vt:variant>
      <vt:variant>
        <vt:i4>39</vt:i4>
      </vt:variant>
      <vt:variant>
        <vt:i4>0</vt:i4>
      </vt:variant>
      <vt:variant>
        <vt:i4>5</vt:i4>
      </vt:variant>
      <vt:variant>
        <vt:lpwstr/>
      </vt:variant>
      <vt:variant>
        <vt:lpwstr>Seif7</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3407897</vt:i4>
      </vt:variant>
      <vt:variant>
        <vt:i4>3</vt:i4>
      </vt:variant>
      <vt:variant>
        <vt:i4>0</vt:i4>
      </vt:variant>
      <vt:variant>
        <vt:i4>5</vt:i4>
      </vt:variant>
      <vt:variant>
        <vt:lpwstr>http://www.nevo.co.il/Law_word/law16/knesset-136.pdf</vt:lpwstr>
      </vt:variant>
      <vt:variant>
        <vt:lpwstr/>
      </vt:variant>
      <vt:variant>
        <vt:i4>8323084</vt:i4>
      </vt:variant>
      <vt:variant>
        <vt:i4>0</vt:i4>
      </vt:variant>
      <vt:variant>
        <vt:i4>0</vt:i4>
      </vt:variant>
      <vt:variant>
        <vt:i4>5</vt:i4>
      </vt:variant>
      <vt:variant>
        <vt:lpwstr>http://www.nevo.co.il/Law_word/law14/law-2124.pdf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בריאות</dc:title>
  <dc:subject/>
  <dc:creator>Shimon Doodkin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איסור פעילות מסחרית במוסדות חינוך, תשס"ח-2007</vt:lpwstr>
  </property>
  <property fmtid="{D5CDD505-2E9C-101B-9397-08002B2CF9AE}" pid="4" name="LAWNUMBER">
    <vt:lpwstr>0878</vt:lpwstr>
  </property>
  <property fmtid="{D5CDD505-2E9C-101B-9397-08002B2CF9AE}" pid="5" name="TYPE">
    <vt:lpwstr>01</vt:lpwstr>
  </property>
  <property fmtid="{D5CDD505-2E9C-101B-9397-08002B2CF9AE}" pid="6" name="CHNAME">
    <vt:lpwstr>חינוך</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http://www.nevo.co.il/Law_word/law14/law-2124.pdf;רשומות – ספר חוקים#פורסם ס"ח תשס"ח מס' 2124#מיום 31.12.2007#עמ' 101</vt:lpwstr>
  </property>
  <property fmtid="{D5CDD505-2E9C-101B-9397-08002B2CF9AE}" pid="22" name="NOSE11">
    <vt:lpwstr>רשויות ומשפט מנהלי</vt:lpwstr>
  </property>
  <property fmtid="{D5CDD505-2E9C-101B-9397-08002B2CF9AE}" pid="23" name="NOSE21">
    <vt:lpwstr>חינוך</vt:lpwstr>
  </property>
  <property fmtid="{D5CDD505-2E9C-101B-9397-08002B2CF9AE}" pid="24" name="NOSE31">
    <vt:lpwstr>מוסדות חינוך</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