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A193" w14:textId="77777777" w:rsidR="00FC7F10" w:rsidRDefault="00FC7F10">
      <w:pPr>
        <w:pStyle w:val="big-header"/>
        <w:ind w:left="0" w:right="1134"/>
        <w:rPr>
          <w:rFonts w:hint="cs"/>
          <w:rtl/>
        </w:rPr>
      </w:pPr>
      <w:r>
        <w:rPr>
          <w:rtl/>
        </w:rPr>
        <w:t>חוק איסור פתיחת בתי עינוגים בתשעה באב (הסמכה מיוחדת), תשנ"ח-1997</w:t>
      </w:r>
    </w:p>
    <w:p w14:paraId="0BA37326" w14:textId="77777777" w:rsidR="00175BE3" w:rsidRDefault="00175BE3" w:rsidP="00175BE3">
      <w:pPr>
        <w:spacing w:line="320" w:lineRule="auto"/>
        <w:jc w:val="left"/>
        <w:rPr>
          <w:rFonts w:hint="cs"/>
          <w:rtl/>
        </w:rPr>
      </w:pPr>
    </w:p>
    <w:p w14:paraId="18853E44" w14:textId="77777777" w:rsidR="00164E8A" w:rsidRDefault="00164E8A" w:rsidP="00175BE3">
      <w:pPr>
        <w:spacing w:line="320" w:lineRule="auto"/>
        <w:jc w:val="left"/>
        <w:rPr>
          <w:rFonts w:hint="cs"/>
          <w:rtl/>
        </w:rPr>
      </w:pPr>
    </w:p>
    <w:p w14:paraId="4AB278CA" w14:textId="77777777" w:rsidR="00175BE3" w:rsidRDefault="00175BE3" w:rsidP="00175BE3">
      <w:pPr>
        <w:spacing w:line="320" w:lineRule="auto"/>
        <w:jc w:val="left"/>
        <w:rPr>
          <w:rFonts w:cs="FrankRuehl"/>
          <w:szCs w:val="26"/>
          <w:rtl/>
        </w:rPr>
      </w:pPr>
      <w:r w:rsidRPr="00175BE3">
        <w:rPr>
          <w:rFonts w:cs="Miriam"/>
          <w:szCs w:val="22"/>
          <w:rtl/>
        </w:rPr>
        <w:t>עונשין ומשפט פלילי</w:t>
      </w:r>
      <w:r w:rsidRPr="00175BE3">
        <w:rPr>
          <w:rFonts w:cs="FrankRuehl"/>
          <w:szCs w:val="26"/>
          <w:rtl/>
        </w:rPr>
        <w:t xml:space="preserve"> – עבירות – אסור פתיחת בתי עינוג – תשעה באב</w:t>
      </w:r>
    </w:p>
    <w:p w14:paraId="3BD0BF2A" w14:textId="77777777" w:rsidR="00175BE3" w:rsidRPr="00175BE3" w:rsidRDefault="00175BE3" w:rsidP="00175BE3">
      <w:pPr>
        <w:spacing w:line="320" w:lineRule="auto"/>
        <w:jc w:val="left"/>
        <w:rPr>
          <w:rFonts w:cs="Miriam"/>
          <w:szCs w:val="22"/>
          <w:rtl/>
        </w:rPr>
      </w:pPr>
      <w:r w:rsidRPr="00175BE3">
        <w:rPr>
          <w:rFonts w:cs="Miriam"/>
          <w:szCs w:val="22"/>
          <w:rtl/>
        </w:rPr>
        <w:t>רשויות ומשפט מנהלי</w:t>
      </w:r>
      <w:r w:rsidRPr="00175BE3">
        <w:rPr>
          <w:rFonts w:cs="FrankRuehl"/>
          <w:szCs w:val="26"/>
          <w:rtl/>
        </w:rPr>
        <w:t xml:space="preserve"> – תרבות, פנאי ומועדים – חגים, מועדים וארועים</w:t>
      </w:r>
    </w:p>
    <w:p w14:paraId="524289AB" w14:textId="77777777" w:rsidR="00FC7F10" w:rsidRDefault="00FC7F1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C7F10" w14:paraId="2B47CD30" w14:textId="77777777">
        <w:tblPrEx>
          <w:tblCellMar>
            <w:top w:w="0" w:type="dxa"/>
            <w:bottom w:w="0" w:type="dxa"/>
          </w:tblCellMar>
        </w:tblPrEx>
        <w:tc>
          <w:tcPr>
            <w:tcW w:w="850" w:type="dxa"/>
          </w:tcPr>
          <w:p w14:paraId="5DA85609"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F98D36" w14:textId="77777777" w:rsidR="00FC7F10" w:rsidRDefault="00FC7F10">
            <w:pPr>
              <w:spacing w:line="240" w:lineRule="auto"/>
              <w:rPr>
                <w:sz w:val="24"/>
              </w:rPr>
            </w:pPr>
            <w:hyperlink w:anchor="Seif0" w:tooltip="תשעה באב" w:history="1">
              <w:r>
                <w:rPr>
                  <w:rStyle w:val="Hyperlink"/>
                </w:rPr>
                <w:t>Go</w:t>
              </w:r>
            </w:hyperlink>
          </w:p>
        </w:tc>
        <w:tc>
          <w:tcPr>
            <w:tcW w:w="5669" w:type="dxa"/>
          </w:tcPr>
          <w:p w14:paraId="09AB005A" w14:textId="77777777" w:rsidR="00FC7F10" w:rsidRDefault="00FC7F10">
            <w:pPr>
              <w:spacing w:line="240" w:lineRule="auto"/>
              <w:rPr>
                <w:sz w:val="24"/>
                <w:rtl/>
              </w:rPr>
            </w:pPr>
            <w:r>
              <w:rPr>
                <w:sz w:val="24"/>
                <w:rtl/>
              </w:rPr>
              <w:t>תשעה באב</w:t>
            </w:r>
          </w:p>
        </w:tc>
        <w:tc>
          <w:tcPr>
            <w:tcW w:w="1247" w:type="dxa"/>
          </w:tcPr>
          <w:p w14:paraId="003924DC" w14:textId="77777777" w:rsidR="00FC7F10" w:rsidRDefault="00FC7F10">
            <w:pPr>
              <w:spacing w:line="240" w:lineRule="auto"/>
              <w:rPr>
                <w:sz w:val="24"/>
              </w:rPr>
            </w:pPr>
            <w:r>
              <w:rPr>
                <w:sz w:val="24"/>
                <w:rtl/>
              </w:rPr>
              <w:t xml:space="preserve">סעיף 1 </w:t>
            </w:r>
          </w:p>
        </w:tc>
      </w:tr>
      <w:tr w:rsidR="00FC7F10" w14:paraId="0DADB60B" w14:textId="77777777">
        <w:tblPrEx>
          <w:tblCellMar>
            <w:top w:w="0" w:type="dxa"/>
            <w:bottom w:w="0" w:type="dxa"/>
          </w:tblCellMar>
        </w:tblPrEx>
        <w:tc>
          <w:tcPr>
            <w:tcW w:w="850" w:type="dxa"/>
          </w:tcPr>
          <w:p w14:paraId="7C9765EE"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72E4C3A" w14:textId="77777777" w:rsidR="00FC7F10" w:rsidRDefault="00FC7F10">
            <w:pPr>
              <w:spacing w:line="240" w:lineRule="auto"/>
              <w:rPr>
                <w:sz w:val="24"/>
              </w:rPr>
            </w:pPr>
            <w:hyperlink w:anchor="Seif1" w:tooltip="תחילת יום האבל וסיומו" w:history="1">
              <w:r>
                <w:rPr>
                  <w:rStyle w:val="Hyperlink"/>
                </w:rPr>
                <w:t>Go</w:t>
              </w:r>
            </w:hyperlink>
          </w:p>
        </w:tc>
        <w:tc>
          <w:tcPr>
            <w:tcW w:w="5669" w:type="dxa"/>
          </w:tcPr>
          <w:p w14:paraId="262F3526" w14:textId="77777777" w:rsidR="00FC7F10" w:rsidRDefault="00FC7F10">
            <w:pPr>
              <w:spacing w:line="240" w:lineRule="auto"/>
              <w:rPr>
                <w:sz w:val="24"/>
                <w:rtl/>
              </w:rPr>
            </w:pPr>
            <w:r>
              <w:rPr>
                <w:sz w:val="24"/>
                <w:rtl/>
              </w:rPr>
              <w:t>תחילת יום האבל וסיומו</w:t>
            </w:r>
          </w:p>
        </w:tc>
        <w:tc>
          <w:tcPr>
            <w:tcW w:w="1247" w:type="dxa"/>
          </w:tcPr>
          <w:p w14:paraId="7C16B1BE" w14:textId="77777777" w:rsidR="00FC7F10" w:rsidRDefault="00FC7F10">
            <w:pPr>
              <w:spacing w:line="240" w:lineRule="auto"/>
              <w:rPr>
                <w:sz w:val="24"/>
              </w:rPr>
            </w:pPr>
            <w:r>
              <w:rPr>
                <w:sz w:val="24"/>
                <w:rtl/>
              </w:rPr>
              <w:t xml:space="preserve">סעיף 2 </w:t>
            </w:r>
          </w:p>
        </w:tc>
      </w:tr>
      <w:tr w:rsidR="00FC7F10" w14:paraId="0A937448" w14:textId="77777777">
        <w:tblPrEx>
          <w:tblCellMar>
            <w:top w:w="0" w:type="dxa"/>
            <w:bottom w:w="0" w:type="dxa"/>
          </w:tblCellMar>
        </w:tblPrEx>
        <w:tc>
          <w:tcPr>
            <w:tcW w:w="850" w:type="dxa"/>
          </w:tcPr>
          <w:p w14:paraId="5C2D8CC0"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A7D89E6" w14:textId="77777777" w:rsidR="00FC7F10" w:rsidRDefault="00FC7F10">
            <w:pPr>
              <w:spacing w:line="240" w:lineRule="auto"/>
              <w:rPr>
                <w:sz w:val="24"/>
              </w:rPr>
            </w:pPr>
            <w:hyperlink w:anchor="Seif2" w:tooltip="איסור עינוגים ציבוריים  חוק תשסב  2002" w:history="1">
              <w:r>
                <w:rPr>
                  <w:rStyle w:val="Hyperlink"/>
                </w:rPr>
                <w:t>Go</w:t>
              </w:r>
            </w:hyperlink>
          </w:p>
        </w:tc>
        <w:tc>
          <w:tcPr>
            <w:tcW w:w="5669" w:type="dxa"/>
          </w:tcPr>
          <w:p w14:paraId="1D2028D4" w14:textId="77777777" w:rsidR="00FC7F10" w:rsidRDefault="00FC7F10">
            <w:pPr>
              <w:spacing w:line="240" w:lineRule="auto"/>
              <w:rPr>
                <w:rFonts w:hint="cs"/>
                <w:sz w:val="24"/>
                <w:rtl/>
              </w:rPr>
            </w:pPr>
            <w:r>
              <w:rPr>
                <w:sz w:val="24"/>
                <w:rtl/>
              </w:rPr>
              <w:t>איסור עינוג</w:t>
            </w:r>
            <w:r w:rsidR="00164E8A">
              <w:rPr>
                <w:sz w:val="24"/>
                <w:rtl/>
              </w:rPr>
              <w:t>ים ציבוריים</w:t>
            </w:r>
          </w:p>
        </w:tc>
        <w:tc>
          <w:tcPr>
            <w:tcW w:w="1247" w:type="dxa"/>
          </w:tcPr>
          <w:p w14:paraId="75CB128C" w14:textId="77777777" w:rsidR="00FC7F10" w:rsidRDefault="00FC7F10">
            <w:pPr>
              <w:spacing w:line="240" w:lineRule="auto"/>
              <w:rPr>
                <w:sz w:val="24"/>
              </w:rPr>
            </w:pPr>
            <w:r>
              <w:rPr>
                <w:sz w:val="24"/>
                <w:rtl/>
              </w:rPr>
              <w:t xml:space="preserve">סעיף 3 </w:t>
            </w:r>
          </w:p>
        </w:tc>
      </w:tr>
      <w:tr w:rsidR="00FC7F10" w14:paraId="2BAC3125" w14:textId="77777777">
        <w:tblPrEx>
          <w:tblCellMar>
            <w:top w:w="0" w:type="dxa"/>
            <w:bottom w:w="0" w:type="dxa"/>
          </w:tblCellMar>
        </w:tblPrEx>
        <w:tc>
          <w:tcPr>
            <w:tcW w:w="850" w:type="dxa"/>
          </w:tcPr>
          <w:p w14:paraId="55E0A587"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63B0ECD" w14:textId="77777777" w:rsidR="00FC7F10" w:rsidRDefault="00FC7F10">
            <w:pPr>
              <w:spacing w:line="240" w:lineRule="auto"/>
              <w:rPr>
                <w:sz w:val="24"/>
              </w:rPr>
            </w:pPr>
            <w:hyperlink w:anchor="Seif3" w:tooltip="תחולת האיסור" w:history="1">
              <w:r>
                <w:rPr>
                  <w:rStyle w:val="Hyperlink"/>
                </w:rPr>
                <w:t>Go</w:t>
              </w:r>
            </w:hyperlink>
          </w:p>
        </w:tc>
        <w:tc>
          <w:tcPr>
            <w:tcW w:w="5669" w:type="dxa"/>
          </w:tcPr>
          <w:p w14:paraId="42B39162" w14:textId="77777777" w:rsidR="00FC7F10" w:rsidRDefault="00FC7F10">
            <w:pPr>
              <w:spacing w:line="240" w:lineRule="auto"/>
              <w:rPr>
                <w:sz w:val="24"/>
                <w:rtl/>
              </w:rPr>
            </w:pPr>
            <w:r>
              <w:rPr>
                <w:sz w:val="24"/>
                <w:rtl/>
              </w:rPr>
              <w:t>תחולת האיסור</w:t>
            </w:r>
          </w:p>
        </w:tc>
        <w:tc>
          <w:tcPr>
            <w:tcW w:w="1247" w:type="dxa"/>
          </w:tcPr>
          <w:p w14:paraId="7DDD3E4E" w14:textId="77777777" w:rsidR="00FC7F10" w:rsidRDefault="00FC7F10">
            <w:pPr>
              <w:spacing w:line="240" w:lineRule="auto"/>
              <w:rPr>
                <w:sz w:val="24"/>
              </w:rPr>
            </w:pPr>
            <w:r>
              <w:rPr>
                <w:sz w:val="24"/>
                <w:rtl/>
              </w:rPr>
              <w:t xml:space="preserve">סעיף 4 </w:t>
            </w:r>
          </w:p>
        </w:tc>
      </w:tr>
      <w:tr w:rsidR="00FC7F10" w14:paraId="0981D0DF" w14:textId="77777777">
        <w:tblPrEx>
          <w:tblCellMar>
            <w:top w:w="0" w:type="dxa"/>
            <w:bottom w:w="0" w:type="dxa"/>
          </w:tblCellMar>
        </w:tblPrEx>
        <w:tc>
          <w:tcPr>
            <w:tcW w:w="850" w:type="dxa"/>
          </w:tcPr>
          <w:p w14:paraId="07E62732"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37A58F8" w14:textId="77777777" w:rsidR="00FC7F10" w:rsidRDefault="00FC7F10">
            <w:pPr>
              <w:spacing w:line="240" w:lineRule="auto"/>
              <w:rPr>
                <w:sz w:val="24"/>
              </w:rPr>
            </w:pPr>
            <w:hyperlink w:anchor="Seif4" w:tooltip="ביצוע" w:history="1">
              <w:r>
                <w:rPr>
                  <w:rStyle w:val="Hyperlink"/>
                </w:rPr>
                <w:t>Go</w:t>
              </w:r>
            </w:hyperlink>
          </w:p>
        </w:tc>
        <w:tc>
          <w:tcPr>
            <w:tcW w:w="5669" w:type="dxa"/>
          </w:tcPr>
          <w:p w14:paraId="27B3F797" w14:textId="77777777" w:rsidR="00FC7F10" w:rsidRDefault="00FC7F10">
            <w:pPr>
              <w:spacing w:line="240" w:lineRule="auto"/>
              <w:rPr>
                <w:sz w:val="24"/>
                <w:rtl/>
              </w:rPr>
            </w:pPr>
            <w:r>
              <w:rPr>
                <w:sz w:val="24"/>
                <w:rtl/>
              </w:rPr>
              <w:t>ביצוע</w:t>
            </w:r>
          </w:p>
        </w:tc>
        <w:tc>
          <w:tcPr>
            <w:tcW w:w="1247" w:type="dxa"/>
          </w:tcPr>
          <w:p w14:paraId="3E2E18FF" w14:textId="77777777" w:rsidR="00FC7F10" w:rsidRDefault="00FC7F10">
            <w:pPr>
              <w:spacing w:line="240" w:lineRule="auto"/>
              <w:rPr>
                <w:sz w:val="24"/>
              </w:rPr>
            </w:pPr>
            <w:r>
              <w:rPr>
                <w:sz w:val="24"/>
                <w:rtl/>
              </w:rPr>
              <w:t xml:space="preserve">סעיף 5 </w:t>
            </w:r>
          </w:p>
        </w:tc>
      </w:tr>
      <w:tr w:rsidR="00FC7F10" w14:paraId="63656B78" w14:textId="77777777">
        <w:tblPrEx>
          <w:tblCellMar>
            <w:top w:w="0" w:type="dxa"/>
            <w:bottom w:w="0" w:type="dxa"/>
          </w:tblCellMar>
        </w:tblPrEx>
        <w:tc>
          <w:tcPr>
            <w:tcW w:w="850" w:type="dxa"/>
          </w:tcPr>
          <w:p w14:paraId="5436B382"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1915A6B" w14:textId="77777777" w:rsidR="00FC7F10" w:rsidRDefault="00FC7F10">
            <w:pPr>
              <w:spacing w:line="240" w:lineRule="auto"/>
              <w:rPr>
                <w:sz w:val="24"/>
              </w:rPr>
            </w:pPr>
            <w:hyperlink w:anchor="Seif5" w:tooltip="עונשין" w:history="1">
              <w:r>
                <w:rPr>
                  <w:rStyle w:val="Hyperlink"/>
                </w:rPr>
                <w:t>Go</w:t>
              </w:r>
            </w:hyperlink>
          </w:p>
        </w:tc>
        <w:tc>
          <w:tcPr>
            <w:tcW w:w="5669" w:type="dxa"/>
          </w:tcPr>
          <w:p w14:paraId="50468CB1" w14:textId="77777777" w:rsidR="00FC7F10" w:rsidRDefault="00FC7F10">
            <w:pPr>
              <w:spacing w:line="240" w:lineRule="auto"/>
              <w:rPr>
                <w:sz w:val="24"/>
                <w:rtl/>
              </w:rPr>
            </w:pPr>
            <w:r>
              <w:rPr>
                <w:sz w:val="24"/>
                <w:rtl/>
              </w:rPr>
              <w:t>עונשין</w:t>
            </w:r>
          </w:p>
        </w:tc>
        <w:tc>
          <w:tcPr>
            <w:tcW w:w="1247" w:type="dxa"/>
          </w:tcPr>
          <w:p w14:paraId="3D9049A1" w14:textId="77777777" w:rsidR="00FC7F10" w:rsidRDefault="00FC7F10">
            <w:pPr>
              <w:spacing w:line="240" w:lineRule="auto"/>
              <w:rPr>
                <w:sz w:val="24"/>
              </w:rPr>
            </w:pPr>
            <w:r>
              <w:rPr>
                <w:sz w:val="24"/>
                <w:rtl/>
              </w:rPr>
              <w:t xml:space="preserve">סעיף 6 </w:t>
            </w:r>
          </w:p>
        </w:tc>
      </w:tr>
      <w:tr w:rsidR="00FC7F10" w14:paraId="59114390" w14:textId="77777777">
        <w:tblPrEx>
          <w:tblCellMar>
            <w:top w:w="0" w:type="dxa"/>
            <w:bottom w:w="0" w:type="dxa"/>
          </w:tblCellMar>
        </w:tblPrEx>
        <w:tc>
          <w:tcPr>
            <w:tcW w:w="850" w:type="dxa"/>
          </w:tcPr>
          <w:p w14:paraId="44D8CD75"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4EECCD" w14:textId="77777777" w:rsidR="00FC7F10" w:rsidRDefault="00FC7F10">
            <w:pPr>
              <w:spacing w:line="240" w:lineRule="auto"/>
              <w:rPr>
                <w:sz w:val="24"/>
              </w:rPr>
            </w:pPr>
            <w:hyperlink w:anchor="Seif6" w:tooltip="בית המשפט המוסמך" w:history="1">
              <w:r>
                <w:rPr>
                  <w:rStyle w:val="Hyperlink"/>
                </w:rPr>
                <w:t>Go</w:t>
              </w:r>
            </w:hyperlink>
          </w:p>
        </w:tc>
        <w:tc>
          <w:tcPr>
            <w:tcW w:w="5669" w:type="dxa"/>
          </w:tcPr>
          <w:p w14:paraId="0ADF5283" w14:textId="77777777" w:rsidR="00FC7F10" w:rsidRDefault="00FC7F10">
            <w:pPr>
              <w:spacing w:line="240" w:lineRule="auto"/>
              <w:rPr>
                <w:sz w:val="24"/>
                <w:rtl/>
              </w:rPr>
            </w:pPr>
            <w:r>
              <w:rPr>
                <w:sz w:val="24"/>
                <w:rtl/>
              </w:rPr>
              <w:t>בית המשפט המוסמך</w:t>
            </w:r>
          </w:p>
        </w:tc>
        <w:tc>
          <w:tcPr>
            <w:tcW w:w="1247" w:type="dxa"/>
          </w:tcPr>
          <w:p w14:paraId="346D1D7E" w14:textId="77777777" w:rsidR="00FC7F10" w:rsidRDefault="00FC7F10">
            <w:pPr>
              <w:spacing w:line="240" w:lineRule="auto"/>
              <w:rPr>
                <w:sz w:val="24"/>
              </w:rPr>
            </w:pPr>
            <w:r>
              <w:rPr>
                <w:sz w:val="24"/>
                <w:rtl/>
              </w:rPr>
              <w:t xml:space="preserve">סעיף 7 </w:t>
            </w:r>
          </w:p>
        </w:tc>
      </w:tr>
      <w:tr w:rsidR="00FC7F10" w14:paraId="0ADA1DAA" w14:textId="77777777">
        <w:tblPrEx>
          <w:tblCellMar>
            <w:top w:w="0" w:type="dxa"/>
            <w:bottom w:w="0" w:type="dxa"/>
          </w:tblCellMar>
        </w:tblPrEx>
        <w:tc>
          <w:tcPr>
            <w:tcW w:w="850" w:type="dxa"/>
          </w:tcPr>
          <w:p w14:paraId="0659CE85"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E548AAD" w14:textId="77777777" w:rsidR="00FC7F10" w:rsidRDefault="00FC7F10">
            <w:pPr>
              <w:spacing w:line="240" w:lineRule="auto"/>
              <w:rPr>
                <w:sz w:val="24"/>
              </w:rPr>
            </w:pPr>
            <w:hyperlink w:anchor="Seif7" w:tooltip="הוראת מעבר" w:history="1">
              <w:r>
                <w:rPr>
                  <w:rStyle w:val="Hyperlink"/>
                </w:rPr>
                <w:t>Go</w:t>
              </w:r>
            </w:hyperlink>
          </w:p>
        </w:tc>
        <w:tc>
          <w:tcPr>
            <w:tcW w:w="5669" w:type="dxa"/>
          </w:tcPr>
          <w:p w14:paraId="4C58D7D4" w14:textId="77777777" w:rsidR="00FC7F10" w:rsidRDefault="00FC7F10">
            <w:pPr>
              <w:spacing w:line="240" w:lineRule="auto"/>
              <w:rPr>
                <w:sz w:val="24"/>
                <w:rtl/>
              </w:rPr>
            </w:pPr>
            <w:r>
              <w:rPr>
                <w:sz w:val="24"/>
                <w:rtl/>
              </w:rPr>
              <w:t>הוראת מעבר</w:t>
            </w:r>
          </w:p>
        </w:tc>
        <w:tc>
          <w:tcPr>
            <w:tcW w:w="1247" w:type="dxa"/>
          </w:tcPr>
          <w:p w14:paraId="075CB6B6" w14:textId="77777777" w:rsidR="00FC7F10" w:rsidRDefault="00FC7F10">
            <w:pPr>
              <w:spacing w:line="240" w:lineRule="auto"/>
              <w:rPr>
                <w:sz w:val="24"/>
              </w:rPr>
            </w:pPr>
            <w:r>
              <w:rPr>
                <w:sz w:val="24"/>
                <w:rtl/>
              </w:rPr>
              <w:t xml:space="preserve">סעיף 8 </w:t>
            </w:r>
          </w:p>
        </w:tc>
      </w:tr>
      <w:tr w:rsidR="00FC7F10" w14:paraId="78CF6BEC" w14:textId="77777777">
        <w:tblPrEx>
          <w:tblCellMar>
            <w:top w:w="0" w:type="dxa"/>
            <w:bottom w:w="0" w:type="dxa"/>
          </w:tblCellMar>
        </w:tblPrEx>
        <w:tc>
          <w:tcPr>
            <w:tcW w:w="850" w:type="dxa"/>
          </w:tcPr>
          <w:p w14:paraId="6CB0C96A" w14:textId="77777777" w:rsidR="00FC7F10" w:rsidRDefault="00FC7F1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2BCC5C" w14:textId="77777777" w:rsidR="00FC7F10" w:rsidRDefault="00FC7F10">
            <w:pPr>
              <w:spacing w:line="240" w:lineRule="auto"/>
              <w:rPr>
                <w:sz w:val="24"/>
              </w:rPr>
            </w:pPr>
            <w:hyperlink w:anchor="Seif8" w:tooltip="תיקון פקודת העיריות    מס 64" w:history="1">
              <w:r>
                <w:rPr>
                  <w:rStyle w:val="Hyperlink"/>
                </w:rPr>
                <w:t>Go</w:t>
              </w:r>
            </w:hyperlink>
          </w:p>
        </w:tc>
        <w:tc>
          <w:tcPr>
            <w:tcW w:w="5669" w:type="dxa"/>
          </w:tcPr>
          <w:p w14:paraId="0C4BD225" w14:textId="77777777" w:rsidR="00FC7F10" w:rsidRDefault="00FC7F10">
            <w:pPr>
              <w:spacing w:line="240" w:lineRule="auto"/>
              <w:rPr>
                <w:sz w:val="24"/>
                <w:rtl/>
              </w:rPr>
            </w:pPr>
            <w:r>
              <w:rPr>
                <w:sz w:val="24"/>
                <w:rtl/>
              </w:rPr>
              <w:t>תיקון פקודת העיריות    מס 64</w:t>
            </w:r>
          </w:p>
        </w:tc>
        <w:tc>
          <w:tcPr>
            <w:tcW w:w="1247" w:type="dxa"/>
          </w:tcPr>
          <w:p w14:paraId="53C99E6C" w14:textId="77777777" w:rsidR="00FC7F10" w:rsidRDefault="00FC7F10">
            <w:pPr>
              <w:spacing w:line="240" w:lineRule="auto"/>
              <w:rPr>
                <w:sz w:val="24"/>
              </w:rPr>
            </w:pPr>
            <w:r>
              <w:rPr>
                <w:sz w:val="24"/>
                <w:rtl/>
              </w:rPr>
              <w:t xml:space="preserve">סעיף 9 </w:t>
            </w:r>
          </w:p>
        </w:tc>
      </w:tr>
    </w:tbl>
    <w:p w14:paraId="486C4301" w14:textId="77777777" w:rsidR="00FC7F10" w:rsidRDefault="00FC7F10">
      <w:pPr>
        <w:pStyle w:val="big-header"/>
        <w:ind w:left="0" w:right="1134"/>
        <w:rPr>
          <w:rtl/>
        </w:rPr>
      </w:pPr>
    </w:p>
    <w:p w14:paraId="7C536A61" w14:textId="77777777" w:rsidR="00FC7F10" w:rsidRDefault="00FC7F10" w:rsidP="00175BE3">
      <w:pPr>
        <w:pStyle w:val="big-header"/>
        <w:ind w:left="0" w:right="1134"/>
        <w:rPr>
          <w:rStyle w:val="default"/>
          <w:rFonts w:cs="FrankRuehl" w:hint="cs"/>
          <w:rtl/>
        </w:rPr>
      </w:pPr>
      <w:r>
        <w:rPr>
          <w:rtl/>
        </w:rPr>
        <w:br w:type="page"/>
      </w:r>
      <w:r>
        <w:rPr>
          <w:rtl/>
        </w:rPr>
        <w:lastRenderedPageBreak/>
        <w:t>ח</w:t>
      </w:r>
      <w:r>
        <w:rPr>
          <w:rFonts w:hint="cs"/>
          <w:rtl/>
        </w:rPr>
        <w:t>וק איסור פתיחת בתי עינוגים בתשעה באב (הסמכה מיוחדת), תשנ"ח-1997</w:t>
      </w:r>
      <w:r>
        <w:rPr>
          <w:rStyle w:val="default"/>
          <w:rtl/>
        </w:rPr>
        <w:footnoteReference w:customMarkFollows="1" w:id="1"/>
        <w:t>*</w:t>
      </w:r>
    </w:p>
    <w:p w14:paraId="27251675" w14:textId="77777777" w:rsidR="00FC7F10" w:rsidRDefault="00FC7F10">
      <w:pPr>
        <w:pStyle w:val="P00"/>
        <w:spacing w:before="72"/>
        <w:ind w:left="0" w:right="1134"/>
        <w:rPr>
          <w:rStyle w:val="default"/>
          <w:rFonts w:cs="FrankRuehl"/>
          <w:rtl/>
        </w:rPr>
      </w:pPr>
      <w:bookmarkStart w:id="0" w:name="Seif0"/>
      <w:bookmarkEnd w:id="0"/>
      <w:r>
        <w:rPr>
          <w:lang w:val="he-IL"/>
        </w:rPr>
        <w:pict w14:anchorId="1F75A0E9">
          <v:rect id="_x0000_s1026" style="position:absolute;left:0;text-align:left;margin-left:464.5pt;margin-top:8.05pt;width:75.05pt;height:10pt;z-index:251653120" o:allowincell="f" filled="f" stroked="f" strokecolor="lime" strokeweight=".25pt">
            <v:textbox inset="0,0,0,0">
              <w:txbxContent>
                <w:p w14:paraId="26008A8B" w14:textId="77777777" w:rsidR="00FC7F10" w:rsidRDefault="00FC7F10">
                  <w:pPr>
                    <w:spacing w:line="160" w:lineRule="exact"/>
                    <w:jc w:val="left"/>
                    <w:rPr>
                      <w:rFonts w:cs="Miriam"/>
                      <w:noProof/>
                      <w:szCs w:val="18"/>
                      <w:rtl/>
                    </w:rPr>
                  </w:pPr>
                  <w:r>
                    <w:rPr>
                      <w:rFonts w:cs="Miriam"/>
                      <w:szCs w:val="18"/>
                      <w:rtl/>
                    </w:rPr>
                    <w:t>ת</w:t>
                  </w:r>
                  <w:r>
                    <w:rPr>
                      <w:rFonts w:cs="Miriam" w:hint="cs"/>
                      <w:szCs w:val="18"/>
                      <w:rtl/>
                    </w:rPr>
                    <w:t>שעה באב</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שעה באב הוא יום אבל לעם היהודי על חורבן בית המקדש.</w:t>
      </w:r>
    </w:p>
    <w:p w14:paraId="54DB4CDC" w14:textId="77777777" w:rsidR="00FC7F10" w:rsidRDefault="00FC7F10">
      <w:pPr>
        <w:pStyle w:val="P00"/>
        <w:spacing w:before="72"/>
        <w:ind w:left="0" w:right="1134"/>
        <w:rPr>
          <w:rStyle w:val="default"/>
          <w:rFonts w:cs="FrankRuehl"/>
          <w:rtl/>
        </w:rPr>
      </w:pPr>
      <w:bookmarkStart w:id="1" w:name="Seif1"/>
      <w:bookmarkEnd w:id="1"/>
      <w:r>
        <w:rPr>
          <w:lang w:val="he-IL"/>
        </w:rPr>
        <w:pict w14:anchorId="7EAACCF4">
          <v:rect id="_x0000_s1027" style="position:absolute;left:0;text-align:left;margin-left:464.5pt;margin-top:8.05pt;width:75.05pt;height:20pt;z-index:251654144" o:allowincell="f" filled="f" stroked="f" strokecolor="lime" strokeweight=".25pt">
            <v:textbox inset="0,0,0,0">
              <w:txbxContent>
                <w:p w14:paraId="27057599" w14:textId="77777777" w:rsidR="00FC7F10" w:rsidRDefault="00FC7F10">
                  <w:pPr>
                    <w:spacing w:line="160" w:lineRule="exact"/>
                    <w:jc w:val="left"/>
                    <w:rPr>
                      <w:rFonts w:cs="Miriam"/>
                      <w:noProof/>
                      <w:szCs w:val="18"/>
                      <w:rtl/>
                    </w:rPr>
                  </w:pPr>
                  <w:r>
                    <w:rPr>
                      <w:rFonts w:cs="Miriam"/>
                      <w:szCs w:val="18"/>
                      <w:rtl/>
                    </w:rPr>
                    <w:t>ת</w:t>
                  </w:r>
                  <w:r>
                    <w:rPr>
                      <w:rFonts w:cs="Miriam" w:hint="cs"/>
                      <w:szCs w:val="18"/>
                      <w:rtl/>
                    </w:rPr>
                    <w:t xml:space="preserve">חילת יום </w:t>
                  </w:r>
                  <w:r>
                    <w:rPr>
                      <w:rFonts w:cs="Miriam"/>
                      <w:szCs w:val="18"/>
                      <w:rtl/>
                    </w:rPr>
                    <w:t>ה</w:t>
                  </w:r>
                  <w:r>
                    <w:rPr>
                      <w:rFonts w:cs="Miriam" w:hint="cs"/>
                      <w:szCs w:val="18"/>
                      <w:rtl/>
                    </w:rPr>
                    <w:t>אבל וסיומו</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 xml:space="preserve">חילתו של יום האבל הוא משקיעת החמה וסיומו עם צאת הכוכבים למחרת; חל </w:t>
      </w:r>
      <w:r>
        <w:rPr>
          <w:rStyle w:val="default"/>
          <w:rFonts w:cs="FrankRuehl"/>
          <w:rtl/>
        </w:rPr>
        <w:t>י</w:t>
      </w:r>
      <w:r>
        <w:rPr>
          <w:rStyle w:val="default"/>
          <w:rFonts w:cs="FrankRuehl" w:hint="cs"/>
          <w:rtl/>
        </w:rPr>
        <w:t>ום תשעה באב בשבת, יקוים יום האבל ביום ראשון שלאחריו.</w:t>
      </w:r>
    </w:p>
    <w:p w14:paraId="7C208343" w14:textId="77777777" w:rsidR="00FC7F10" w:rsidRDefault="00FC7F10">
      <w:pPr>
        <w:pStyle w:val="P00"/>
        <w:spacing w:before="72"/>
        <w:ind w:left="0" w:right="1134"/>
        <w:rPr>
          <w:rStyle w:val="default"/>
          <w:rFonts w:cs="FrankRuehl"/>
          <w:rtl/>
        </w:rPr>
      </w:pPr>
      <w:bookmarkStart w:id="2" w:name="Seif2"/>
      <w:bookmarkEnd w:id="2"/>
      <w:r>
        <w:rPr>
          <w:lang w:val="he-IL"/>
        </w:rPr>
        <w:pict w14:anchorId="7985A353">
          <v:rect id="_x0000_s1028" style="position:absolute;left:0;text-align:left;margin-left:464.5pt;margin-top:8.05pt;width:75.05pt;height:38.15pt;z-index:251655168" o:allowincell="f" filled="f" stroked="f" strokecolor="lime" strokeweight=".25pt">
            <v:textbox inset="0,0,0,0">
              <w:txbxContent>
                <w:p w14:paraId="3B6FF2FF" w14:textId="77777777" w:rsidR="00FC7F10" w:rsidRDefault="00FC7F10">
                  <w:pPr>
                    <w:spacing w:line="160" w:lineRule="exact"/>
                    <w:jc w:val="left"/>
                    <w:rPr>
                      <w:rFonts w:cs="Miriam"/>
                      <w:noProof/>
                      <w:szCs w:val="18"/>
                      <w:rtl/>
                    </w:rPr>
                  </w:pPr>
                  <w:r>
                    <w:rPr>
                      <w:rFonts w:cs="Miriam"/>
                      <w:szCs w:val="18"/>
                      <w:rtl/>
                    </w:rPr>
                    <w:t>א</w:t>
                  </w:r>
                  <w:r>
                    <w:rPr>
                      <w:rFonts w:cs="Miriam" w:hint="cs"/>
                      <w:szCs w:val="18"/>
                      <w:rtl/>
                    </w:rPr>
                    <w:t xml:space="preserve">יסור עינוגים </w:t>
                  </w:r>
                  <w:r>
                    <w:rPr>
                      <w:rFonts w:cs="Miriam"/>
                      <w:szCs w:val="18"/>
                      <w:rtl/>
                    </w:rPr>
                    <w:t>צ</w:t>
                  </w:r>
                  <w:r>
                    <w:rPr>
                      <w:rFonts w:cs="Miriam" w:hint="cs"/>
                      <w:szCs w:val="18"/>
                      <w:rtl/>
                    </w:rPr>
                    <w:t xml:space="preserve">יבוריים </w:t>
                  </w:r>
                </w:p>
                <w:p w14:paraId="50C9E233" w14:textId="77777777" w:rsidR="00FC7F10" w:rsidRDefault="00FC7F1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בכל דין, תהא רשות מקומית מוסמכת להתקין חוק עזר שיאסור קיום עינוגים ציבוריים ביום האבל, או פתיחת בתי אוכל בליל יום האבל, מתחילת האבל ועד לזרי</w:t>
      </w:r>
      <w:r>
        <w:rPr>
          <w:rStyle w:val="default"/>
          <w:rFonts w:cs="FrankRuehl"/>
          <w:rtl/>
        </w:rPr>
        <w:t>ח</w:t>
      </w:r>
      <w:r>
        <w:rPr>
          <w:rStyle w:val="default"/>
          <w:rFonts w:cs="FrankRuehl" w:hint="cs"/>
          <w:rtl/>
        </w:rPr>
        <w:t>ת השמש למחרתו.</w:t>
      </w:r>
    </w:p>
    <w:p w14:paraId="06589E66" w14:textId="77777777" w:rsidR="00FC7F10" w:rsidRDefault="00FC7F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"עינוג ציבורי" </w:t>
      </w:r>
      <w:r w:rsidR="00164E8A">
        <w:rPr>
          <w:rStyle w:val="default"/>
          <w:rFonts w:cs="FrankRuehl"/>
          <w:rtl/>
        </w:rPr>
        <w:t>–</w:t>
      </w:r>
      <w:r>
        <w:rPr>
          <w:rStyle w:val="default"/>
          <w:rFonts w:cs="FrankRuehl" w:hint="cs"/>
          <w:rtl/>
        </w:rPr>
        <w:t xml:space="preserve"> כהגדרתו בחוק רישוי עסקים, תשכ"ח-1968, בסעיף 3(ב);</w:t>
      </w:r>
    </w:p>
    <w:p w14:paraId="10C168AE" w14:textId="77777777" w:rsidR="00FC7F10" w:rsidRDefault="00FC7F10">
      <w:pPr>
        <w:pStyle w:val="P00"/>
        <w:spacing w:before="72"/>
        <w:ind w:left="0" w:right="1134"/>
        <w:rPr>
          <w:rStyle w:val="default"/>
          <w:rFonts w:cs="FrankRuehl" w:hint="cs"/>
          <w:rtl/>
        </w:rPr>
      </w:pPr>
      <w:r>
        <w:rPr>
          <w:lang w:val="he-IL"/>
        </w:rPr>
        <w:pict w14:anchorId="16D79C91">
          <v:rect id="_x0000_s1029" style="position:absolute;left:0;text-align:left;margin-left:464.5pt;margin-top:8.05pt;width:75.05pt;height:18.65pt;z-index:251656192" o:allowincell="f" filled="f" stroked="f" strokecolor="lime" strokeweight=".25pt">
            <v:textbox inset="0,0,0,0">
              <w:txbxContent>
                <w:p w14:paraId="143E4417" w14:textId="77777777" w:rsidR="00FC7F10" w:rsidRDefault="00FC7F1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tl/>
        </w:rPr>
        <w:tab/>
      </w:r>
      <w:r>
        <w:rPr>
          <w:rStyle w:val="default"/>
          <w:rFonts w:cs="FrankRuehl"/>
          <w:rtl/>
        </w:rPr>
        <w:t>"</w:t>
      </w:r>
      <w:r>
        <w:rPr>
          <w:rStyle w:val="default"/>
          <w:rFonts w:cs="FrankRuehl" w:hint="cs"/>
          <w:rtl/>
        </w:rPr>
        <w:t xml:space="preserve">בתי אוכל" </w:t>
      </w:r>
      <w:r w:rsidR="00164E8A">
        <w:rPr>
          <w:rStyle w:val="default"/>
          <w:rFonts w:cs="FrankRuehl"/>
          <w:rtl/>
        </w:rPr>
        <w:t>–</w:t>
      </w:r>
      <w:r>
        <w:rPr>
          <w:rStyle w:val="default"/>
          <w:rFonts w:cs="FrankRuehl" w:hint="cs"/>
          <w:rtl/>
        </w:rPr>
        <w:t xml:space="preserve"> לרבות בתי קפה, מסעדות, בתי תה, בתי משקה, מזנונים ומוסדות אחרים וכיו"ב, כמשמעותם בסעיף 249(20) לפקודת העיריות.</w:t>
      </w:r>
    </w:p>
    <w:p w14:paraId="66D98279" w14:textId="77777777" w:rsidR="00FC7F10" w:rsidRPr="00164E8A" w:rsidRDefault="00FC7F10">
      <w:pPr>
        <w:pStyle w:val="P22"/>
        <w:tabs>
          <w:tab w:val="left" w:pos="624"/>
        </w:tabs>
        <w:spacing w:before="0"/>
        <w:ind w:left="0" w:right="1134"/>
        <w:rPr>
          <w:rStyle w:val="default"/>
          <w:rFonts w:cs="FrankRuehl" w:hint="cs"/>
          <w:vanish/>
          <w:color w:val="FF0000"/>
          <w:szCs w:val="20"/>
          <w:shd w:val="clear" w:color="auto" w:fill="FFFF99"/>
          <w:rtl/>
        </w:rPr>
      </w:pPr>
      <w:bookmarkStart w:id="3" w:name="Rov11"/>
      <w:r w:rsidRPr="00164E8A">
        <w:rPr>
          <w:rStyle w:val="default"/>
          <w:rFonts w:cs="FrankRuehl" w:hint="cs"/>
          <w:vanish/>
          <w:color w:val="FF0000"/>
          <w:szCs w:val="20"/>
          <w:shd w:val="clear" w:color="auto" w:fill="FFFF99"/>
          <w:rtl/>
        </w:rPr>
        <w:t>מיום 13.6.2002</w:t>
      </w:r>
    </w:p>
    <w:p w14:paraId="416F3CB1" w14:textId="77777777" w:rsidR="00FC7F10" w:rsidRPr="00164E8A" w:rsidRDefault="00FC7F10">
      <w:pPr>
        <w:pStyle w:val="P22"/>
        <w:tabs>
          <w:tab w:val="left" w:pos="624"/>
        </w:tabs>
        <w:spacing w:before="0"/>
        <w:ind w:left="0" w:right="1134"/>
        <w:rPr>
          <w:rStyle w:val="default"/>
          <w:rFonts w:cs="FrankRuehl" w:hint="cs"/>
          <w:b/>
          <w:bCs/>
          <w:vanish/>
          <w:szCs w:val="20"/>
          <w:shd w:val="clear" w:color="auto" w:fill="FFFF99"/>
          <w:rtl/>
        </w:rPr>
      </w:pPr>
      <w:r w:rsidRPr="00164E8A">
        <w:rPr>
          <w:rStyle w:val="default"/>
          <w:rFonts w:cs="FrankRuehl" w:hint="cs"/>
          <w:b/>
          <w:bCs/>
          <w:vanish/>
          <w:szCs w:val="20"/>
          <w:shd w:val="clear" w:color="auto" w:fill="FFFF99"/>
          <w:rtl/>
        </w:rPr>
        <w:t>תיקון מס' 1</w:t>
      </w:r>
    </w:p>
    <w:p w14:paraId="637818E2" w14:textId="77777777" w:rsidR="00FC7F10" w:rsidRPr="00164E8A" w:rsidRDefault="00FC7F10">
      <w:pPr>
        <w:pStyle w:val="P22"/>
        <w:tabs>
          <w:tab w:val="left" w:pos="624"/>
        </w:tabs>
        <w:spacing w:before="0"/>
        <w:ind w:left="0" w:right="1134"/>
        <w:rPr>
          <w:rStyle w:val="default"/>
          <w:rFonts w:cs="FrankRuehl" w:hint="cs"/>
          <w:vanish/>
          <w:szCs w:val="20"/>
          <w:shd w:val="clear" w:color="auto" w:fill="FFFF99"/>
          <w:rtl/>
        </w:rPr>
      </w:pPr>
      <w:hyperlink r:id="rId6" w:history="1">
        <w:r w:rsidRPr="00164E8A">
          <w:rPr>
            <w:rStyle w:val="Hyperlink"/>
            <w:rFonts w:cs="FrankRuehl" w:hint="cs"/>
            <w:vanish/>
            <w:szCs w:val="20"/>
            <w:shd w:val="clear" w:color="auto" w:fill="FFFF99"/>
            <w:rtl/>
          </w:rPr>
          <w:t>ס"ח תשס"ב מס' 1849</w:t>
        </w:r>
      </w:hyperlink>
      <w:r w:rsidRPr="00164E8A">
        <w:rPr>
          <w:rStyle w:val="default"/>
          <w:rFonts w:cs="FrankRuehl" w:hint="cs"/>
          <w:vanish/>
          <w:szCs w:val="20"/>
          <w:shd w:val="clear" w:color="auto" w:fill="FFFF99"/>
          <w:rtl/>
        </w:rPr>
        <w:t xml:space="preserve"> מיום 13.6.2002 עמ' 426 (</w:t>
      </w:r>
      <w:hyperlink r:id="rId7" w:history="1">
        <w:r w:rsidRPr="00164E8A">
          <w:rPr>
            <w:rStyle w:val="Hyperlink"/>
            <w:rFonts w:cs="FrankRuehl" w:hint="cs"/>
            <w:vanish/>
            <w:szCs w:val="20"/>
            <w:shd w:val="clear" w:color="auto" w:fill="FFFF99"/>
            <w:rtl/>
          </w:rPr>
          <w:t>ה"ח 3097</w:t>
        </w:r>
      </w:hyperlink>
      <w:r w:rsidRPr="00164E8A">
        <w:rPr>
          <w:rStyle w:val="default"/>
          <w:rFonts w:cs="FrankRuehl" w:hint="cs"/>
          <w:vanish/>
          <w:szCs w:val="20"/>
          <w:shd w:val="clear" w:color="auto" w:fill="FFFF99"/>
          <w:rtl/>
        </w:rPr>
        <w:t>)</w:t>
      </w:r>
    </w:p>
    <w:p w14:paraId="115F73FD" w14:textId="77777777" w:rsidR="00FC7F10" w:rsidRPr="00164E8A" w:rsidRDefault="00FC7F10">
      <w:pPr>
        <w:pStyle w:val="P00"/>
        <w:ind w:left="0" w:right="1134"/>
        <w:rPr>
          <w:rStyle w:val="default"/>
          <w:rFonts w:ascii="FrankRuehl" w:hAnsi="FrankRuehl" w:cs="FrankRuehl"/>
          <w:vanish/>
          <w:sz w:val="22"/>
          <w:szCs w:val="22"/>
          <w:shd w:val="clear" w:color="auto" w:fill="FFFF99"/>
          <w:rtl/>
        </w:rPr>
      </w:pPr>
      <w:r w:rsidRPr="00164E8A">
        <w:rPr>
          <w:rStyle w:val="big-number"/>
          <w:rFonts w:ascii="FrankRuehl" w:hAnsi="FrankRuehl" w:cs="FrankRuehl"/>
          <w:vanish/>
          <w:sz w:val="22"/>
          <w:szCs w:val="22"/>
          <w:shd w:val="clear" w:color="auto" w:fill="FFFF99"/>
          <w:rtl/>
        </w:rPr>
        <w:t>3.</w:t>
      </w:r>
      <w:r w:rsidRPr="00164E8A">
        <w:rPr>
          <w:rStyle w:val="big-number"/>
          <w:rFonts w:ascii="FrankRuehl" w:hAnsi="FrankRuehl" w:cs="FrankRuehl"/>
          <w:vanish/>
          <w:sz w:val="22"/>
          <w:szCs w:val="22"/>
          <w:shd w:val="clear" w:color="auto" w:fill="FFFF99"/>
          <w:rtl/>
        </w:rPr>
        <w:tab/>
      </w:r>
      <w:r w:rsidRPr="00164E8A">
        <w:rPr>
          <w:rStyle w:val="default"/>
          <w:rFonts w:ascii="FrankRuehl" w:hAnsi="FrankRuehl" w:cs="FrankRuehl"/>
          <w:vanish/>
          <w:sz w:val="22"/>
          <w:szCs w:val="22"/>
          <w:shd w:val="clear" w:color="auto" w:fill="FFFF99"/>
          <w:rtl/>
        </w:rPr>
        <w:t>(</w:t>
      </w:r>
      <w:r w:rsidRPr="00164E8A">
        <w:rPr>
          <w:rStyle w:val="default"/>
          <w:rFonts w:ascii="FrankRuehl" w:hAnsi="FrankRuehl" w:cs="FrankRuehl" w:hint="cs"/>
          <w:vanish/>
          <w:sz w:val="22"/>
          <w:szCs w:val="22"/>
          <w:shd w:val="clear" w:color="auto" w:fill="FFFF99"/>
          <w:rtl/>
        </w:rPr>
        <w:t>א)</w:t>
      </w:r>
      <w:r w:rsidRPr="00164E8A">
        <w:rPr>
          <w:rStyle w:val="default"/>
          <w:rFonts w:ascii="FrankRuehl" w:hAnsi="FrankRuehl" w:cs="FrankRuehl"/>
          <w:vanish/>
          <w:sz w:val="22"/>
          <w:szCs w:val="22"/>
          <w:shd w:val="clear" w:color="auto" w:fill="FFFF99"/>
          <w:rtl/>
        </w:rPr>
        <w:tab/>
      </w:r>
      <w:r w:rsidRPr="00164E8A">
        <w:rPr>
          <w:rStyle w:val="default"/>
          <w:rFonts w:ascii="FrankRuehl" w:hAnsi="FrankRuehl" w:cs="FrankRuehl" w:hint="cs"/>
          <w:vanish/>
          <w:sz w:val="22"/>
          <w:szCs w:val="22"/>
          <w:shd w:val="clear" w:color="auto" w:fill="FFFF99"/>
          <w:rtl/>
        </w:rPr>
        <w:t>על אף האמור בכל דין, תהא רשות מקומית מוסמכת להתקין חוק עזר שיאסור קיום עינוגים ציבוריים ביום האבל</w:t>
      </w:r>
      <w:r w:rsidRPr="00164E8A">
        <w:rPr>
          <w:rStyle w:val="default"/>
          <w:rFonts w:ascii="FrankRuehl" w:hAnsi="FrankRuehl" w:cs="FrankRuehl" w:hint="cs"/>
          <w:vanish/>
          <w:sz w:val="22"/>
          <w:szCs w:val="22"/>
          <w:u w:val="single"/>
          <w:shd w:val="clear" w:color="auto" w:fill="FFFF99"/>
          <w:rtl/>
        </w:rPr>
        <w:t>, או פתיחת בתי אוכל בליל יום האבל, מתחילת האבל ועד לזרי</w:t>
      </w:r>
      <w:r w:rsidRPr="00164E8A">
        <w:rPr>
          <w:rStyle w:val="default"/>
          <w:rFonts w:ascii="FrankRuehl" w:hAnsi="FrankRuehl" w:cs="FrankRuehl"/>
          <w:vanish/>
          <w:sz w:val="22"/>
          <w:szCs w:val="22"/>
          <w:u w:val="single"/>
          <w:shd w:val="clear" w:color="auto" w:fill="FFFF99"/>
          <w:rtl/>
        </w:rPr>
        <w:t>ח</w:t>
      </w:r>
      <w:r w:rsidRPr="00164E8A">
        <w:rPr>
          <w:rStyle w:val="default"/>
          <w:rFonts w:ascii="FrankRuehl" w:hAnsi="FrankRuehl" w:cs="FrankRuehl" w:hint="cs"/>
          <w:vanish/>
          <w:sz w:val="22"/>
          <w:szCs w:val="22"/>
          <w:u w:val="single"/>
          <w:shd w:val="clear" w:color="auto" w:fill="FFFF99"/>
          <w:rtl/>
        </w:rPr>
        <w:t>ת השמש למחרתו</w:t>
      </w:r>
      <w:r w:rsidRPr="00164E8A">
        <w:rPr>
          <w:rStyle w:val="default"/>
          <w:rFonts w:ascii="FrankRuehl" w:hAnsi="FrankRuehl" w:cs="FrankRuehl" w:hint="cs"/>
          <w:vanish/>
          <w:sz w:val="22"/>
          <w:szCs w:val="22"/>
          <w:shd w:val="clear" w:color="auto" w:fill="FFFF99"/>
          <w:rtl/>
        </w:rPr>
        <w:t>.</w:t>
      </w:r>
    </w:p>
    <w:p w14:paraId="15F17B3E" w14:textId="77777777" w:rsidR="00FC7F10" w:rsidRPr="00164E8A" w:rsidRDefault="00FC7F10">
      <w:pPr>
        <w:pStyle w:val="P00"/>
        <w:spacing w:before="0"/>
        <w:ind w:left="0" w:right="1134"/>
        <w:rPr>
          <w:rStyle w:val="default"/>
          <w:rFonts w:ascii="FrankRuehl" w:hAnsi="FrankRuehl" w:cs="FrankRuehl"/>
          <w:vanish/>
          <w:sz w:val="22"/>
          <w:szCs w:val="22"/>
          <w:shd w:val="clear" w:color="auto" w:fill="FFFF99"/>
          <w:rtl/>
        </w:rPr>
      </w:pPr>
      <w:r w:rsidRPr="00164E8A">
        <w:rPr>
          <w:rFonts w:ascii="FrankRuehl" w:hAnsi="FrankRuehl"/>
          <w:vanish/>
          <w:sz w:val="22"/>
          <w:szCs w:val="22"/>
          <w:shd w:val="clear" w:color="auto" w:fill="FFFF99"/>
          <w:rtl/>
        </w:rPr>
        <w:tab/>
      </w:r>
      <w:r w:rsidRPr="00164E8A">
        <w:rPr>
          <w:rStyle w:val="default"/>
          <w:rFonts w:ascii="FrankRuehl" w:hAnsi="FrankRuehl" w:cs="FrankRuehl"/>
          <w:vanish/>
          <w:sz w:val="22"/>
          <w:szCs w:val="22"/>
          <w:shd w:val="clear" w:color="auto" w:fill="FFFF99"/>
          <w:rtl/>
        </w:rPr>
        <w:t>(</w:t>
      </w:r>
      <w:r w:rsidRPr="00164E8A">
        <w:rPr>
          <w:rStyle w:val="default"/>
          <w:rFonts w:ascii="FrankRuehl" w:hAnsi="FrankRuehl" w:cs="FrankRuehl" w:hint="cs"/>
          <w:vanish/>
          <w:sz w:val="22"/>
          <w:szCs w:val="22"/>
          <w:shd w:val="clear" w:color="auto" w:fill="FFFF99"/>
          <w:rtl/>
        </w:rPr>
        <w:t>ב)</w:t>
      </w:r>
      <w:r w:rsidRPr="00164E8A">
        <w:rPr>
          <w:rStyle w:val="default"/>
          <w:rFonts w:ascii="FrankRuehl" w:hAnsi="FrankRuehl" w:cs="FrankRuehl"/>
          <w:vanish/>
          <w:sz w:val="22"/>
          <w:szCs w:val="22"/>
          <w:shd w:val="clear" w:color="auto" w:fill="FFFF99"/>
          <w:rtl/>
        </w:rPr>
        <w:tab/>
      </w:r>
      <w:r w:rsidRPr="00164E8A">
        <w:rPr>
          <w:rStyle w:val="default"/>
          <w:rFonts w:ascii="FrankRuehl" w:hAnsi="FrankRuehl" w:cs="FrankRuehl" w:hint="cs"/>
          <w:vanish/>
          <w:sz w:val="22"/>
          <w:szCs w:val="22"/>
          <w:shd w:val="clear" w:color="auto" w:fill="FFFF99"/>
          <w:rtl/>
        </w:rPr>
        <w:t xml:space="preserve">לענין סעיף זה, "עינוג ציבורי" </w:t>
      </w:r>
      <w:r w:rsidR="00164E8A" w:rsidRPr="00164E8A">
        <w:rPr>
          <w:rStyle w:val="default"/>
          <w:rFonts w:ascii="FrankRuehl" w:hAnsi="FrankRuehl" w:cs="FrankRuehl"/>
          <w:vanish/>
          <w:sz w:val="22"/>
          <w:szCs w:val="22"/>
          <w:shd w:val="clear" w:color="auto" w:fill="FFFF99"/>
          <w:rtl/>
        </w:rPr>
        <w:t>–</w:t>
      </w:r>
      <w:r w:rsidRPr="00164E8A">
        <w:rPr>
          <w:rStyle w:val="default"/>
          <w:rFonts w:ascii="FrankRuehl" w:hAnsi="FrankRuehl" w:cs="FrankRuehl" w:hint="cs"/>
          <w:vanish/>
          <w:sz w:val="22"/>
          <w:szCs w:val="22"/>
          <w:shd w:val="clear" w:color="auto" w:fill="FFFF99"/>
          <w:rtl/>
        </w:rPr>
        <w:t xml:space="preserve"> כהגדרתו בחוק רישוי עסקים, תשכ"ח-1968, בסעיף 3(ב);</w:t>
      </w:r>
    </w:p>
    <w:p w14:paraId="6C11B431" w14:textId="77777777" w:rsidR="00FC7F10" w:rsidRDefault="00FC7F10">
      <w:pPr>
        <w:pStyle w:val="P22"/>
        <w:tabs>
          <w:tab w:val="left" w:pos="624"/>
        </w:tabs>
        <w:spacing w:before="0"/>
        <w:ind w:left="0" w:right="1134"/>
        <w:rPr>
          <w:rStyle w:val="default"/>
          <w:rFonts w:ascii="FrankRuehl" w:hAnsi="FrankRuehl" w:cs="FrankRuehl" w:hint="cs"/>
          <w:sz w:val="2"/>
          <w:szCs w:val="2"/>
          <w:u w:val="single"/>
          <w:shd w:val="clear" w:color="auto" w:fill="FFFF99"/>
          <w:rtl/>
        </w:rPr>
      </w:pPr>
      <w:r w:rsidRPr="00164E8A">
        <w:rPr>
          <w:rFonts w:ascii="FrankRuehl" w:hAnsi="FrankRuehl" w:cs="FrankRuehl"/>
          <w:vanish/>
          <w:sz w:val="22"/>
          <w:szCs w:val="22"/>
          <w:shd w:val="clear" w:color="auto" w:fill="FFFF99"/>
          <w:rtl/>
        </w:rPr>
        <w:tab/>
      </w:r>
      <w:r w:rsidRPr="00164E8A">
        <w:rPr>
          <w:rStyle w:val="default"/>
          <w:rFonts w:ascii="FrankRuehl" w:hAnsi="FrankRuehl" w:cs="FrankRuehl"/>
          <w:vanish/>
          <w:sz w:val="22"/>
          <w:szCs w:val="22"/>
          <w:u w:val="single"/>
          <w:shd w:val="clear" w:color="auto" w:fill="FFFF99"/>
          <w:rtl/>
        </w:rPr>
        <w:t>"</w:t>
      </w:r>
      <w:r w:rsidRPr="00164E8A">
        <w:rPr>
          <w:rStyle w:val="default"/>
          <w:rFonts w:ascii="FrankRuehl" w:hAnsi="FrankRuehl" w:cs="FrankRuehl" w:hint="cs"/>
          <w:vanish/>
          <w:sz w:val="22"/>
          <w:szCs w:val="22"/>
          <w:u w:val="single"/>
          <w:shd w:val="clear" w:color="auto" w:fill="FFFF99"/>
          <w:rtl/>
        </w:rPr>
        <w:t xml:space="preserve">בתי אוכל" </w:t>
      </w:r>
      <w:r w:rsidR="00164E8A" w:rsidRPr="00164E8A">
        <w:rPr>
          <w:rStyle w:val="default"/>
          <w:rFonts w:ascii="FrankRuehl" w:hAnsi="FrankRuehl" w:cs="FrankRuehl"/>
          <w:vanish/>
          <w:sz w:val="22"/>
          <w:szCs w:val="22"/>
          <w:u w:val="single"/>
          <w:shd w:val="clear" w:color="auto" w:fill="FFFF99"/>
          <w:rtl/>
        </w:rPr>
        <w:t>–</w:t>
      </w:r>
      <w:r w:rsidRPr="00164E8A">
        <w:rPr>
          <w:rStyle w:val="default"/>
          <w:rFonts w:ascii="FrankRuehl" w:hAnsi="FrankRuehl" w:cs="FrankRuehl" w:hint="cs"/>
          <w:vanish/>
          <w:sz w:val="22"/>
          <w:szCs w:val="22"/>
          <w:u w:val="single"/>
          <w:shd w:val="clear" w:color="auto" w:fill="FFFF99"/>
          <w:rtl/>
        </w:rPr>
        <w:t xml:space="preserve"> לרבות בתי קפה, מסעדות, בתי תה, בתי משקה, מזנונים ומוסדות אחרים וכיו"ב, כמשמעותם בסעיף 249 (20) לפקודת העיריות.</w:t>
      </w:r>
      <w:bookmarkEnd w:id="3"/>
    </w:p>
    <w:p w14:paraId="7E3A9E41" w14:textId="77777777" w:rsidR="00FC7F10" w:rsidRDefault="00FC7F10">
      <w:pPr>
        <w:pStyle w:val="P00"/>
        <w:spacing w:before="72"/>
        <w:ind w:left="0" w:right="1134"/>
        <w:rPr>
          <w:rStyle w:val="default"/>
          <w:rFonts w:cs="FrankRuehl"/>
          <w:rtl/>
        </w:rPr>
      </w:pPr>
      <w:bookmarkStart w:id="4" w:name="Seif3"/>
      <w:bookmarkEnd w:id="4"/>
      <w:r>
        <w:rPr>
          <w:lang w:val="he-IL"/>
        </w:rPr>
        <w:pict w14:anchorId="689E326D">
          <v:rect id="_x0000_s1030" style="position:absolute;left:0;text-align:left;margin-left:464.5pt;margin-top:8.05pt;width:75.05pt;height:10pt;z-index:251657216" o:allowincell="f" filled="f" stroked="f" strokecolor="lime" strokeweight=".25pt">
            <v:textbox inset="0,0,0,0">
              <w:txbxContent>
                <w:p w14:paraId="71B32E9D" w14:textId="77777777" w:rsidR="00FC7F10" w:rsidRDefault="00FC7F10">
                  <w:pPr>
                    <w:spacing w:line="160" w:lineRule="exact"/>
                    <w:jc w:val="left"/>
                    <w:rPr>
                      <w:rFonts w:cs="Miriam"/>
                      <w:noProof/>
                      <w:szCs w:val="18"/>
                      <w:rtl/>
                    </w:rPr>
                  </w:pPr>
                  <w:r>
                    <w:rPr>
                      <w:rFonts w:cs="Miriam"/>
                      <w:szCs w:val="18"/>
                      <w:rtl/>
                    </w:rPr>
                    <w:t>ת</w:t>
                  </w:r>
                  <w:r>
                    <w:rPr>
                      <w:rFonts w:cs="Miriam" w:hint="cs"/>
                      <w:szCs w:val="18"/>
                      <w:rtl/>
                    </w:rPr>
                    <w:t>חולת האי</w:t>
                  </w:r>
                  <w:r>
                    <w:rPr>
                      <w:rFonts w:cs="Miriam"/>
                      <w:szCs w:val="18"/>
                      <w:rtl/>
                    </w:rPr>
                    <w:t>ס</w:t>
                  </w:r>
                  <w:r>
                    <w:rPr>
                      <w:rFonts w:cs="Miriam" w:hint="cs"/>
                      <w:szCs w:val="18"/>
                      <w:rtl/>
                    </w:rPr>
                    <w:t>ור</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שות מקומית רשאית להטיל איסור כאמור בסעיף 3 על כל אזור שיפוטה או על חלק מסוים ממנו, ובלבד שיחול על כל האוכלוסיה באותו אזור או באותו חלק ממנו.</w:t>
      </w:r>
    </w:p>
    <w:p w14:paraId="29D61787" w14:textId="77777777" w:rsidR="00FC7F10" w:rsidRDefault="00FC7F10">
      <w:pPr>
        <w:pStyle w:val="P00"/>
        <w:spacing w:before="72"/>
        <w:ind w:left="0" w:right="1134"/>
        <w:rPr>
          <w:rStyle w:val="default"/>
          <w:rFonts w:cs="FrankRuehl"/>
          <w:rtl/>
        </w:rPr>
      </w:pPr>
      <w:bookmarkStart w:id="5" w:name="Seif4"/>
      <w:bookmarkEnd w:id="5"/>
      <w:r>
        <w:rPr>
          <w:lang w:val="he-IL"/>
        </w:rPr>
        <w:pict w14:anchorId="180171F1">
          <v:rect id="_x0000_s1031" style="position:absolute;left:0;text-align:left;margin-left:464.5pt;margin-top:8.05pt;width:75.05pt;height:10pt;z-index:251658240" o:allowincell="f" filled="f" stroked="f" strokecolor="lime" strokeweight=".25pt">
            <v:textbox inset="0,0,0,0">
              <w:txbxContent>
                <w:p w14:paraId="417ABC65" w14:textId="77777777" w:rsidR="00FC7F10" w:rsidRDefault="00FC7F10">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שות מקומית רשאית להסמיך מפקחים לצורך ביצוע הוראות חוק זה.</w:t>
      </w:r>
    </w:p>
    <w:p w14:paraId="15516FE3" w14:textId="77777777" w:rsidR="00FC7F10" w:rsidRDefault="00FC7F10">
      <w:pPr>
        <w:pStyle w:val="P00"/>
        <w:spacing w:before="72"/>
        <w:ind w:left="0" w:right="1134"/>
        <w:rPr>
          <w:rStyle w:val="default"/>
          <w:rFonts w:cs="FrankRuehl"/>
          <w:rtl/>
        </w:rPr>
      </w:pPr>
      <w:bookmarkStart w:id="6" w:name="Seif5"/>
      <w:bookmarkEnd w:id="6"/>
      <w:r>
        <w:rPr>
          <w:lang w:val="he-IL"/>
        </w:rPr>
        <w:pict w14:anchorId="0A7CE513">
          <v:rect id="_x0000_s1032" style="position:absolute;left:0;text-align:left;margin-left:464.5pt;margin-top:8.05pt;width:75.05pt;height:10pt;z-index:251659264" o:allowincell="f" filled="f" stroked="f" strokecolor="lime" strokeweight=".25pt">
            <v:textbox inset="0,0,0,0">
              <w:txbxContent>
                <w:p w14:paraId="63EC2874" w14:textId="77777777" w:rsidR="00FC7F10" w:rsidRDefault="00FC7F10">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ונשו של העובר על חוק עזר שהותקן לפי חוק זה כעונשו של העובר על חוק עזר שהותקן לפי פקודת העיריות או לפי פקודת המועצות המקומיות, הכל לפי הענין.</w:t>
      </w:r>
    </w:p>
    <w:p w14:paraId="703E02C5" w14:textId="77777777" w:rsidR="00FC7F10" w:rsidRDefault="00FC7F10">
      <w:pPr>
        <w:pStyle w:val="P00"/>
        <w:spacing w:before="72"/>
        <w:ind w:left="0" w:right="1134"/>
        <w:rPr>
          <w:rStyle w:val="default"/>
          <w:rFonts w:cs="FrankRuehl"/>
          <w:rtl/>
        </w:rPr>
      </w:pPr>
      <w:bookmarkStart w:id="7" w:name="Seif6"/>
      <w:bookmarkEnd w:id="7"/>
      <w:r>
        <w:rPr>
          <w:lang w:val="he-IL"/>
        </w:rPr>
        <w:pict w14:anchorId="746CB80E">
          <v:rect id="_x0000_s1033" style="position:absolute;left:0;text-align:left;margin-left:464.5pt;margin-top:8.05pt;width:75.05pt;height:11.25pt;z-index:251660288" o:allowincell="f" filled="f" stroked="f" strokecolor="lime" strokeweight=".25pt">
            <v:textbox inset="0,0,0,0">
              <w:txbxContent>
                <w:p w14:paraId="19D1AF9D" w14:textId="77777777" w:rsidR="00FC7F10" w:rsidRDefault="00FC7F10">
                  <w:pPr>
                    <w:spacing w:line="160" w:lineRule="exact"/>
                    <w:jc w:val="left"/>
                    <w:rPr>
                      <w:rFonts w:cs="Miriam"/>
                      <w:noProof/>
                      <w:szCs w:val="18"/>
                      <w:rtl/>
                    </w:rPr>
                  </w:pPr>
                  <w:r>
                    <w:rPr>
                      <w:rFonts w:cs="Miriam"/>
                      <w:szCs w:val="18"/>
                      <w:rtl/>
                    </w:rPr>
                    <w:t>ב</w:t>
                  </w:r>
                  <w:r>
                    <w:rPr>
                      <w:rFonts w:cs="Miriam" w:hint="cs"/>
                      <w:szCs w:val="18"/>
                      <w:rtl/>
                    </w:rPr>
                    <w:t xml:space="preserve">ית המשפט </w:t>
                  </w:r>
                  <w:r>
                    <w:rPr>
                      <w:rFonts w:cs="Miriam"/>
                      <w:szCs w:val="18"/>
                      <w:rtl/>
                    </w:rPr>
                    <w:t>ה</w:t>
                  </w:r>
                  <w:r>
                    <w:rPr>
                      <w:rFonts w:cs="Miriam" w:hint="cs"/>
                      <w:szCs w:val="18"/>
                      <w:rtl/>
                    </w:rPr>
                    <w:t>מוסמך</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ית המשפט לענינים מקומיים מוסמך לדון בעבירות לפי חוק זה.</w:t>
      </w:r>
    </w:p>
    <w:p w14:paraId="15FD3F52" w14:textId="77777777" w:rsidR="00FC7F10" w:rsidRDefault="00FC7F10">
      <w:pPr>
        <w:pStyle w:val="P00"/>
        <w:spacing w:before="72"/>
        <w:ind w:left="0" w:right="1134"/>
        <w:rPr>
          <w:rStyle w:val="default"/>
          <w:rFonts w:cs="FrankRuehl"/>
          <w:rtl/>
        </w:rPr>
      </w:pPr>
      <w:bookmarkStart w:id="8" w:name="Seif7"/>
      <w:bookmarkEnd w:id="8"/>
      <w:r>
        <w:rPr>
          <w:lang w:val="he-IL"/>
        </w:rPr>
        <w:pict w14:anchorId="09DDED19">
          <v:rect id="_x0000_s1034" style="position:absolute;left:0;text-align:left;margin-left:464.5pt;margin-top:8.05pt;width:75.05pt;height:10pt;z-index:251661312" o:allowincell="f" filled="f" stroked="f" strokecolor="lime" strokeweight=".25pt">
            <v:textbox inset="0,0,0,0">
              <w:txbxContent>
                <w:p w14:paraId="7FB1CA1E" w14:textId="77777777" w:rsidR="00FC7F10" w:rsidRDefault="00FC7F10">
                  <w:pPr>
                    <w:spacing w:line="160" w:lineRule="exact"/>
                    <w:jc w:val="left"/>
                    <w:rPr>
                      <w:rFonts w:cs="Miriam"/>
                      <w:noProof/>
                      <w:szCs w:val="18"/>
                      <w:rtl/>
                    </w:rPr>
                  </w:pPr>
                  <w:r>
                    <w:rPr>
                      <w:rFonts w:cs="Miriam"/>
                      <w:szCs w:val="18"/>
                      <w:rtl/>
                    </w:rPr>
                    <w:t>ה</w:t>
                  </w:r>
                  <w:r>
                    <w:rPr>
                      <w:rFonts w:cs="Miriam" w:hint="cs"/>
                      <w:szCs w:val="18"/>
                      <w:rtl/>
                    </w:rPr>
                    <w:t xml:space="preserve">וראת </w:t>
                  </w:r>
                  <w:r>
                    <w:rPr>
                      <w:rFonts w:cs="Miriam"/>
                      <w:szCs w:val="18"/>
                      <w:rtl/>
                    </w:rPr>
                    <w:t>מ</w:t>
                  </w:r>
                  <w:r>
                    <w:rPr>
                      <w:rFonts w:cs="Miriam" w:hint="cs"/>
                      <w:szCs w:val="18"/>
                      <w:rtl/>
                    </w:rPr>
                    <w:t>עבר</w:t>
                  </w:r>
                </w:p>
              </w:txbxContent>
            </v:textbox>
            <w10:anchorlock/>
          </v:rect>
        </w:pict>
      </w:r>
      <w:r>
        <w:rPr>
          <w:rStyle w:val="big-number"/>
          <w:rtl/>
        </w:rPr>
        <w:t>8.</w:t>
      </w:r>
      <w:r>
        <w:rPr>
          <w:rStyle w:val="big-number"/>
          <w:rtl/>
        </w:rPr>
        <w:tab/>
      </w:r>
      <w:r>
        <w:rPr>
          <w:rStyle w:val="default"/>
          <w:rFonts w:cs="FrankRuehl"/>
          <w:rtl/>
        </w:rPr>
        <w:t>ח</w:t>
      </w:r>
      <w:r>
        <w:rPr>
          <w:rStyle w:val="default"/>
          <w:rFonts w:cs="FrankRuehl" w:hint="cs"/>
          <w:rtl/>
        </w:rPr>
        <w:t>וק עזר העוסק באיסורים החלים בתשעה באב, שהתקינה רשות מקומית לפני תחילתו של חוק זה, ואשר היה נעשה כדין אילו חוק זה היה בתוקפו אותה שעה, יראוהו מיום תחילתו של חוק זה כאילו הותקן לפיו.</w:t>
      </w:r>
    </w:p>
    <w:p w14:paraId="2F72FB17" w14:textId="77777777" w:rsidR="00FC7F10" w:rsidRDefault="00FC7F10">
      <w:pPr>
        <w:pStyle w:val="P00"/>
        <w:spacing w:before="72"/>
        <w:ind w:left="0" w:right="1134"/>
        <w:rPr>
          <w:rStyle w:val="default"/>
          <w:rFonts w:cs="FrankRuehl"/>
          <w:rtl/>
        </w:rPr>
      </w:pPr>
      <w:bookmarkStart w:id="9" w:name="Seif8"/>
      <w:bookmarkEnd w:id="9"/>
      <w:r>
        <w:rPr>
          <w:lang w:val="he-IL"/>
        </w:rPr>
        <w:pict w14:anchorId="21DD7CE0">
          <v:rect id="_x0000_s1035" style="position:absolute;left:0;text-align:left;margin-left:464.5pt;margin-top:8.05pt;width:75.05pt;height:18.2pt;z-index:251662336" o:allowincell="f" filled="f" stroked="f" strokecolor="lime" strokeweight=".25pt">
            <v:textbox inset="0,0,0,0">
              <w:txbxContent>
                <w:p w14:paraId="41DD4CC4" w14:textId="77777777" w:rsidR="00FC7F10" w:rsidRDefault="00FC7F10">
                  <w:pPr>
                    <w:spacing w:line="160" w:lineRule="exact"/>
                    <w:jc w:val="left"/>
                    <w:rPr>
                      <w:rFonts w:cs="Miriam"/>
                      <w:noProof/>
                      <w:szCs w:val="18"/>
                      <w:rtl/>
                    </w:rPr>
                  </w:pPr>
                  <w:r>
                    <w:rPr>
                      <w:rFonts w:cs="Miriam"/>
                      <w:szCs w:val="18"/>
                      <w:rtl/>
                    </w:rPr>
                    <w:t>ת</w:t>
                  </w:r>
                  <w:r>
                    <w:rPr>
                      <w:rFonts w:cs="Miriam" w:hint="cs"/>
                      <w:szCs w:val="18"/>
                      <w:rtl/>
                    </w:rPr>
                    <w:t xml:space="preserve">יקון פקודת </w:t>
                  </w:r>
                  <w:r>
                    <w:rPr>
                      <w:rFonts w:cs="Miriam"/>
                      <w:szCs w:val="18"/>
                      <w:rtl/>
                    </w:rPr>
                    <w:t>ה</w:t>
                  </w:r>
                  <w:r>
                    <w:rPr>
                      <w:rFonts w:cs="Miriam" w:hint="cs"/>
                      <w:szCs w:val="18"/>
                      <w:rtl/>
                    </w:rPr>
                    <w:t xml:space="preserve">עיריות </w:t>
                  </w:r>
                  <w:r>
                    <w:rPr>
                      <w:rFonts w:cs="Miriam"/>
                      <w:szCs w:val="18"/>
                      <w:rtl/>
                    </w:rPr>
                    <w:t>–</w:t>
                  </w:r>
                  <w:r>
                    <w:rPr>
                      <w:rFonts w:cs="Miriam" w:hint="cs"/>
                      <w:szCs w:val="18"/>
                      <w:rtl/>
                    </w:rPr>
                    <w:t xml:space="preserve"> </w:t>
                  </w:r>
                  <w:r>
                    <w:rPr>
                      <w:rFonts w:cs="Miriam"/>
                      <w:szCs w:val="18"/>
                      <w:rtl/>
                    </w:rPr>
                    <w:t>מ</w:t>
                  </w:r>
                  <w:r>
                    <w:rPr>
                      <w:rFonts w:cs="Miriam" w:hint="cs"/>
                      <w:szCs w:val="18"/>
                      <w:rtl/>
                    </w:rPr>
                    <w:t>ס' 64</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פקודת העיריות, בסעיף 249 ב</w:t>
      </w:r>
      <w:r>
        <w:rPr>
          <w:rStyle w:val="default"/>
          <w:rFonts w:cs="FrankRuehl"/>
          <w:rtl/>
        </w:rPr>
        <w:t>פ</w:t>
      </w:r>
      <w:r>
        <w:rPr>
          <w:rStyle w:val="default"/>
          <w:rFonts w:cs="FrankRuehl" w:hint="cs"/>
          <w:rtl/>
        </w:rPr>
        <w:t xml:space="preserve">סקה (21), אחרי "שבמסורת דתית" יבוא "ולגבי יום תשעה באב", ובסופו יבוא "יום תשעה באב" </w:t>
      </w:r>
      <w:r w:rsidR="00164E8A">
        <w:rPr>
          <w:rStyle w:val="default"/>
          <w:rFonts w:cs="FrankRuehl"/>
          <w:rtl/>
        </w:rPr>
        <w:t>–</w:t>
      </w:r>
      <w:r>
        <w:rPr>
          <w:rStyle w:val="default"/>
          <w:rFonts w:cs="FrankRuehl" w:hint="cs"/>
          <w:rtl/>
        </w:rPr>
        <w:t xml:space="preserve"> כמשמעותו בחוק איסור פתיחת בתי עינוגים בתשעה באב (הסמכה מיוחדת), תשנ"ח-1997. </w:t>
      </w:r>
    </w:p>
    <w:p w14:paraId="69177413" w14:textId="77777777" w:rsidR="00FC7F10" w:rsidRDefault="00FC7F10">
      <w:pPr>
        <w:pStyle w:val="P00"/>
        <w:spacing w:before="72"/>
        <w:ind w:left="0" w:right="1134"/>
        <w:rPr>
          <w:rStyle w:val="default"/>
          <w:rFonts w:cs="FrankRuehl"/>
          <w:rtl/>
        </w:rPr>
      </w:pPr>
    </w:p>
    <w:p w14:paraId="43CCEB1F" w14:textId="77777777" w:rsidR="00FC7F10" w:rsidRDefault="00FC7F10">
      <w:pPr>
        <w:pStyle w:val="P00"/>
        <w:spacing w:before="72"/>
        <w:ind w:left="0" w:right="1134"/>
        <w:rPr>
          <w:rStyle w:val="default"/>
          <w:rFonts w:cs="FrankRuehl"/>
          <w:rtl/>
        </w:rPr>
      </w:pPr>
    </w:p>
    <w:p w14:paraId="2764E585" w14:textId="77777777" w:rsidR="00FC7F10" w:rsidRDefault="00FC7F10" w:rsidP="00164E8A">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בנימין נתניהו</w:t>
      </w:r>
    </w:p>
    <w:p w14:paraId="64C5F050" w14:textId="77777777" w:rsidR="00FC7F10" w:rsidRDefault="00FC7F10" w:rsidP="00164E8A">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p>
    <w:p w14:paraId="18A11477" w14:textId="77777777" w:rsidR="00FC7F10" w:rsidRDefault="00FC7F10" w:rsidP="00164E8A">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עזר ויצמן</w:t>
      </w:r>
      <w:r>
        <w:rPr>
          <w:sz w:val="26"/>
          <w:szCs w:val="26"/>
          <w:rtl/>
        </w:rPr>
        <w:tab/>
      </w:r>
      <w:r>
        <w:rPr>
          <w:sz w:val="26"/>
          <w:szCs w:val="26"/>
          <w:rtl/>
        </w:rPr>
        <w:tab/>
      </w:r>
      <w:r>
        <w:rPr>
          <w:rFonts w:hint="cs"/>
          <w:sz w:val="26"/>
          <w:szCs w:val="26"/>
          <w:rtl/>
        </w:rPr>
        <w:t>דן תיכון</w:t>
      </w:r>
    </w:p>
    <w:p w14:paraId="769AE62E" w14:textId="77777777" w:rsidR="00FC7F10" w:rsidRDefault="00FC7F10" w:rsidP="00164E8A">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14:paraId="2F7D6175" w14:textId="77777777" w:rsidR="00FC7F10" w:rsidRDefault="00FC7F10">
      <w:pPr>
        <w:pStyle w:val="P00"/>
        <w:spacing w:before="72"/>
        <w:ind w:left="0" w:right="1134"/>
        <w:rPr>
          <w:rStyle w:val="default"/>
          <w:rFonts w:cs="FrankRuehl" w:hint="cs"/>
          <w:rtl/>
        </w:rPr>
      </w:pPr>
    </w:p>
    <w:p w14:paraId="78108AF6" w14:textId="77777777" w:rsidR="00FC7F10" w:rsidRDefault="00FC7F10">
      <w:pPr>
        <w:pStyle w:val="P00"/>
        <w:spacing w:before="72"/>
        <w:ind w:left="0" w:right="1134"/>
        <w:rPr>
          <w:rStyle w:val="default"/>
          <w:rFonts w:cs="FrankRuehl"/>
          <w:rtl/>
        </w:rPr>
      </w:pPr>
    </w:p>
    <w:p w14:paraId="2DAFE7D2" w14:textId="77777777" w:rsidR="00FC7F10" w:rsidRDefault="00FC7F10">
      <w:pPr>
        <w:pStyle w:val="P00"/>
        <w:spacing w:before="72"/>
        <w:ind w:left="0" w:right="1134"/>
        <w:rPr>
          <w:rStyle w:val="default"/>
          <w:rFonts w:cs="FrankRuehl"/>
          <w:rtl/>
        </w:rPr>
      </w:pPr>
      <w:bookmarkStart w:id="10" w:name="LawPartEnd"/>
    </w:p>
    <w:bookmarkEnd w:id="10"/>
    <w:p w14:paraId="505D1EDB" w14:textId="77777777" w:rsidR="00FC7F10" w:rsidRDefault="00FC7F10">
      <w:pPr>
        <w:pStyle w:val="P00"/>
        <w:spacing w:before="72"/>
        <w:ind w:left="0" w:right="1134"/>
        <w:rPr>
          <w:rStyle w:val="default"/>
          <w:rFonts w:cs="FrankRuehl"/>
          <w:rtl/>
        </w:rPr>
      </w:pPr>
    </w:p>
    <w:sectPr w:rsidR="00FC7F1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F2BB" w14:textId="77777777" w:rsidR="00AB5D61" w:rsidRDefault="00AB5D61">
      <w:r>
        <w:separator/>
      </w:r>
    </w:p>
  </w:endnote>
  <w:endnote w:type="continuationSeparator" w:id="0">
    <w:p w14:paraId="35B31BF3" w14:textId="77777777" w:rsidR="00AB5D61" w:rsidRDefault="00AB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E428" w14:textId="77777777" w:rsidR="00FC7F10" w:rsidRDefault="00FC7F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548541" w14:textId="77777777" w:rsidR="00FC7F10" w:rsidRDefault="00FC7F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890DB0" w14:textId="77777777" w:rsidR="00FC7F10" w:rsidRDefault="00FC7F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C:\Yael\hakika\Revadim\019M2_001.doc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479D" w14:textId="77777777" w:rsidR="00FC7F10" w:rsidRDefault="00FC7F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4E8A">
      <w:rPr>
        <w:rFonts w:hAnsi="FrankRuehl" w:cs="FrankRuehl"/>
        <w:noProof/>
        <w:sz w:val="24"/>
        <w:szCs w:val="24"/>
        <w:rtl/>
      </w:rPr>
      <w:t>2</w:t>
    </w:r>
    <w:r>
      <w:rPr>
        <w:rFonts w:hAnsi="FrankRuehl" w:cs="FrankRuehl"/>
        <w:sz w:val="24"/>
        <w:szCs w:val="24"/>
        <w:rtl/>
      </w:rPr>
      <w:fldChar w:fldCharType="end"/>
    </w:r>
  </w:p>
  <w:p w14:paraId="4A381AA4" w14:textId="77777777" w:rsidR="00FC7F10" w:rsidRDefault="00FC7F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62DFCA" w14:textId="77777777" w:rsidR="00FC7F10" w:rsidRDefault="00FC7F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C:\Yael\hakika\Revadim\019M2_001.doc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57F8" w14:textId="77777777" w:rsidR="00AB5D61" w:rsidRDefault="00AB5D61">
      <w:pPr>
        <w:spacing w:before="60" w:line="240" w:lineRule="auto"/>
        <w:ind w:right="1134"/>
      </w:pPr>
      <w:r>
        <w:separator/>
      </w:r>
    </w:p>
  </w:footnote>
  <w:footnote w:type="continuationSeparator" w:id="0">
    <w:p w14:paraId="48F845A7" w14:textId="77777777" w:rsidR="00AB5D61" w:rsidRDefault="00AB5D61">
      <w:pPr>
        <w:spacing w:before="60" w:line="240" w:lineRule="auto"/>
        <w:ind w:right="1134"/>
      </w:pPr>
      <w:r>
        <w:separator/>
      </w:r>
    </w:p>
  </w:footnote>
  <w:footnote w:id="1">
    <w:p w14:paraId="4955C1B4" w14:textId="77777777" w:rsidR="00FC7F10" w:rsidRDefault="00FC7F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תשנ"ח מס' 1637</w:t>
        </w:r>
      </w:hyperlink>
      <w:r>
        <w:rPr>
          <w:rFonts w:hint="cs"/>
          <w:sz w:val="20"/>
          <w:rtl/>
        </w:rPr>
        <w:t xml:space="preserve"> מיום 14.11.1997 עמ' 8 (</w:t>
      </w:r>
      <w:hyperlink r:id="rId2" w:history="1">
        <w:r>
          <w:rPr>
            <w:rStyle w:val="Hyperlink"/>
            <w:rFonts w:hint="cs"/>
            <w:sz w:val="20"/>
            <w:rtl/>
          </w:rPr>
          <w:t>ה"ח תשנ"ז מס' 2644</w:t>
        </w:r>
      </w:hyperlink>
      <w:r>
        <w:rPr>
          <w:rFonts w:hint="cs"/>
          <w:sz w:val="20"/>
          <w:rtl/>
        </w:rPr>
        <w:t xml:space="preserve"> עמ' 494).</w:t>
      </w:r>
    </w:p>
    <w:p w14:paraId="79F4F6E5" w14:textId="77777777" w:rsidR="00FC7F10" w:rsidRDefault="00FC7F1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תשס"ב מס' 1849</w:t>
        </w:r>
      </w:hyperlink>
      <w:r>
        <w:rPr>
          <w:rFonts w:hint="cs"/>
          <w:sz w:val="20"/>
          <w:rtl/>
        </w:rPr>
        <w:t xml:space="preserve"> מיום 13.6.2002 עמ' 426 (</w:t>
      </w:r>
      <w:hyperlink r:id="rId4" w:history="1">
        <w:r>
          <w:rPr>
            <w:rStyle w:val="Hyperlink"/>
            <w:rFonts w:hint="cs"/>
            <w:sz w:val="20"/>
            <w:rtl/>
          </w:rPr>
          <w:t>ה"ח תשס"ב מס' 3097</w:t>
        </w:r>
      </w:hyperlink>
      <w:r>
        <w:rPr>
          <w:rFonts w:hint="cs"/>
          <w:sz w:val="20"/>
          <w:rtl/>
        </w:rPr>
        <w:t xml:space="preserve"> עמ' 400) </w:t>
      </w:r>
      <w:r>
        <w:rPr>
          <w:sz w:val="20"/>
          <w:rtl/>
        </w:rPr>
        <w:t>–</w:t>
      </w:r>
      <w:r>
        <w:rPr>
          <w:rFonts w:hint="cs"/>
          <w:sz w:val="20"/>
          <w:rtl/>
        </w:rPr>
        <w:t xml:space="preserve"> תיקון מס' 1; ר' סעיף 2 לענין תוקף חוק עזר.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74B9" w14:textId="77777777" w:rsidR="00FC7F10" w:rsidRDefault="00FC7F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איסור פתיחת בתי עינוגים בתשעה באב (הסמכה מיוחדת), תשנ"ח- 1997</w:t>
    </w:r>
  </w:p>
  <w:p w14:paraId="2BD3CF06" w14:textId="77777777" w:rsidR="00FC7F10" w:rsidRDefault="00FC7F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B9EFA5" w14:textId="77777777" w:rsidR="00FC7F10" w:rsidRDefault="00FC7F1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6FCC" w14:textId="77777777" w:rsidR="00FC7F10" w:rsidRDefault="00FC7F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איסור פתיחת בתי עינוגים בתשעה באב (הסמכה מיוחדת), תשנ"ח-1997</w:t>
    </w:r>
  </w:p>
  <w:p w14:paraId="6762A971" w14:textId="77777777" w:rsidR="00FC7F10" w:rsidRDefault="00FC7F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0B4711" w14:textId="77777777" w:rsidR="00FC7F10" w:rsidRDefault="00FC7F1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5BE3"/>
    <w:rsid w:val="00164E8A"/>
    <w:rsid w:val="00175BE3"/>
    <w:rsid w:val="00AB5D61"/>
    <w:rsid w:val="00BD21E8"/>
    <w:rsid w:val="00FC7F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4B134F"/>
  <w15:chartTrackingRefBased/>
  <w15:docId w15:val="{6DB57AFC-BF80-4BE1-BCA5-D24179B7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P22">
    <w:name w:val="P22"/>
    <w:basedOn w:val="P00"/>
    <w:pPr>
      <w:tabs>
        <w:tab w:val="clear" w:pos="624"/>
        <w:tab w:val="clear" w:pos="1021"/>
      </w:tabs>
      <w:ind w:right="1021"/>
    </w:pPr>
    <w:rPr>
      <w:rFonts w:cs="Times New Roman"/>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309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84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849.pdf" TargetMode="External"/><Relationship Id="rId2" Type="http://schemas.openxmlformats.org/officeDocument/2006/relationships/hyperlink" Target="http://www.nevo.co.il/Law_word/law17/PROP-2644.pdf" TargetMode="External"/><Relationship Id="rId1" Type="http://schemas.openxmlformats.org/officeDocument/2006/relationships/hyperlink" Target="http://www.nevo.co.il/Law_word/law14/LAW-1637.pdf" TargetMode="External"/><Relationship Id="rId4" Type="http://schemas.openxmlformats.org/officeDocument/2006/relationships/hyperlink" Target="http://www.nevo.co.il/Law_word/law17/PROP-30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2/19</vt:lpstr>
    </vt:vector>
  </TitlesOfParts>
  <Company/>
  <LinksUpToDate>false</LinksUpToDate>
  <CharactersWithSpaces>3186</CharactersWithSpaces>
  <SharedDoc>false</SharedDoc>
  <HLinks>
    <vt:vector size="90" baseType="variant">
      <vt:variant>
        <vt:i4>917623</vt:i4>
      </vt:variant>
      <vt:variant>
        <vt:i4>57</vt:i4>
      </vt:variant>
      <vt:variant>
        <vt:i4>0</vt:i4>
      </vt:variant>
      <vt:variant>
        <vt:i4>5</vt:i4>
      </vt:variant>
      <vt:variant>
        <vt:lpwstr>http://www.nevo.co.il/Law_word/law17/PROP-3097.pdf</vt:lpwstr>
      </vt:variant>
      <vt:variant>
        <vt:lpwstr/>
      </vt:variant>
      <vt:variant>
        <vt:i4>7995400</vt:i4>
      </vt:variant>
      <vt:variant>
        <vt:i4>54</vt:i4>
      </vt:variant>
      <vt:variant>
        <vt:i4>0</vt:i4>
      </vt:variant>
      <vt:variant>
        <vt:i4>5</vt:i4>
      </vt:variant>
      <vt:variant>
        <vt:lpwstr>http://www.nevo.co.il/Law_word/law14/LAW-1849.pdf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917623</vt:i4>
      </vt:variant>
      <vt:variant>
        <vt:i4>9</vt:i4>
      </vt:variant>
      <vt:variant>
        <vt:i4>0</vt:i4>
      </vt:variant>
      <vt:variant>
        <vt:i4>5</vt:i4>
      </vt:variant>
      <vt:variant>
        <vt:lpwstr>http://www.nevo.co.il/Law_word/law17/PROP-3097.pdf</vt:lpwstr>
      </vt:variant>
      <vt:variant>
        <vt:lpwstr/>
      </vt:variant>
      <vt:variant>
        <vt:i4>7995400</vt:i4>
      </vt:variant>
      <vt:variant>
        <vt:i4>6</vt:i4>
      </vt:variant>
      <vt:variant>
        <vt:i4>0</vt:i4>
      </vt:variant>
      <vt:variant>
        <vt:i4>5</vt:i4>
      </vt:variant>
      <vt:variant>
        <vt:lpwstr>http://www.nevo.co.il/Law_word/law14/LAW-1849.pdf</vt:lpwstr>
      </vt:variant>
      <vt:variant>
        <vt:lpwstr/>
      </vt:variant>
      <vt:variant>
        <vt:i4>721019</vt:i4>
      </vt:variant>
      <vt:variant>
        <vt:i4>3</vt:i4>
      </vt:variant>
      <vt:variant>
        <vt:i4>0</vt:i4>
      </vt:variant>
      <vt:variant>
        <vt:i4>5</vt:i4>
      </vt:variant>
      <vt:variant>
        <vt:lpwstr>http://www.nevo.co.il/Law_word/law17/PROP-2644.pdf</vt:lpwstr>
      </vt:variant>
      <vt:variant>
        <vt:lpwstr/>
      </vt:variant>
      <vt:variant>
        <vt:i4>8192008</vt:i4>
      </vt:variant>
      <vt:variant>
        <vt:i4>0</vt:i4>
      </vt:variant>
      <vt:variant>
        <vt:i4>0</vt:i4>
      </vt:variant>
      <vt:variant>
        <vt:i4>5</vt:i4>
      </vt:variant>
      <vt:variant>
        <vt:lpwstr>http://www.nevo.co.il/Law_word/law14/LAW-1637.pdf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2/19</dc:title>
  <dc:subject/>
  <dc:creator>Uri Ilan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019M2</vt:lpwstr>
  </property>
  <property fmtid="{D5CDD505-2E9C-101B-9397-08002B2CF9AE}" pid="3" name="CHNAME">
    <vt:lpwstr>איסור פתיחת בתי עינוגים בתשעה באב</vt:lpwstr>
  </property>
  <property fmtid="{D5CDD505-2E9C-101B-9397-08002B2CF9AE}" pid="4" name="LAWNAME">
    <vt:lpwstr>חוק איסור פתיחת בתי עינוגים בתשעה באב (הסמכה מיוחדת), תשנ"ח-1997</vt:lpwstr>
  </property>
  <property fmtid="{D5CDD505-2E9C-101B-9397-08002B2CF9AE}" pid="5" name="LAWNUMBER">
    <vt:lpwstr>0001</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אסור פתיחת בתי עינוג</vt:lpwstr>
  </property>
  <property fmtid="{D5CDD505-2E9C-101B-9397-08002B2CF9AE}" pid="10" name="NOSE41">
    <vt:lpwstr>תשעה באב</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חגים, מועדים וארועים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