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1C80A" w14:textId="77777777" w:rsidR="0033536E" w:rsidRDefault="0033536E" w:rsidP="00054EB3">
      <w:pPr>
        <w:pStyle w:val="big-header"/>
        <w:ind w:left="0" w:right="1134"/>
        <w:rPr>
          <w:rFonts w:hint="cs"/>
          <w:rtl/>
        </w:rPr>
      </w:pPr>
      <w:r>
        <w:rPr>
          <w:rtl/>
        </w:rPr>
        <w:t xml:space="preserve">חוק </w:t>
      </w:r>
      <w:r w:rsidR="008D79F0">
        <w:rPr>
          <w:rFonts w:hint="cs"/>
          <w:rtl/>
        </w:rPr>
        <w:t>איסור צריכת זנות (הוראת שעה ותיקון חקיקה), תשע"ט-2019</w:t>
      </w:r>
    </w:p>
    <w:p w14:paraId="26D3DAA9" w14:textId="77777777" w:rsidR="0093777F" w:rsidRDefault="0093777F" w:rsidP="0093777F">
      <w:pPr>
        <w:spacing w:line="320" w:lineRule="auto"/>
        <w:jc w:val="left"/>
        <w:rPr>
          <w:rFonts w:cs="FrankRuehl" w:hint="cs"/>
          <w:szCs w:val="26"/>
          <w:rtl/>
        </w:rPr>
      </w:pPr>
    </w:p>
    <w:p w14:paraId="2878539F" w14:textId="77777777" w:rsidR="007B43A6" w:rsidRPr="0093777F" w:rsidRDefault="007B43A6" w:rsidP="0093777F">
      <w:pPr>
        <w:spacing w:line="320" w:lineRule="auto"/>
        <w:jc w:val="left"/>
        <w:rPr>
          <w:rFonts w:cs="FrankRuehl" w:hint="cs"/>
          <w:szCs w:val="26"/>
          <w:rtl/>
        </w:rPr>
      </w:pPr>
    </w:p>
    <w:p w14:paraId="2B2CC684" w14:textId="77777777" w:rsidR="0093777F" w:rsidRDefault="0093777F" w:rsidP="0093777F">
      <w:pPr>
        <w:spacing w:line="320" w:lineRule="auto"/>
        <w:jc w:val="left"/>
        <w:rPr>
          <w:rFonts w:cs="Miriam"/>
          <w:szCs w:val="22"/>
          <w:rtl/>
        </w:rPr>
      </w:pPr>
      <w:r w:rsidRPr="0093777F">
        <w:rPr>
          <w:rFonts w:cs="Miriam"/>
          <w:szCs w:val="22"/>
          <w:rtl/>
        </w:rPr>
        <w:t>עונשין ומשפט פלילי</w:t>
      </w:r>
      <w:r w:rsidRPr="0093777F">
        <w:rPr>
          <w:rFonts w:cs="FrankRuehl"/>
          <w:szCs w:val="26"/>
          <w:rtl/>
        </w:rPr>
        <w:t xml:space="preserve"> – עבירות</w:t>
      </w:r>
    </w:p>
    <w:p w14:paraId="6FC881EE" w14:textId="77777777" w:rsidR="0033536E" w:rsidRDefault="0033536E">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844CF" w:rsidRPr="00F844CF" w14:paraId="0A488858" w14:textId="77777777" w:rsidTr="00F844CF">
        <w:tblPrEx>
          <w:tblCellMar>
            <w:top w:w="0" w:type="dxa"/>
            <w:bottom w:w="0" w:type="dxa"/>
          </w:tblCellMar>
        </w:tblPrEx>
        <w:tc>
          <w:tcPr>
            <w:tcW w:w="1247" w:type="dxa"/>
          </w:tcPr>
          <w:p w14:paraId="7A2D6857" w14:textId="77777777" w:rsidR="00F844CF" w:rsidRPr="00F844CF" w:rsidRDefault="00F844CF" w:rsidP="00F844CF">
            <w:pPr>
              <w:spacing w:line="240" w:lineRule="auto"/>
              <w:jc w:val="left"/>
              <w:rPr>
                <w:rFonts w:cs="Frankruhel"/>
                <w:sz w:val="24"/>
                <w:rtl/>
              </w:rPr>
            </w:pPr>
            <w:r>
              <w:rPr>
                <w:rFonts w:cs="Times New Roman"/>
                <w:sz w:val="24"/>
                <w:rtl/>
              </w:rPr>
              <w:t xml:space="preserve">סעיף 1 </w:t>
            </w:r>
          </w:p>
        </w:tc>
        <w:tc>
          <w:tcPr>
            <w:tcW w:w="5669" w:type="dxa"/>
          </w:tcPr>
          <w:p w14:paraId="3B08CC90" w14:textId="77777777" w:rsidR="00F844CF" w:rsidRPr="00F844CF" w:rsidRDefault="00F844CF" w:rsidP="00F844CF">
            <w:pPr>
              <w:spacing w:line="240" w:lineRule="auto"/>
              <w:jc w:val="left"/>
              <w:rPr>
                <w:rFonts w:cs="Frankruhel"/>
                <w:sz w:val="24"/>
                <w:rtl/>
              </w:rPr>
            </w:pPr>
            <w:r>
              <w:rPr>
                <w:rFonts w:cs="Times New Roman"/>
                <w:sz w:val="24"/>
                <w:rtl/>
              </w:rPr>
              <w:t>מטרת החוק</w:t>
            </w:r>
          </w:p>
        </w:tc>
        <w:tc>
          <w:tcPr>
            <w:tcW w:w="567" w:type="dxa"/>
          </w:tcPr>
          <w:p w14:paraId="5B9C8CFF" w14:textId="77777777" w:rsidR="00F844CF" w:rsidRPr="00F844CF" w:rsidRDefault="00F844CF" w:rsidP="00F844CF">
            <w:pPr>
              <w:spacing w:line="240" w:lineRule="auto"/>
              <w:jc w:val="left"/>
              <w:rPr>
                <w:rStyle w:val="Hyperlink"/>
                <w:rtl/>
              </w:rPr>
            </w:pPr>
            <w:hyperlink w:anchor="Seif1" w:tooltip="מטרת החוק" w:history="1">
              <w:r w:rsidRPr="00F844CF">
                <w:rPr>
                  <w:rStyle w:val="Hyperlink"/>
                </w:rPr>
                <w:t>Go</w:t>
              </w:r>
            </w:hyperlink>
          </w:p>
        </w:tc>
        <w:tc>
          <w:tcPr>
            <w:tcW w:w="850" w:type="dxa"/>
          </w:tcPr>
          <w:p w14:paraId="1FDA06ED" w14:textId="77777777" w:rsidR="00F844CF" w:rsidRPr="00F844CF" w:rsidRDefault="00F844CF" w:rsidP="00F844C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844CF" w:rsidRPr="00F844CF" w14:paraId="233D36AF" w14:textId="77777777" w:rsidTr="00F844CF">
        <w:tblPrEx>
          <w:tblCellMar>
            <w:top w:w="0" w:type="dxa"/>
            <w:bottom w:w="0" w:type="dxa"/>
          </w:tblCellMar>
        </w:tblPrEx>
        <w:tc>
          <w:tcPr>
            <w:tcW w:w="1247" w:type="dxa"/>
          </w:tcPr>
          <w:p w14:paraId="1BA34E12" w14:textId="77777777" w:rsidR="00F844CF" w:rsidRPr="00F844CF" w:rsidRDefault="00F844CF" w:rsidP="00F844CF">
            <w:pPr>
              <w:spacing w:line="240" w:lineRule="auto"/>
              <w:jc w:val="left"/>
              <w:rPr>
                <w:rFonts w:cs="Frankruhel"/>
                <w:sz w:val="24"/>
                <w:rtl/>
              </w:rPr>
            </w:pPr>
            <w:r>
              <w:rPr>
                <w:rFonts w:cs="Times New Roman"/>
                <w:sz w:val="24"/>
                <w:rtl/>
              </w:rPr>
              <w:t xml:space="preserve">סעיף 2 </w:t>
            </w:r>
          </w:p>
        </w:tc>
        <w:tc>
          <w:tcPr>
            <w:tcW w:w="5669" w:type="dxa"/>
          </w:tcPr>
          <w:p w14:paraId="62F6C18F" w14:textId="77777777" w:rsidR="00F844CF" w:rsidRPr="00F844CF" w:rsidRDefault="00F844CF" w:rsidP="00F844CF">
            <w:pPr>
              <w:spacing w:line="240" w:lineRule="auto"/>
              <w:jc w:val="left"/>
              <w:rPr>
                <w:rFonts w:cs="Frankruhel"/>
                <w:sz w:val="24"/>
                <w:rtl/>
              </w:rPr>
            </w:pPr>
            <w:r>
              <w:rPr>
                <w:rFonts w:cs="Times New Roman"/>
                <w:sz w:val="24"/>
                <w:rtl/>
              </w:rPr>
              <w:t>איסור צריכת מעשה זנות</w:t>
            </w:r>
          </w:p>
        </w:tc>
        <w:tc>
          <w:tcPr>
            <w:tcW w:w="567" w:type="dxa"/>
          </w:tcPr>
          <w:p w14:paraId="2F6C6D8E" w14:textId="77777777" w:rsidR="00F844CF" w:rsidRPr="00F844CF" w:rsidRDefault="00F844CF" w:rsidP="00F844CF">
            <w:pPr>
              <w:spacing w:line="240" w:lineRule="auto"/>
              <w:jc w:val="left"/>
              <w:rPr>
                <w:rStyle w:val="Hyperlink"/>
                <w:rtl/>
              </w:rPr>
            </w:pPr>
            <w:hyperlink w:anchor="Seif2" w:tooltip="איסור צריכת מעשה זנות" w:history="1">
              <w:r w:rsidRPr="00F844CF">
                <w:rPr>
                  <w:rStyle w:val="Hyperlink"/>
                </w:rPr>
                <w:t>Go</w:t>
              </w:r>
            </w:hyperlink>
          </w:p>
        </w:tc>
        <w:tc>
          <w:tcPr>
            <w:tcW w:w="850" w:type="dxa"/>
          </w:tcPr>
          <w:p w14:paraId="6DB3BBEC" w14:textId="77777777" w:rsidR="00F844CF" w:rsidRPr="00F844CF" w:rsidRDefault="00F844CF" w:rsidP="00F844C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844CF" w:rsidRPr="00F844CF" w14:paraId="27E75280" w14:textId="77777777" w:rsidTr="00F844CF">
        <w:tblPrEx>
          <w:tblCellMar>
            <w:top w:w="0" w:type="dxa"/>
            <w:bottom w:w="0" w:type="dxa"/>
          </w:tblCellMar>
        </w:tblPrEx>
        <w:tc>
          <w:tcPr>
            <w:tcW w:w="1247" w:type="dxa"/>
          </w:tcPr>
          <w:p w14:paraId="7E67AB6A" w14:textId="77777777" w:rsidR="00F844CF" w:rsidRPr="00F844CF" w:rsidRDefault="00F844CF" w:rsidP="00F844CF">
            <w:pPr>
              <w:spacing w:line="240" w:lineRule="auto"/>
              <w:jc w:val="left"/>
              <w:rPr>
                <w:rFonts w:cs="Frankruhel"/>
                <w:sz w:val="24"/>
                <w:rtl/>
              </w:rPr>
            </w:pPr>
            <w:r>
              <w:rPr>
                <w:rFonts w:cs="Times New Roman"/>
                <w:sz w:val="24"/>
                <w:rtl/>
              </w:rPr>
              <w:t xml:space="preserve">סעיף 3 </w:t>
            </w:r>
          </w:p>
        </w:tc>
        <w:tc>
          <w:tcPr>
            <w:tcW w:w="5669" w:type="dxa"/>
          </w:tcPr>
          <w:p w14:paraId="6A280B86" w14:textId="77777777" w:rsidR="00F844CF" w:rsidRPr="00F844CF" w:rsidRDefault="00F844CF" w:rsidP="00F844CF">
            <w:pPr>
              <w:spacing w:line="240" w:lineRule="auto"/>
              <w:jc w:val="left"/>
              <w:rPr>
                <w:rFonts w:cs="Frankruhel"/>
                <w:sz w:val="24"/>
                <w:rtl/>
              </w:rPr>
            </w:pPr>
            <w:r>
              <w:rPr>
                <w:rFonts w:cs="Times New Roman"/>
                <w:sz w:val="24"/>
                <w:rtl/>
              </w:rPr>
              <w:t>עבירה מינהלית</w:t>
            </w:r>
          </w:p>
        </w:tc>
        <w:tc>
          <w:tcPr>
            <w:tcW w:w="567" w:type="dxa"/>
          </w:tcPr>
          <w:p w14:paraId="1D4F0400" w14:textId="77777777" w:rsidR="00F844CF" w:rsidRPr="00F844CF" w:rsidRDefault="00F844CF" w:rsidP="00F844CF">
            <w:pPr>
              <w:spacing w:line="240" w:lineRule="auto"/>
              <w:jc w:val="left"/>
              <w:rPr>
                <w:rStyle w:val="Hyperlink"/>
                <w:rtl/>
              </w:rPr>
            </w:pPr>
            <w:hyperlink w:anchor="Seif6" w:tooltip="עבירה מינהלית" w:history="1">
              <w:r w:rsidRPr="00F844CF">
                <w:rPr>
                  <w:rStyle w:val="Hyperlink"/>
                </w:rPr>
                <w:t>Go</w:t>
              </w:r>
            </w:hyperlink>
          </w:p>
        </w:tc>
        <w:tc>
          <w:tcPr>
            <w:tcW w:w="850" w:type="dxa"/>
          </w:tcPr>
          <w:p w14:paraId="7B593230" w14:textId="77777777" w:rsidR="00F844CF" w:rsidRPr="00F844CF" w:rsidRDefault="00F844CF" w:rsidP="00F844C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844CF" w:rsidRPr="00F844CF" w14:paraId="29381090" w14:textId="77777777" w:rsidTr="00F844CF">
        <w:tblPrEx>
          <w:tblCellMar>
            <w:top w:w="0" w:type="dxa"/>
            <w:bottom w:w="0" w:type="dxa"/>
          </w:tblCellMar>
        </w:tblPrEx>
        <w:tc>
          <w:tcPr>
            <w:tcW w:w="1247" w:type="dxa"/>
          </w:tcPr>
          <w:p w14:paraId="7054C41A" w14:textId="77777777" w:rsidR="00F844CF" w:rsidRPr="00F844CF" w:rsidRDefault="00F844CF" w:rsidP="00F844CF">
            <w:pPr>
              <w:spacing w:line="240" w:lineRule="auto"/>
              <w:jc w:val="left"/>
              <w:rPr>
                <w:rFonts w:cs="Frankruhel"/>
                <w:sz w:val="24"/>
                <w:rtl/>
              </w:rPr>
            </w:pPr>
            <w:r>
              <w:rPr>
                <w:rFonts w:cs="Times New Roman"/>
                <w:sz w:val="24"/>
                <w:rtl/>
              </w:rPr>
              <w:t xml:space="preserve">סעיף 4 </w:t>
            </w:r>
          </w:p>
        </w:tc>
        <w:tc>
          <w:tcPr>
            <w:tcW w:w="5669" w:type="dxa"/>
          </w:tcPr>
          <w:p w14:paraId="7EF3FDD9" w14:textId="77777777" w:rsidR="00F844CF" w:rsidRPr="00F844CF" w:rsidRDefault="00F844CF" w:rsidP="00F844CF">
            <w:pPr>
              <w:spacing w:line="240" w:lineRule="auto"/>
              <w:jc w:val="left"/>
              <w:rPr>
                <w:rFonts w:cs="Frankruhel"/>
                <w:sz w:val="24"/>
                <w:rtl/>
              </w:rPr>
            </w:pPr>
            <w:r>
              <w:rPr>
                <w:rFonts w:cs="Times New Roman"/>
                <w:sz w:val="24"/>
                <w:rtl/>
              </w:rPr>
              <w:t>קנס מינהלי</w:t>
            </w:r>
          </w:p>
        </w:tc>
        <w:tc>
          <w:tcPr>
            <w:tcW w:w="567" w:type="dxa"/>
          </w:tcPr>
          <w:p w14:paraId="715E56F4" w14:textId="77777777" w:rsidR="00F844CF" w:rsidRPr="00F844CF" w:rsidRDefault="00F844CF" w:rsidP="00F844CF">
            <w:pPr>
              <w:spacing w:line="240" w:lineRule="auto"/>
              <w:jc w:val="left"/>
              <w:rPr>
                <w:rStyle w:val="Hyperlink"/>
                <w:rtl/>
              </w:rPr>
            </w:pPr>
            <w:hyperlink w:anchor="Seif7" w:tooltip="קנס מינהלי" w:history="1">
              <w:r w:rsidRPr="00F844CF">
                <w:rPr>
                  <w:rStyle w:val="Hyperlink"/>
                </w:rPr>
                <w:t>Go</w:t>
              </w:r>
            </w:hyperlink>
          </w:p>
        </w:tc>
        <w:tc>
          <w:tcPr>
            <w:tcW w:w="850" w:type="dxa"/>
          </w:tcPr>
          <w:p w14:paraId="4B3AC8D9" w14:textId="77777777" w:rsidR="00F844CF" w:rsidRPr="00F844CF" w:rsidRDefault="00F844CF" w:rsidP="00F844C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844CF" w:rsidRPr="00F844CF" w14:paraId="34C2F1E4" w14:textId="77777777" w:rsidTr="00F844CF">
        <w:tblPrEx>
          <w:tblCellMar>
            <w:top w:w="0" w:type="dxa"/>
            <w:bottom w:w="0" w:type="dxa"/>
          </w:tblCellMar>
        </w:tblPrEx>
        <w:tc>
          <w:tcPr>
            <w:tcW w:w="1247" w:type="dxa"/>
          </w:tcPr>
          <w:p w14:paraId="66E03515" w14:textId="77777777" w:rsidR="00F844CF" w:rsidRPr="00F844CF" w:rsidRDefault="00F844CF" w:rsidP="00F844CF">
            <w:pPr>
              <w:spacing w:line="240" w:lineRule="auto"/>
              <w:jc w:val="left"/>
              <w:rPr>
                <w:rFonts w:cs="Frankruhel"/>
                <w:sz w:val="24"/>
                <w:rtl/>
              </w:rPr>
            </w:pPr>
            <w:r>
              <w:rPr>
                <w:rFonts w:cs="Times New Roman"/>
                <w:sz w:val="24"/>
                <w:rtl/>
              </w:rPr>
              <w:t xml:space="preserve">סעיף 5 </w:t>
            </w:r>
          </w:p>
        </w:tc>
        <w:tc>
          <w:tcPr>
            <w:tcW w:w="5669" w:type="dxa"/>
          </w:tcPr>
          <w:p w14:paraId="42615F7D" w14:textId="77777777" w:rsidR="00F844CF" w:rsidRPr="00F844CF" w:rsidRDefault="00F844CF" w:rsidP="00F844CF">
            <w:pPr>
              <w:spacing w:line="240" w:lineRule="auto"/>
              <w:jc w:val="left"/>
              <w:rPr>
                <w:rFonts w:cs="Frankruhel"/>
                <w:sz w:val="24"/>
                <w:rtl/>
              </w:rPr>
            </w:pPr>
            <w:r>
              <w:rPr>
                <w:rFonts w:cs="Times New Roman"/>
                <w:sz w:val="24"/>
                <w:rtl/>
              </w:rPr>
              <w:t>אמצעי חלופי לקנס מינהלי</w:t>
            </w:r>
          </w:p>
        </w:tc>
        <w:tc>
          <w:tcPr>
            <w:tcW w:w="567" w:type="dxa"/>
          </w:tcPr>
          <w:p w14:paraId="2C9917BA" w14:textId="77777777" w:rsidR="00F844CF" w:rsidRPr="00F844CF" w:rsidRDefault="00F844CF" w:rsidP="00F844CF">
            <w:pPr>
              <w:spacing w:line="240" w:lineRule="auto"/>
              <w:jc w:val="left"/>
              <w:rPr>
                <w:rStyle w:val="Hyperlink"/>
                <w:rtl/>
              </w:rPr>
            </w:pPr>
            <w:hyperlink w:anchor="Seif3" w:tooltip="אמצעי חלופי לקנס מינהלי" w:history="1">
              <w:r w:rsidRPr="00F844CF">
                <w:rPr>
                  <w:rStyle w:val="Hyperlink"/>
                </w:rPr>
                <w:t>Go</w:t>
              </w:r>
            </w:hyperlink>
          </w:p>
        </w:tc>
        <w:tc>
          <w:tcPr>
            <w:tcW w:w="850" w:type="dxa"/>
          </w:tcPr>
          <w:p w14:paraId="083001D5" w14:textId="77777777" w:rsidR="00F844CF" w:rsidRPr="00F844CF" w:rsidRDefault="00F844CF" w:rsidP="00F844C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844CF" w:rsidRPr="00F844CF" w14:paraId="138D3032" w14:textId="77777777" w:rsidTr="00F844CF">
        <w:tblPrEx>
          <w:tblCellMar>
            <w:top w:w="0" w:type="dxa"/>
            <w:bottom w:w="0" w:type="dxa"/>
          </w:tblCellMar>
        </w:tblPrEx>
        <w:tc>
          <w:tcPr>
            <w:tcW w:w="1247" w:type="dxa"/>
          </w:tcPr>
          <w:p w14:paraId="35C6836F" w14:textId="77777777" w:rsidR="00F844CF" w:rsidRPr="00F844CF" w:rsidRDefault="00F844CF" w:rsidP="00F844CF">
            <w:pPr>
              <w:spacing w:line="240" w:lineRule="auto"/>
              <w:jc w:val="left"/>
              <w:rPr>
                <w:rFonts w:cs="Frankruhel"/>
                <w:sz w:val="24"/>
                <w:rtl/>
              </w:rPr>
            </w:pPr>
            <w:r>
              <w:rPr>
                <w:rFonts w:cs="Times New Roman"/>
                <w:sz w:val="24"/>
                <w:rtl/>
              </w:rPr>
              <w:t xml:space="preserve">סעיף 6 </w:t>
            </w:r>
          </w:p>
        </w:tc>
        <w:tc>
          <w:tcPr>
            <w:tcW w:w="5669" w:type="dxa"/>
          </w:tcPr>
          <w:p w14:paraId="1BACF75E" w14:textId="77777777" w:rsidR="00F844CF" w:rsidRPr="00F844CF" w:rsidRDefault="00F844CF" w:rsidP="00F844CF">
            <w:pPr>
              <w:spacing w:line="240" w:lineRule="auto"/>
              <w:jc w:val="left"/>
              <w:rPr>
                <w:rFonts w:cs="Frankruhel"/>
                <w:sz w:val="24"/>
                <w:rtl/>
              </w:rPr>
            </w:pPr>
            <w:r>
              <w:rPr>
                <w:rFonts w:cs="Times New Roman"/>
                <w:sz w:val="24"/>
                <w:rtl/>
              </w:rPr>
              <w:t>תיקון חוק העונשין   מס' 138</w:t>
            </w:r>
          </w:p>
        </w:tc>
        <w:tc>
          <w:tcPr>
            <w:tcW w:w="567" w:type="dxa"/>
          </w:tcPr>
          <w:p w14:paraId="559A93E9" w14:textId="77777777" w:rsidR="00F844CF" w:rsidRPr="00F844CF" w:rsidRDefault="00F844CF" w:rsidP="00F844CF">
            <w:pPr>
              <w:spacing w:line="240" w:lineRule="auto"/>
              <w:jc w:val="left"/>
              <w:rPr>
                <w:rStyle w:val="Hyperlink"/>
                <w:rtl/>
              </w:rPr>
            </w:pPr>
            <w:hyperlink w:anchor="Seif8" w:tooltip="תיקון חוק העונשין   מס 138" w:history="1">
              <w:r w:rsidRPr="00F844CF">
                <w:rPr>
                  <w:rStyle w:val="Hyperlink"/>
                </w:rPr>
                <w:t>Go</w:t>
              </w:r>
            </w:hyperlink>
          </w:p>
        </w:tc>
        <w:tc>
          <w:tcPr>
            <w:tcW w:w="850" w:type="dxa"/>
          </w:tcPr>
          <w:p w14:paraId="2629256B" w14:textId="77777777" w:rsidR="00F844CF" w:rsidRPr="00F844CF" w:rsidRDefault="00F844CF" w:rsidP="00F844C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844CF" w:rsidRPr="00F844CF" w14:paraId="4F083AD8" w14:textId="77777777" w:rsidTr="00F844CF">
        <w:tblPrEx>
          <w:tblCellMar>
            <w:top w:w="0" w:type="dxa"/>
            <w:bottom w:w="0" w:type="dxa"/>
          </w:tblCellMar>
        </w:tblPrEx>
        <w:tc>
          <w:tcPr>
            <w:tcW w:w="1247" w:type="dxa"/>
          </w:tcPr>
          <w:p w14:paraId="2A7EBC17" w14:textId="77777777" w:rsidR="00F844CF" w:rsidRPr="00F844CF" w:rsidRDefault="00F844CF" w:rsidP="00F844CF">
            <w:pPr>
              <w:spacing w:line="240" w:lineRule="auto"/>
              <w:jc w:val="left"/>
              <w:rPr>
                <w:rFonts w:cs="Frankruhel"/>
                <w:sz w:val="24"/>
                <w:rtl/>
              </w:rPr>
            </w:pPr>
            <w:r>
              <w:rPr>
                <w:rFonts w:cs="Times New Roman"/>
                <w:sz w:val="24"/>
                <w:rtl/>
              </w:rPr>
              <w:t xml:space="preserve">סעיף 7 </w:t>
            </w:r>
          </w:p>
        </w:tc>
        <w:tc>
          <w:tcPr>
            <w:tcW w:w="5669" w:type="dxa"/>
          </w:tcPr>
          <w:p w14:paraId="5B029499" w14:textId="77777777" w:rsidR="00F844CF" w:rsidRPr="00F844CF" w:rsidRDefault="00F844CF" w:rsidP="00F844CF">
            <w:pPr>
              <w:spacing w:line="240" w:lineRule="auto"/>
              <w:jc w:val="left"/>
              <w:rPr>
                <w:rFonts w:cs="Frankruhel"/>
                <w:sz w:val="24"/>
                <w:rtl/>
              </w:rPr>
            </w:pPr>
            <w:r>
              <w:rPr>
                <w:rFonts w:cs="Times New Roman"/>
                <w:sz w:val="24"/>
                <w:rtl/>
              </w:rPr>
              <w:t>תחילה</w:t>
            </w:r>
          </w:p>
        </w:tc>
        <w:tc>
          <w:tcPr>
            <w:tcW w:w="567" w:type="dxa"/>
          </w:tcPr>
          <w:p w14:paraId="0D0B8E0C" w14:textId="77777777" w:rsidR="00F844CF" w:rsidRPr="00F844CF" w:rsidRDefault="00F844CF" w:rsidP="00F844CF">
            <w:pPr>
              <w:spacing w:line="240" w:lineRule="auto"/>
              <w:jc w:val="left"/>
              <w:rPr>
                <w:rStyle w:val="Hyperlink"/>
                <w:rtl/>
              </w:rPr>
            </w:pPr>
            <w:hyperlink w:anchor="Seif4" w:tooltip="תחילה" w:history="1">
              <w:r w:rsidRPr="00F844CF">
                <w:rPr>
                  <w:rStyle w:val="Hyperlink"/>
                </w:rPr>
                <w:t>Go</w:t>
              </w:r>
            </w:hyperlink>
          </w:p>
        </w:tc>
        <w:tc>
          <w:tcPr>
            <w:tcW w:w="850" w:type="dxa"/>
          </w:tcPr>
          <w:p w14:paraId="0F551B62" w14:textId="77777777" w:rsidR="00F844CF" w:rsidRPr="00F844CF" w:rsidRDefault="00F844CF" w:rsidP="00F844C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844CF" w:rsidRPr="00F844CF" w14:paraId="410D9593" w14:textId="77777777" w:rsidTr="00F844CF">
        <w:tblPrEx>
          <w:tblCellMar>
            <w:top w:w="0" w:type="dxa"/>
            <w:bottom w:w="0" w:type="dxa"/>
          </w:tblCellMar>
        </w:tblPrEx>
        <w:tc>
          <w:tcPr>
            <w:tcW w:w="1247" w:type="dxa"/>
          </w:tcPr>
          <w:p w14:paraId="09C64BCF" w14:textId="77777777" w:rsidR="00F844CF" w:rsidRPr="00F844CF" w:rsidRDefault="00F844CF" w:rsidP="00F844CF">
            <w:pPr>
              <w:spacing w:line="240" w:lineRule="auto"/>
              <w:jc w:val="left"/>
              <w:rPr>
                <w:rFonts w:cs="Frankruhel"/>
                <w:sz w:val="24"/>
                <w:rtl/>
              </w:rPr>
            </w:pPr>
            <w:r>
              <w:rPr>
                <w:rFonts w:cs="Times New Roman"/>
                <w:sz w:val="24"/>
                <w:rtl/>
              </w:rPr>
              <w:t xml:space="preserve">סעיף 8 </w:t>
            </w:r>
          </w:p>
        </w:tc>
        <w:tc>
          <w:tcPr>
            <w:tcW w:w="5669" w:type="dxa"/>
          </w:tcPr>
          <w:p w14:paraId="175707CA" w14:textId="77777777" w:rsidR="00F844CF" w:rsidRPr="00F844CF" w:rsidRDefault="00F844CF" w:rsidP="00F844CF">
            <w:pPr>
              <w:spacing w:line="240" w:lineRule="auto"/>
              <w:jc w:val="left"/>
              <w:rPr>
                <w:rFonts w:cs="Frankruhel"/>
                <w:sz w:val="24"/>
                <w:rtl/>
              </w:rPr>
            </w:pPr>
            <w:r>
              <w:rPr>
                <w:rFonts w:cs="Times New Roman"/>
                <w:sz w:val="24"/>
                <w:rtl/>
              </w:rPr>
              <w:t>תוקף</w:t>
            </w:r>
          </w:p>
        </w:tc>
        <w:tc>
          <w:tcPr>
            <w:tcW w:w="567" w:type="dxa"/>
          </w:tcPr>
          <w:p w14:paraId="00D27DB8" w14:textId="77777777" w:rsidR="00F844CF" w:rsidRPr="00F844CF" w:rsidRDefault="00F844CF" w:rsidP="00F844CF">
            <w:pPr>
              <w:spacing w:line="240" w:lineRule="auto"/>
              <w:jc w:val="left"/>
              <w:rPr>
                <w:rStyle w:val="Hyperlink"/>
                <w:rtl/>
              </w:rPr>
            </w:pPr>
            <w:hyperlink w:anchor="Seif5" w:tooltip="תוקף" w:history="1">
              <w:r w:rsidRPr="00F844CF">
                <w:rPr>
                  <w:rStyle w:val="Hyperlink"/>
                </w:rPr>
                <w:t>Go</w:t>
              </w:r>
            </w:hyperlink>
          </w:p>
        </w:tc>
        <w:tc>
          <w:tcPr>
            <w:tcW w:w="850" w:type="dxa"/>
          </w:tcPr>
          <w:p w14:paraId="262DAB33" w14:textId="77777777" w:rsidR="00F844CF" w:rsidRPr="00F844CF" w:rsidRDefault="00F844CF" w:rsidP="00F844C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F844CF" w:rsidRPr="00F844CF" w14:paraId="38AE59AB" w14:textId="77777777" w:rsidTr="00F844CF">
        <w:tblPrEx>
          <w:tblCellMar>
            <w:top w:w="0" w:type="dxa"/>
            <w:bottom w:w="0" w:type="dxa"/>
          </w:tblCellMar>
        </w:tblPrEx>
        <w:tc>
          <w:tcPr>
            <w:tcW w:w="1247" w:type="dxa"/>
          </w:tcPr>
          <w:p w14:paraId="413009C6" w14:textId="77777777" w:rsidR="00F844CF" w:rsidRPr="00F844CF" w:rsidRDefault="00F844CF" w:rsidP="00F844CF">
            <w:pPr>
              <w:spacing w:line="240" w:lineRule="auto"/>
              <w:jc w:val="left"/>
              <w:rPr>
                <w:rFonts w:cs="Frankruhel"/>
                <w:sz w:val="24"/>
                <w:rtl/>
              </w:rPr>
            </w:pPr>
            <w:r>
              <w:rPr>
                <w:rFonts w:cs="Times New Roman"/>
                <w:sz w:val="24"/>
                <w:rtl/>
              </w:rPr>
              <w:t xml:space="preserve">סעיף 9 </w:t>
            </w:r>
          </w:p>
        </w:tc>
        <w:tc>
          <w:tcPr>
            <w:tcW w:w="5669" w:type="dxa"/>
          </w:tcPr>
          <w:p w14:paraId="6AF3B929" w14:textId="77777777" w:rsidR="00F844CF" w:rsidRPr="00F844CF" w:rsidRDefault="00F844CF" w:rsidP="00F844CF">
            <w:pPr>
              <w:spacing w:line="240" w:lineRule="auto"/>
              <w:jc w:val="left"/>
              <w:rPr>
                <w:rFonts w:cs="Frankruhel"/>
                <w:sz w:val="24"/>
                <w:rtl/>
              </w:rPr>
            </w:pPr>
            <w:r>
              <w:rPr>
                <w:rFonts w:cs="Times New Roman"/>
                <w:sz w:val="24"/>
                <w:rtl/>
              </w:rPr>
              <w:t>דיווח לכנסת</w:t>
            </w:r>
          </w:p>
        </w:tc>
        <w:tc>
          <w:tcPr>
            <w:tcW w:w="567" w:type="dxa"/>
          </w:tcPr>
          <w:p w14:paraId="231337A2" w14:textId="77777777" w:rsidR="00F844CF" w:rsidRPr="00F844CF" w:rsidRDefault="00F844CF" w:rsidP="00F844CF">
            <w:pPr>
              <w:spacing w:line="240" w:lineRule="auto"/>
              <w:jc w:val="left"/>
              <w:rPr>
                <w:rStyle w:val="Hyperlink"/>
                <w:rtl/>
              </w:rPr>
            </w:pPr>
            <w:hyperlink w:anchor="Seif9" w:tooltip="דיווח לכנסת" w:history="1">
              <w:r w:rsidRPr="00F844CF">
                <w:rPr>
                  <w:rStyle w:val="Hyperlink"/>
                </w:rPr>
                <w:t>Go</w:t>
              </w:r>
            </w:hyperlink>
          </w:p>
        </w:tc>
        <w:tc>
          <w:tcPr>
            <w:tcW w:w="850" w:type="dxa"/>
          </w:tcPr>
          <w:p w14:paraId="3349FE52" w14:textId="77777777" w:rsidR="00F844CF" w:rsidRPr="00F844CF" w:rsidRDefault="00F844CF" w:rsidP="00F844CF">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bl>
    <w:p w14:paraId="13B2D2B6" w14:textId="77777777" w:rsidR="0033536E" w:rsidRDefault="0033536E">
      <w:pPr>
        <w:pStyle w:val="big-header"/>
        <w:ind w:left="0" w:right="1134"/>
        <w:rPr>
          <w:rtl/>
        </w:rPr>
      </w:pPr>
    </w:p>
    <w:p w14:paraId="4E4A3E92" w14:textId="77777777" w:rsidR="0033536E" w:rsidRPr="008469DC" w:rsidRDefault="0033536E" w:rsidP="008469DC">
      <w:pPr>
        <w:pStyle w:val="big-header"/>
        <w:ind w:left="0" w:right="1134"/>
        <w:rPr>
          <w:rStyle w:val="default"/>
          <w:rFonts w:cs="FrankRuehl" w:hint="cs"/>
          <w:szCs w:val="32"/>
          <w:rtl/>
        </w:rPr>
      </w:pPr>
      <w:r>
        <w:rPr>
          <w:rtl/>
        </w:rPr>
        <w:br w:type="page"/>
      </w:r>
      <w:r w:rsidR="008D79F0">
        <w:rPr>
          <w:rtl/>
        </w:rPr>
        <w:lastRenderedPageBreak/>
        <w:t xml:space="preserve">חוק </w:t>
      </w:r>
      <w:r w:rsidR="008D79F0">
        <w:rPr>
          <w:rFonts w:hint="cs"/>
          <w:rtl/>
        </w:rPr>
        <w:t>איסור צריכת זנות (הוראת שעה ותיקון חקיקה), תשע"ט-2019</w:t>
      </w:r>
      <w:r w:rsidR="00054EB3">
        <w:rPr>
          <w:rStyle w:val="a6"/>
          <w:rtl/>
        </w:rPr>
        <w:footnoteReference w:customMarkFollows="1" w:id="1"/>
        <w:t>*</w:t>
      </w:r>
    </w:p>
    <w:p w14:paraId="114F588F" w14:textId="77777777" w:rsidR="0033536E" w:rsidRDefault="0033536E" w:rsidP="007B43A6">
      <w:pPr>
        <w:pStyle w:val="P00"/>
        <w:spacing w:before="72"/>
        <w:ind w:left="0" w:right="1134"/>
        <w:rPr>
          <w:rStyle w:val="default"/>
          <w:rFonts w:cs="FrankRuehl"/>
          <w:rtl/>
        </w:rPr>
      </w:pPr>
      <w:bookmarkStart w:id="0" w:name="Seif1"/>
      <w:bookmarkEnd w:id="0"/>
      <w:r>
        <w:rPr>
          <w:lang w:val="he-IL"/>
        </w:rPr>
        <w:pict w14:anchorId="7EDC4DE5">
          <v:rect id="_x0000_s1026" style="position:absolute;left:0;text-align:left;margin-left:464.5pt;margin-top:8.05pt;width:75.05pt;height:11.4pt;z-index:251653632" o:allowincell="f" filled="f" stroked="f" strokecolor="lime" strokeweight=".25pt">
            <v:textbox style="mso-next-textbox:#_x0000_s1026" inset="0,0,0,0">
              <w:txbxContent>
                <w:p w14:paraId="715DAB07" w14:textId="77777777" w:rsidR="0033536E" w:rsidRDefault="008D79F0">
                  <w:pPr>
                    <w:spacing w:line="160" w:lineRule="exact"/>
                    <w:jc w:val="left"/>
                    <w:rPr>
                      <w:rFonts w:cs="Miriam"/>
                      <w:noProof/>
                      <w:szCs w:val="18"/>
                      <w:rtl/>
                    </w:rPr>
                  </w:pPr>
                  <w:r>
                    <w:rPr>
                      <w:rFonts w:cs="Miriam" w:hint="cs"/>
                      <w:szCs w:val="18"/>
                      <w:rtl/>
                    </w:rPr>
                    <w:t>מטרת החוק</w:t>
                  </w:r>
                </w:p>
              </w:txbxContent>
            </v:textbox>
            <w10:anchorlock/>
          </v:rect>
        </w:pict>
      </w:r>
      <w:r>
        <w:rPr>
          <w:rStyle w:val="big-number"/>
          <w:rtl/>
        </w:rPr>
        <w:t>1.</w:t>
      </w:r>
      <w:r>
        <w:rPr>
          <w:rStyle w:val="big-number"/>
          <w:rtl/>
        </w:rPr>
        <w:tab/>
      </w:r>
      <w:r w:rsidR="00F01A63">
        <w:rPr>
          <w:rStyle w:val="default"/>
          <w:rFonts w:cs="FrankRuehl" w:hint="cs"/>
          <w:rtl/>
        </w:rPr>
        <w:t xml:space="preserve">מטרתו של חוק זה להביא לצמצום הזנות באמצעות קביעת איסור צריכת זנות, כחלק ממהלך משולב הכולל חינוך והסברה לציבור והרחבת דרכי טיפול ושיקום לאוכלוסיות בזנות (בחוק זה </w:t>
      </w:r>
      <w:r w:rsidR="00F01A63">
        <w:rPr>
          <w:rStyle w:val="default"/>
          <w:rFonts w:cs="FrankRuehl"/>
          <w:rtl/>
        </w:rPr>
        <w:t>–</w:t>
      </w:r>
      <w:r w:rsidR="00F01A63">
        <w:rPr>
          <w:rStyle w:val="default"/>
          <w:rFonts w:cs="FrankRuehl" w:hint="cs"/>
          <w:rtl/>
        </w:rPr>
        <w:t xml:space="preserve"> המהלך המשולב לצמצום הזנות), מתוך הכרה במאפייניה הפוגעניים של הזנות ובנזקים הכרוכים בה</w:t>
      </w:r>
      <w:r>
        <w:rPr>
          <w:rStyle w:val="default"/>
          <w:rFonts w:cs="FrankRuehl" w:hint="cs"/>
          <w:rtl/>
        </w:rPr>
        <w:t>.</w:t>
      </w:r>
    </w:p>
    <w:p w14:paraId="2C05208B" w14:textId="77777777" w:rsidR="0033536E" w:rsidRDefault="0033536E" w:rsidP="007B43A6">
      <w:pPr>
        <w:pStyle w:val="P00"/>
        <w:spacing w:before="72"/>
        <w:ind w:left="0" w:right="1134"/>
        <w:rPr>
          <w:rStyle w:val="default"/>
          <w:rFonts w:cs="FrankRuehl"/>
          <w:rtl/>
        </w:rPr>
      </w:pPr>
      <w:bookmarkStart w:id="1" w:name="Seif2"/>
      <w:bookmarkEnd w:id="1"/>
      <w:r>
        <w:rPr>
          <w:lang w:val="he-IL"/>
        </w:rPr>
        <w:pict w14:anchorId="64A54320">
          <v:rect id="_x0000_s1027" style="position:absolute;left:0;text-align:left;margin-left:464.5pt;margin-top:8.05pt;width:75.05pt;height:17.9pt;z-index:251654656" o:allowincell="f" filled="f" stroked="f" strokecolor="lime" strokeweight=".25pt">
            <v:textbox style="mso-next-textbox:#_x0000_s1027" inset="0,0,0,0">
              <w:txbxContent>
                <w:p w14:paraId="426340E4" w14:textId="77777777" w:rsidR="0033536E" w:rsidRDefault="00F01A63">
                  <w:pPr>
                    <w:spacing w:line="160" w:lineRule="exact"/>
                    <w:jc w:val="left"/>
                    <w:rPr>
                      <w:rFonts w:cs="Miriam"/>
                      <w:noProof/>
                      <w:szCs w:val="18"/>
                      <w:rtl/>
                    </w:rPr>
                  </w:pPr>
                  <w:r>
                    <w:rPr>
                      <w:rFonts w:cs="Miriam" w:hint="cs"/>
                      <w:szCs w:val="18"/>
                      <w:rtl/>
                    </w:rPr>
                    <w:t>איסור צריכת מעשה זנות</w:t>
                  </w:r>
                </w:p>
              </w:txbxContent>
            </v:textbox>
            <w10:anchorlock/>
          </v:rect>
        </w:pict>
      </w:r>
      <w:r>
        <w:rPr>
          <w:rStyle w:val="big-number"/>
          <w:rtl/>
        </w:rPr>
        <w:t>2.</w:t>
      </w:r>
      <w:r>
        <w:rPr>
          <w:rStyle w:val="big-number"/>
          <w:rtl/>
        </w:rPr>
        <w:tab/>
      </w:r>
      <w:r w:rsidR="00F01A63">
        <w:rPr>
          <w:rStyle w:val="default"/>
          <w:rFonts w:cs="FrankRuehl" w:hint="cs"/>
          <w:rtl/>
        </w:rPr>
        <w:t xml:space="preserve">העושה אחד מאלה, דינו </w:t>
      </w:r>
      <w:r w:rsidR="00F01A63">
        <w:rPr>
          <w:rStyle w:val="default"/>
          <w:rFonts w:cs="FrankRuehl"/>
          <w:rtl/>
        </w:rPr>
        <w:t>–</w:t>
      </w:r>
      <w:r w:rsidR="00F01A63">
        <w:rPr>
          <w:rStyle w:val="default"/>
          <w:rFonts w:cs="FrankRuehl" w:hint="cs"/>
          <w:rtl/>
        </w:rPr>
        <w:t xml:space="preserve"> קנס כאמור בסעיף 61(א)(3) לחוק העונשין, התשל"ז-1977:</w:t>
      </w:r>
    </w:p>
    <w:p w14:paraId="5BBE4FFB" w14:textId="77777777" w:rsidR="00F01A63" w:rsidRDefault="00F01A63" w:rsidP="00F01A63">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צורך מעשה זנות;</w:t>
      </w:r>
    </w:p>
    <w:p w14:paraId="2F0F4812" w14:textId="77777777" w:rsidR="00F01A63" w:rsidRDefault="00F01A63" w:rsidP="00F01A63">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נמצא במקום המשמש, באופן מלא או חלקי, למעשי זנות, במטרה לצרוך מעשה זנות; לעניין זה יראו אדם הנמצא במקום שעיקר השימוש בו הוא למעשי זנות כמי שמטרתו לצרוך מעשה זנות, אלא אם כן הוכח אחרת.</w:t>
      </w:r>
    </w:p>
    <w:p w14:paraId="784CA5FD" w14:textId="77777777" w:rsidR="0033536E" w:rsidRDefault="006A38D3" w:rsidP="007B43A6">
      <w:pPr>
        <w:pStyle w:val="P00"/>
        <w:spacing w:before="72"/>
        <w:ind w:left="0" w:right="1134"/>
        <w:rPr>
          <w:rStyle w:val="default"/>
          <w:rFonts w:cs="FrankRuehl"/>
          <w:rtl/>
        </w:rPr>
      </w:pPr>
      <w:bookmarkStart w:id="2" w:name="Seif6"/>
      <w:bookmarkEnd w:id="2"/>
      <w:r>
        <w:rPr>
          <w:rFonts w:cs="Miriam"/>
          <w:szCs w:val="32"/>
          <w:rtl/>
          <w:lang w:eastAsia="en-US"/>
        </w:rPr>
        <w:pict w14:anchorId="330D030F">
          <v:shapetype id="_x0000_t202" coordsize="21600,21600" o:spt="202" path="m,l,21600r21600,l21600,xe">
            <v:stroke joinstyle="miter"/>
            <v:path gradientshapeok="t" o:connecttype="rect"/>
          </v:shapetype>
          <v:shape id="_x0000_s1034" type="#_x0000_t202" style="position:absolute;left:0;text-align:left;margin-left:470.25pt;margin-top:7.1pt;width:1in;height:11.75pt;z-index:251658752" filled="f" stroked="f">
            <v:textbox style="mso-next-textbox:#_x0000_s1034" inset="1mm,0,1mm,0">
              <w:txbxContent>
                <w:p w14:paraId="1D33B7F5" w14:textId="77777777" w:rsidR="006A38D3" w:rsidRDefault="00F01A63" w:rsidP="006A38D3">
                  <w:pPr>
                    <w:spacing w:line="160" w:lineRule="exact"/>
                    <w:jc w:val="left"/>
                    <w:rPr>
                      <w:rFonts w:cs="Miriam" w:hint="cs"/>
                      <w:noProof/>
                      <w:szCs w:val="18"/>
                      <w:rtl/>
                    </w:rPr>
                  </w:pPr>
                  <w:r>
                    <w:rPr>
                      <w:rFonts w:cs="Miriam" w:hint="cs"/>
                      <w:szCs w:val="18"/>
                      <w:rtl/>
                    </w:rPr>
                    <w:t>עבירה מינהלית</w:t>
                  </w:r>
                </w:p>
              </w:txbxContent>
            </v:textbox>
          </v:shape>
        </w:pict>
      </w:r>
      <w:r w:rsidR="0033536E">
        <w:rPr>
          <w:rStyle w:val="big-number"/>
          <w:rtl/>
        </w:rPr>
        <w:t>3</w:t>
      </w:r>
      <w:r w:rsidR="0033536E" w:rsidRPr="006A38D3">
        <w:rPr>
          <w:rStyle w:val="default"/>
          <w:rFonts w:cs="FrankRuehl"/>
          <w:rtl/>
        </w:rPr>
        <w:t>.</w:t>
      </w:r>
      <w:r w:rsidRPr="006A38D3">
        <w:rPr>
          <w:rStyle w:val="default"/>
          <w:rFonts w:cs="FrankRuehl" w:hint="cs"/>
          <w:rtl/>
        </w:rPr>
        <w:tab/>
      </w:r>
      <w:r w:rsidR="00F01A63">
        <w:rPr>
          <w:rStyle w:val="default"/>
          <w:rFonts w:cs="FrankRuehl" w:hint="cs"/>
          <w:rtl/>
        </w:rPr>
        <w:t xml:space="preserve">עבירה כאמור בסעיף 2 היא עבירה מינהלית כמשמעותה בחוק העבירות המינהליות, התשמ"ו-1985 (להלן </w:t>
      </w:r>
      <w:r w:rsidR="00F01A63">
        <w:rPr>
          <w:rStyle w:val="default"/>
          <w:rFonts w:cs="FrankRuehl"/>
          <w:rtl/>
        </w:rPr>
        <w:t>–</w:t>
      </w:r>
      <w:r w:rsidR="00F01A63">
        <w:rPr>
          <w:rStyle w:val="default"/>
          <w:rFonts w:cs="FrankRuehl" w:hint="cs"/>
          <w:rtl/>
        </w:rPr>
        <w:t xml:space="preserve"> חוק העבירות המינהליות), והוראות החוק האמור יחולו עליה בשינויים המחויבים.</w:t>
      </w:r>
    </w:p>
    <w:p w14:paraId="2F88D7BE" w14:textId="77777777" w:rsidR="006A38D3" w:rsidRDefault="006A38D3" w:rsidP="007B43A6">
      <w:pPr>
        <w:pStyle w:val="P00"/>
        <w:spacing w:before="72"/>
        <w:ind w:left="0" w:right="1134"/>
        <w:rPr>
          <w:rStyle w:val="default"/>
          <w:rFonts w:cs="FrankRuehl"/>
          <w:rtl/>
        </w:rPr>
      </w:pPr>
      <w:bookmarkStart w:id="3" w:name="Seif7"/>
      <w:bookmarkEnd w:id="3"/>
      <w:r>
        <w:rPr>
          <w:rFonts w:cs="Miriam"/>
          <w:szCs w:val="32"/>
          <w:rtl/>
          <w:lang w:eastAsia="en-US"/>
        </w:rPr>
        <w:pict w14:anchorId="153B2786">
          <v:shape id="_x0000_s1035" type="#_x0000_t202" style="position:absolute;left:0;text-align:left;margin-left:470.25pt;margin-top:7.1pt;width:1in;height:12.65pt;z-index:251659776" filled="f" stroked="f">
            <v:textbox inset="1mm,0,1mm,0">
              <w:txbxContent>
                <w:p w14:paraId="795E9081" w14:textId="77777777" w:rsidR="006A38D3" w:rsidRDefault="00F01A63" w:rsidP="006A38D3">
                  <w:pPr>
                    <w:spacing w:line="160" w:lineRule="exact"/>
                    <w:jc w:val="left"/>
                    <w:rPr>
                      <w:rFonts w:cs="Miriam" w:hint="cs"/>
                      <w:noProof/>
                      <w:szCs w:val="18"/>
                      <w:rtl/>
                    </w:rPr>
                  </w:pPr>
                  <w:r>
                    <w:rPr>
                      <w:rFonts w:cs="Miriam" w:hint="cs"/>
                      <w:szCs w:val="18"/>
                      <w:rtl/>
                    </w:rPr>
                    <w:t>קנס מינהלי</w:t>
                  </w:r>
                </w:p>
              </w:txbxContent>
            </v:textbox>
          </v:shape>
        </w:pict>
      </w:r>
      <w:r>
        <w:rPr>
          <w:rStyle w:val="big-number"/>
          <w:rFonts w:hint="cs"/>
          <w:rtl/>
        </w:rPr>
        <w:t>4</w:t>
      </w:r>
      <w:r w:rsidRPr="006A38D3">
        <w:rPr>
          <w:rStyle w:val="default"/>
          <w:rFonts w:cs="FrankRuehl"/>
          <w:rtl/>
        </w:rPr>
        <w:t>.</w:t>
      </w:r>
      <w:r w:rsidRPr="006A38D3">
        <w:rPr>
          <w:rStyle w:val="default"/>
          <w:rFonts w:cs="FrankRuehl" w:hint="cs"/>
          <w:rtl/>
        </w:rPr>
        <w:tab/>
      </w:r>
      <w:r w:rsidR="00F01A63">
        <w:rPr>
          <w:rStyle w:val="default"/>
          <w:rFonts w:cs="FrankRuehl" w:hint="cs"/>
          <w:rtl/>
        </w:rPr>
        <w:t xml:space="preserve">לעבירה מינהלית לפי סעיף 2(1), לרבות ניסיון לעבור עבירה כאמור, וכן לעבירה מינהלית לפי סעיף 2(2), יהיה קנס מינהלי קצוב של 2,000 שקלים חדשים, ובעבירה מינהלית חוזרת </w:t>
      </w:r>
      <w:r w:rsidR="00F01A63">
        <w:rPr>
          <w:rStyle w:val="default"/>
          <w:rFonts w:cs="FrankRuehl"/>
          <w:rtl/>
        </w:rPr>
        <w:t>–</w:t>
      </w:r>
      <w:r w:rsidR="00F01A63">
        <w:rPr>
          <w:rStyle w:val="default"/>
          <w:rFonts w:cs="FrankRuehl" w:hint="cs"/>
          <w:rtl/>
        </w:rPr>
        <w:t xml:space="preserve"> כפל הקנס האמור; בסעיף זה, "עבירה מינהלית חוזרת" </w:t>
      </w:r>
      <w:r w:rsidR="00F01A63">
        <w:rPr>
          <w:rStyle w:val="default"/>
          <w:rFonts w:cs="FrankRuehl"/>
          <w:rtl/>
        </w:rPr>
        <w:t>–</w:t>
      </w:r>
      <w:r w:rsidR="00F01A63">
        <w:rPr>
          <w:rStyle w:val="default"/>
          <w:rFonts w:cs="FrankRuehl" w:hint="cs"/>
          <w:rtl/>
        </w:rPr>
        <w:t xml:space="preserve"> כמשמעותה בסעיף 2(ג) לחוק העבירות המינהליות.</w:t>
      </w:r>
    </w:p>
    <w:p w14:paraId="2FC95F2E" w14:textId="77777777" w:rsidR="0033536E" w:rsidRDefault="0033536E" w:rsidP="007B43A6">
      <w:pPr>
        <w:pStyle w:val="P00"/>
        <w:spacing w:before="72"/>
        <w:ind w:left="0" w:right="1134"/>
        <w:rPr>
          <w:rStyle w:val="default"/>
          <w:rFonts w:cs="FrankRuehl"/>
          <w:rtl/>
        </w:rPr>
      </w:pPr>
      <w:bookmarkStart w:id="4" w:name="Seif3"/>
      <w:bookmarkEnd w:id="4"/>
      <w:r>
        <w:rPr>
          <w:lang w:val="he-IL"/>
        </w:rPr>
        <w:pict w14:anchorId="196807B0">
          <v:rect id="_x0000_s1028" style="position:absolute;left:0;text-align:left;margin-left:464.5pt;margin-top:8.05pt;width:75.05pt;height:18pt;z-index:251655680" o:allowincell="f" filled="f" stroked="f" strokecolor="lime" strokeweight=".25pt">
            <v:textbox style="mso-next-textbox:#_x0000_s1028" inset="0,0,0,0">
              <w:txbxContent>
                <w:p w14:paraId="4C466294" w14:textId="77777777" w:rsidR="0033536E" w:rsidRDefault="00F01A63">
                  <w:pPr>
                    <w:spacing w:line="160" w:lineRule="exact"/>
                    <w:jc w:val="left"/>
                    <w:rPr>
                      <w:rFonts w:cs="Miriam"/>
                      <w:noProof/>
                      <w:szCs w:val="18"/>
                      <w:rtl/>
                    </w:rPr>
                  </w:pPr>
                  <w:r>
                    <w:rPr>
                      <w:rFonts w:cs="Miriam" w:hint="cs"/>
                      <w:szCs w:val="18"/>
                      <w:rtl/>
                    </w:rPr>
                    <w:t>אמצעי חלופי לקנס מינהלי</w:t>
                  </w:r>
                </w:p>
              </w:txbxContent>
            </v:textbox>
            <w10:anchorlock/>
          </v:rect>
        </w:pict>
      </w:r>
      <w:r>
        <w:rPr>
          <w:rStyle w:val="big-number"/>
          <w:rtl/>
        </w:rPr>
        <w:t>5.</w:t>
      </w:r>
      <w:r>
        <w:rPr>
          <w:rStyle w:val="big-number"/>
          <w:rtl/>
        </w:rPr>
        <w:tab/>
      </w:r>
      <w:r w:rsidR="00F01A63">
        <w:rPr>
          <w:rStyle w:val="default"/>
          <w:rFonts w:cs="FrankRuehl" w:hint="cs"/>
          <w:rtl/>
        </w:rPr>
        <w:t>(א)</w:t>
      </w:r>
      <w:r w:rsidR="00F01A63">
        <w:rPr>
          <w:rStyle w:val="default"/>
          <w:rFonts w:cs="FrankRuehl"/>
          <w:rtl/>
        </w:rPr>
        <w:tab/>
      </w:r>
      <w:r w:rsidR="00F01A63">
        <w:rPr>
          <w:rStyle w:val="default"/>
          <w:rFonts w:cs="FrankRuehl" w:hint="cs"/>
          <w:rtl/>
        </w:rPr>
        <w:t xml:space="preserve">שר המשפטים, בהסכמת שר העבודה הרווחה והשירותים החברתיים, ובאישור ועדת החוקה חוק ומשפט של הכנסת (בחוק זה </w:t>
      </w:r>
      <w:r w:rsidR="00F01A63">
        <w:rPr>
          <w:rStyle w:val="default"/>
          <w:rFonts w:cs="FrankRuehl"/>
          <w:rtl/>
        </w:rPr>
        <w:t>–</w:t>
      </w:r>
      <w:r w:rsidR="00F01A63">
        <w:rPr>
          <w:rStyle w:val="default"/>
          <w:rFonts w:cs="FrankRuehl" w:hint="cs"/>
          <w:rtl/>
        </w:rPr>
        <w:t xml:space="preserve"> ועדת החוקה), רשאי לקבוע בתקנות אמצעי חלופי לתשלום הקנס המינהלי, כולו או חלקו, שיוטל על מי שעבר עבירה כאמור בסעיף 2 (בסעיף זה </w:t>
      </w:r>
      <w:r w:rsidR="00F01A63">
        <w:rPr>
          <w:rStyle w:val="default"/>
          <w:rFonts w:cs="FrankRuehl"/>
          <w:rtl/>
        </w:rPr>
        <w:t>–</w:t>
      </w:r>
      <w:r w:rsidR="00F01A63">
        <w:rPr>
          <w:rStyle w:val="default"/>
          <w:rFonts w:cs="FrankRuehl" w:hint="cs"/>
          <w:rtl/>
        </w:rPr>
        <w:t xml:space="preserve"> אמצעי חלופי); מטרת האמצעי החלופי היא, בין השאר, להקנות ידע ולהגביר את המודעות בכל הנוגע לנזקים הנגרמים לאוכלוסיות בזנות, והכול כדי למנוע את הישנות ביצוע העבירה</w:t>
      </w:r>
      <w:r>
        <w:rPr>
          <w:rStyle w:val="default"/>
          <w:rFonts w:cs="FrankRuehl" w:hint="cs"/>
          <w:rtl/>
        </w:rPr>
        <w:t>.</w:t>
      </w:r>
    </w:p>
    <w:p w14:paraId="5B55224E" w14:textId="77777777" w:rsidR="00F01A63" w:rsidRDefault="00F01A63" w:rsidP="007B43A6">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בתקנות כאמור בסעיף קטן (א) ייקבעו, בין השאר, הנסיבות והאופן שבהם יוטל האמצעי החלופי ושבהתקיימותן יהיה ניתן לדחות את מועד תשלום הקנס המינהלי לתקופה שלא תעלה על שישה חודשים מיום המצאת הודעת תשלום הקנס (בסעיף זה </w:t>
      </w:r>
      <w:r>
        <w:rPr>
          <w:rStyle w:val="default"/>
          <w:rFonts w:cs="FrankRuehl"/>
          <w:rtl/>
        </w:rPr>
        <w:t>–</w:t>
      </w:r>
      <w:r>
        <w:rPr>
          <w:rStyle w:val="default"/>
          <w:rFonts w:cs="FrankRuehl" w:hint="cs"/>
          <w:rtl/>
        </w:rPr>
        <w:t xml:space="preserve"> מועד מאוחר); </w:t>
      </w:r>
      <w:r w:rsidR="002F739B">
        <w:rPr>
          <w:rStyle w:val="default"/>
          <w:rFonts w:cs="FrankRuehl" w:hint="cs"/>
          <w:rtl/>
        </w:rPr>
        <w:t>כמו כן, יהיה ניתן לקבוע נסיבות מיוחדות לדחיית המועד המאוחר לתקופה נוספת שלא תעלה על שלושה חודשים.</w:t>
      </w:r>
    </w:p>
    <w:p w14:paraId="6C11E5D2" w14:textId="77777777" w:rsidR="0033536E" w:rsidRDefault="00AA7B87" w:rsidP="007B43A6">
      <w:pPr>
        <w:pStyle w:val="P00"/>
        <w:spacing w:before="72"/>
        <w:ind w:left="0" w:right="1134"/>
        <w:rPr>
          <w:rStyle w:val="default"/>
          <w:rFonts w:cs="FrankRuehl"/>
          <w:rtl/>
        </w:rPr>
      </w:pPr>
      <w:bookmarkStart w:id="5" w:name="Seif8"/>
      <w:bookmarkEnd w:id="5"/>
      <w:r>
        <w:rPr>
          <w:rFonts w:cs="Miriam"/>
          <w:szCs w:val="32"/>
          <w:rtl/>
          <w:lang w:eastAsia="en-US"/>
        </w:rPr>
        <w:pict w14:anchorId="46FBB3C5">
          <v:shape id="_x0000_s1038" type="#_x0000_t202" style="position:absolute;left:0;text-align:left;margin-left:470.25pt;margin-top:7.1pt;width:1in;height:16.8pt;z-index:251660800" filled="f" stroked="f">
            <v:textbox inset="1mm,0,1mm,0">
              <w:txbxContent>
                <w:p w14:paraId="24618801" w14:textId="77777777" w:rsidR="00AA7B87" w:rsidRDefault="002F739B" w:rsidP="00AA7B87">
                  <w:pPr>
                    <w:spacing w:line="160" w:lineRule="exact"/>
                    <w:jc w:val="left"/>
                    <w:rPr>
                      <w:rFonts w:cs="Miriam" w:hint="cs"/>
                      <w:noProof/>
                      <w:szCs w:val="18"/>
                      <w:rtl/>
                    </w:rPr>
                  </w:pPr>
                  <w:r>
                    <w:rPr>
                      <w:rFonts w:cs="Miriam" w:hint="cs"/>
                      <w:szCs w:val="18"/>
                      <w:rtl/>
                    </w:rPr>
                    <w:t xml:space="preserve">תיקון חוק העונשין </w:t>
                  </w:r>
                  <w:r>
                    <w:rPr>
                      <w:rFonts w:cs="Miriam"/>
                      <w:szCs w:val="18"/>
                      <w:rtl/>
                    </w:rPr>
                    <w:t>–</w:t>
                  </w:r>
                  <w:r>
                    <w:rPr>
                      <w:rFonts w:cs="Miriam" w:hint="cs"/>
                      <w:szCs w:val="18"/>
                      <w:rtl/>
                    </w:rPr>
                    <w:t xml:space="preserve"> מס' 138</w:t>
                  </w:r>
                </w:p>
              </w:txbxContent>
            </v:textbox>
          </v:shape>
        </w:pict>
      </w:r>
      <w:r w:rsidR="0033536E">
        <w:rPr>
          <w:rStyle w:val="big-number"/>
          <w:rtl/>
        </w:rPr>
        <w:t>6.</w:t>
      </w:r>
      <w:r w:rsidR="0033536E">
        <w:rPr>
          <w:rStyle w:val="big-number"/>
          <w:rtl/>
        </w:rPr>
        <w:tab/>
      </w:r>
      <w:r w:rsidR="002F739B">
        <w:rPr>
          <w:rStyle w:val="default"/>
          <w:rFonts w:cs="FrankRuehl" w:hint="cs"/>
          <w:rtl/>
        </w:rPr>
        <w:t>בחוק העונשין, התשל"ז-1977, במקום סעיף 203ג יבוא:</w:t>
      </w:r>
    </w:p>
    <w:p w14:paraId="05AAA12E" w14:textId="77777777" w:rsidR="002F739B" w:rsidRDefault="002F739B" w:rsidP="002F739B">
      <w:pPr>
        <w:pStyle w:val="P00"/>
        <w:spacing w:before="72"/>
        <w:ind w:left="624" w:right="1134"/>
        <w:rPr>
          <w:rStyle w:val="default"/>
          <w:rFonts w:cs="FrankRuehl"/>
          <w:rtl/>
        </w:rPr>
      </w:pPr>
      <w:r>
        <w:rPr>
          <w:rStyle w:val="default"/>
          <w:rFonts w:cs="FrankRuehl" w:hint="cs"/>
          <w:rtl/>
        </w:rPr>
        <w:t>"</w:t>
      </w:r>
      <w:r w:rsidRPr="002F739B">
        <w:rPr>
          <w:rStyle w:val="default"/>
          <w:rFonts w:ascii="Miriam" w:hAnsi="Miriam" w:cs="Miriam"/>
          <w:sz w:val="18"/>
          <w:szCs w:val="18"/>
          <w:rtl/>
        </w:rPr>
        <w:t>איסור צריכת מעשה זנות מקטין</w:t>
      </w:r>
    </w:p>
    <w:p w14:paraId="7DF606CC" w14:textId="77777777" w:rsidR="002F739B" w:rsidRDefault="002F739B" w:rsidP="002F739B">
      <w:pPr>
        <w:pStyle w:val="P00"/>
        <w:spacing w:before="72"/>
        <w:ind w:left="624" w:right="1134"/>
        <w:rPr>
          <w:rStyle w:val="default"/>
          <w:rFonts w:cs="FrankRuehl"/>
          <w:rtl/>
        </w:rPr>
      </w:pPr>
      <w:r>
        <w:rPr>
          <w:rStyle w:val="default"/>
          <w:rFonts w:cs="FrankRuehl" w:hint="cs"/>
          <w:rtl/>
        </w:rPr>
        <w:t xml:space="preserve">203ג. הצורך מעשה זנות מקטין, דינו </w:t>
      </w:r>
      <w:r>
        <w:rPr>
          <w:rStyle w:val="default"/>
          <w:rFonts w:cs="FrankRuehl"/>
          <w:rtl/>
        </w:rPr>
        <w:t>–</w:t>
      </w:r>
      <w:r>
        <w:rPr>
          <w:rStyle w:val="default"/>
          <w:rFonts w:cs="FrankRuehl" w:hint="cs"/>
          <w:rtl/>
        </w:rPr>
        <w:t xml:space="preserve"> מאסר חמש שנים."</w:t>
      </w:r>
    </w:p>
    <w:p w14:paraId="626FBCF0" w14:textId="77777777" w:rsidR="0033536E" w:rsidRDefault="0033536E" w:rsidP="007B43A6">
      <w:pPr>
        <w:pStyle w:val="P00"/>
        <w:spacing w:before="72"/>
        <w:ind w:left="0" w:right="1134"/>
        <w:rPr>
          <w:rStyle w:val="default"/>
          <w:rFonts w:cs="FrankRuehl"/>
          <w:rtl/>
        </w:rPr>
      </w:pPr>
      <w:bookmarkStart w:id="6" w:name="Seif4"/>
      <w:bookmarkEnd w:id="6"/>
      <w:r>
        <w:rPr>
          <w:lang w:val="he-IL"/>
        </w:rPr>
        <w:pict w14:anchorId="412C5552">
          <v:rect id="_x0000_s1029" style="position:absolute;left:0;text-align:left;margin-left:464.5pt;margin-top:8.05pt;width:75.05pt;height:12.65pt;z-index:251656704" o:allowincell="f" filled="f" stroked="f" strokecolor="lime" strokeweight=".25pt">
            <v:textbox style="mso-next-textbox:#_x0000_s1029" inset="0,0,0,0">
              <w:txbxContent>
                <w:p w14:paraId="64765F55" w14:textId="77777777" w:rsidR="0033536E" w:rsidRDefault="00E20C06">
                  <w:pPr>
                    <w:spacing w:line="160" w:lineRule="exact"/>
                    <w:jc w:val="left"/>
                    <w:rPr>
                      <w:rFonts w:cs="Miriam"/>
                      <w:noProof/>
                      <w:szCs w:val="18"/>
                      <w:rtl/>
                    </w:rPr>
                  </w:pPr>
                  <w:r>
                    <w:rPr>
                      <w:rFonts w:cs="Miriam" w:hint="cs"/>
                      <w:szCs w:val="18"/>
                      <w:rtl/>
                    </w:rPr>
                    <w:t>תחילה</w:t>
                  </w:r>
                </w:p>
              </w:txbxContent>
            </v:textbox>
            <w10:anchorlock/>
          </v:rect>
        </w:pict>
      </w:r>
      <w:r>
        <w:rPr>
          <w:rStyle w:val="big-number"/>
          <w:rtl/>
        </w:rPr>
        <w:t>7.</w:t>
      </w:r>
      <w:r>
        <w:rPr>
          <w:rStyle w:val="big-number"/>
          <w:rtl/>
        </w:rPr>
        <w:tab/>
      </w:r>
      <w:r w:rsidR="00E20C06">
        <w:rPr>
          <w:rStyle w:val="default"/>
          <w:rFonts w:cs="FrankRuehl" w:hint="cs"/>
          <w:rtl/>
        </w:rPr>
        <w:t xml:space="preserve">תחילתו של חוק זה 18 חודשים מיום פרסומו (להלן </w:t>
      </w:r>
      <w:r w:rsidR="00E20C06">
        <w:rPr>
          <w:rStyle w:val="default"/>
          <w:rFonts w:cs="FrankRuehl"/>
          <w:rtl/>
        </w:rPr>
        <w:t>–</w:t>
      </w:r>
      <w:r w:rsidR="00E20C06">
        <w:rPr>
          <w:rStyle w:val="default"/>
          <w:rFonts w:cs="FrankRuehl" w:hint="cs"/>
          <w:rtl/>
        </w:rPr>
        <w:t xml:space="preserve"> יום התחילה)</w:t>
      </w:r>
      <w:r>
        <w:rPr>
          <w:rStyle w:val="default"/>
          <w:rFonts w:cs="FrankRuehl" w:hint="cs"/>
          <w:rtl/>
        </w:rPr>
        <w:t>.</w:t>
      </w:r>
    </w:p>
    <w:p w14:paraId="73B034B3" w14:textId="77777777" w:rsidR="0033536E" w:rsidRDefault="0033536E" w:rsidP="007B43A6">
      <w:pPr>
        <w:pStyle w:val="P00"/>
        <w:spacing w:before="72"/>
        <w:ind w:left="0" w:right="1134"/>
        <w:rPr>
          <w:rStyle w:val="default"/>
          <w:rFonts w:cs="FrankRuehl"/>
          <w:rtl/>
        </w:rPr>
      </w:pPr>
      <w:bookmarkStart w:id="7" w:name="Seif5"/>
      <w:bookmarkEnd w:id="7"/>
      <w:r>
        <w:rPr>
          <w:lang w:val="he-IL"/>
        </w:rPr>
        <w:pict w14:anchorId="5CD212F0">
          <v:rect id="_x0000_s1030" style="position:absolute;left:0;text-align:left;margin-left:464.5pt;margin-top:8.05pt;width:75.05pt;height:13.3pt;z-index:251657728" o:allowincell="f" filled="f" stroked="f" strokecolor="lime" strokeweight=".25pt">
            <v:textbox style="mso-next-textbox:#_x0000_s1030" inset="0,0,0,0">
              <w:txbxContent>
                <w:p w14:paraId="67160AA4" w14:textId="77777777" w:rsidR="0033536E" w:rsidRDefault="00E20C06">
                  <w:pPr>
                    <w:spacing w:line="160" w:lineRule="exact"/>
                    <w:jc w:val="left"/>
                    <w:rPr>
                      <w:rFonts w:cs="Miriam"/>
                      <w:noProof/>
                      <w:szCs w:val="18"/>
                      <w:rtl/>
                    </w:rPr>
                  </w:pPr>
                  <w:r>
                    <w:rPr>
                      <w:rFonts w:cs="Miriam" w:hint="cs"/>
                      <w:szCs w:val="18"/>
                      <w:rtl/>
                    </w:rPr>
                    <w:t>תוקף</w:t>
                  </w:r>
                </w:p>
              </w:txbxContent>
            </v:textbox>
            <w10:anchorlock/>
          </v:rect>
        </w:pict>
      </w:r>
      <w:r>
        <w:rPr>
          <w:rStyle w:val="big-number"/>
          <w:rtl/>
        </w:rPr>
        <w:t>8.</w:t>
      </w:r>
      <w:r>
        <w:rPr>
          <w:rStyle w:val="big-number"/>
          <w:rtl/>
        </w:rPr>
        <w:tab/>
      </w:r>
      <w:r w:rsidR="00E20C06">
        <w:rPr>
          <w:rStyle w:val="default"/>
          <w:rFonts w:cs="FrankRuehl" w:hint="cs"/>
          <w:rtl/>
        </w:rPr>
        <w:t>(א)</w:t>
      </w:r>
      <w:r w:rsidR="00E20C06">
        <w:rPr>
          <w:rStyle w:val="default"/>
          <w:rFonts w:cs="FrankRuehl"/>
          <w:rtl/>
        </w:rPr>
        <w:tab/>
      </w:r>
      <w:r w:rsidR="00E20C06">
        <w:rPr>
          <w:rStyle w:val="default"/>
          <w:rFonts w:cs="FrankRuehl" w:hint="cs"/>
          <w:rtl/>
        </w:rPr>
        <w:t>חוק זה, למעט סעיף 6, יעמוד בתוקפו עד תום חמש שנים מיום התחילה</w:t>
      </w:r>
      <w:r>
        <w:rPr>
          <w:rStyle w:val="default"/>
          <w:rFonts w:cs="FrankRuehl" w:hint="cs"/>
          <w:rtl/>
        </w:rPr>
        <w:t>.</w:t>
      </w:r>
    </w:p>
    <w:p w14:paraId="49E2BE59" w14:textId="77777777" w:rsidR="00E20C06" w:rsidRDefault="00E20C06" w:rsidP="007B43A6">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לשם בחינת יישומו והשפעתו של חוק זה על השגת מטרתו ייערך מחקר, שממצאיו יוגשו לוועדת החוקה, בצירוף המלצות לעניין הארכת תוקפו של חוק זה, לא יאוחר משנה לפני תום תקופת תוקפו כאמור בסעיף קטן (א).</w:t>
      </w:r>
    </w:p>
    <w:p w14:paraId="1AAD37F9" w14:textId="77777777" w:rsidR="008D79F0" w:rsidRDefault="008D79F0" w:rsidP="008D79F0">
      <w:pPr>
        <w:pStyle w:val="P00"/>
        <w:spacing w:before="72"/>
        <w:ind w:left="0" w:right="1134"/>
        <w:rPr>
          <w:rStyle w:val="default"/>
          <w:rFonts w:cs="FrankRuehl"/>
          <w:rtl/>
        </w:rPr>
      </w:pPr>
      <w:bookmarkStart w:id="8" w:name="Seif9"/>
      <w:bookmarkEnd w:id="8"/>
      <w:r>
        <w:rPr>
          <w:lang w:val="he-IL"/>
        </w:rPr>
        <w:pict w14:anchorId="022D6D77">
          <v:rect id="_x0000_s1039" style="position:absolute;left:0;text-align:left;margin-left:464.5pt;margin-top:8.05pt;width:75.05pt;height:13.3pt;z-index:251661824" o:allowincell="f" filled="f" stroked="f" strokecolor="lime" strokeweight=".25pt">
            <v:textbox style="mso-next-textbox:#_x0000_s1039" inset="0,0,0,0">
              <w:txbxContent>
                <w:p w14:paraId="35398383" w14:textId="77777777" w:rsidR="008D79F0" w:rsidRDefault="00B91EC4" w:rsidP="008D79F0">
                  <w:pPr>
                    <w:spacing w:line="160" w:lineRule="exact"/>
                    <w:jc w:val="left"/>
                    <w:rPr>
                      <w:rFonts w:cs="Miriam"/>
                      <w:noProof/>
                      <w:szCs w:val="18"/>
                      <w:rtl/>
                    </w:rPr>
                  </w:pPr>
                  <w:r>
                    <w:rPr>
                      <w:rFonts w:cs="Miriam" w:hint="cs"/>
                      <w:szCs w:val="18"/>
                      <w:rtl/>
                    </w:rPr>
                    <w:t>דיווח לכנסת</w:t>
                  </w:r>
                </w:p>
              </w:txbxContent>
            </v:textbox>
            <w10:anchorlock/>
          </v:rect>
        </w:pict>
      </w:r>
      <w:r w:rsidR="00E20C06">
        <w:rPr>
          <w:rStyle w:val="big-number"/>
          <w:rFonts w:hint="cs"/>
          <w:rtl/>
        </w:rPr>
        <w:t>9</w:t>
      </w:r>
      <w:r>
        <w:rPr>
          <w:rStyle w:val="big-number"/>
          <w:rtl/>
        </w:rPr>
        <w:t>.</w:t>
      </w:r>
      <w:r>
        <w:rPr>
          <w:rStyle w:val="big-number"/>
          <w:rtl/>
        </w:rPr>
        <w:tab/>
      </w:r>
      <w:r w:rsidR="00936C21">
        <w:rPr>
          <w:rStyle w:val="default"/>
          <w:rFonts w:cs="FrankRuehl" w:hint="cs"/>
          <w:rtl/>
        </w:rPr>
        <w:t>השרים המנויים להלן ימסרו לוועדת החוקה, אחת לשנה, החל ביום פרסומו של חוק זה, דין וחשבון על קידום המהלך המשולב לצמצום הזנות ועל יישום הוראות חוק זה, לרבות הקשיים ביישומו; בדין וחשבון יכלול, בין השאר, פירוט של הפעולות שנעשו בשנה שקדמה למועד הדיווח, בסוגיות אלה:</w:t>
      </w:r>
    </w:p>
    <w:p w14:paraId="0249048E" w14:textId="77777777" w:rsidR="00936C21" w:rsidRDefault="00936C21" w:rsidP="00936C21">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השר לביטחון הפנים בעניין אכיפת האיסור של צריכת זנות, ובכלל זה </w:t>
      </w:r>
      <w:r>
        <w:rPr>
          <w:rStyle w:val="default"/>
          <w:rFonts w:cs="FrankRuehl"/>
          <w:rtl/>
        </w:rPr>
        <w:t>–</w:t>
      </w:r>
    </w:p>
    <w:p w14:paraId="46407ECC" w14:textId="77777777" w:rsidR="00936C21" w:rsidRDefault="00936C21" w:rsidP="00936C21">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 xml:space="preserve">מספר הקנסות שהוטלו, הבקשות להישפט שהוגשו, כתבי אישום שהוגשו בשל </w:t>
      </w:r>
      <w:r>
        <w:rPr>
          <w:rStyle w:val="default"/>
          <w:rFonts w:cs="FrankRuehl" w:hint="cs"/>
          <w:rtl/>
        </w:rPr>
        <w:lastRenderedPageBreak/>
        <w:t>עבירה לפי חוק זה, לרבות בשל עבירות נוספות הקשורות לאותה פרשה, ושיעור ההרשעות והזיכויים באותם מקרים, והכול תוך הבחנה בין עבירה ראשונה לעבירה חוזרת וציון סוג המקומות שבהם נאכף האיסור;</w:t>
      </w:r>
    </w:p>
    <w:p w14:paraId="334D2F54" w14:textId="77777777" w:rsidR="00936C21" w:rsidRDefault="00936C21" w:rsidP="00936C21">
      <w:pPr>
        <w:pStyle w:val="P00"/>
        <w:spacing w:before="72"/>
        <w:ind w:left="1021"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מספר המקרים שבהם הוצע לאדם אמצעי חלופי והמקרים שבהם בוצעה עבירה חוזרת לאחר הטלת אמצעי חלופי, בכפוף להתקנת תקנות לפי סעיף 5;</w:t>
      </w:r>
    </w:p>
    <w:p w14:paraId="331D847B" w14:textId="77777777" w:rsidR="00936C21" w:rsidRDefault="00936C21" w:rsidP="00936C21">
      <w:pPr>
        <w:pStyle w:val="P00"/>
        <w:spacing w:before="72"/>
        <w:ind w:left="1021" w:right="1134"/>
        <w:rPr>
          <w:rStyle w:val="default"/>
          <w:rFonts w:cs="FrankRuehl"/>
          <w:rtl/>
        </w:rPr>
      </w:pPr>
      <w:r>
        <w:rPr>
          <w:rStyle w:val="default"/>
          <w:rFonts w:cs="FrankRuehl" w:hint="cs"/>
          <w:rtl/>
        </w:rPr>
        <w:t>(ג)</w:t>
      </w:r>
      <w:r>
        <w:rPr>
          <w:rStyle w:val="default"/>
          <w:rFonts w:cs="FrankRuehl"/>
          <w:rtl/>
        </w:rPr>
        <w:tab/>
      </w:r>
      <w:r>
        <w:rPr>
          <w:rStyle w:val="default"/>
          <w:rFonts w:cs="FrankRuehl" w:hint="cs"/>
          <w:rtl/>
        </w:rPr>
        <w:t>מספר המקרים שבהם החשוד נחקר בתחנת המשטרה והמקרים שבהם נדרשה חקירה של אוכלוסיות בזנות;</w:t>
      </w:r>
    </w:p>
    <w:p w14:paraId="0E7029CB" w14:textId="77777777" w:rsidR="00936C21" w:rsidRDefault="00936C21" w:rsidP="00936C21">
      <w:pPr>
        <w:pStyle w:val="P00"/>
        <w:spacing w:before="72"/>
        <w:ind w:left="624"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שר העבודה הרווחה והשירותים החברתיים בעניין </w:t>
      </w:r>
      <w:r>
        <w:rPr>
          <w:rStyle w:val="default"/>
          <w:rFonts w:cs="FrankRuehl"/>
          <w:rtl/>
        </w:rPr>
        <w:t>–</w:t>
      </w:r>
    </w:p>
    <w:p w14:paraId="000012B0" w14:textId="77777777" w:rsidR="00936C21" w:rsidRDefault="00936C21" w:rsidP="00936C21">
      <w:pPr>
        <w:pStyle w:val="P00"/>
        <w:spacing w:before="72"/>
        <w:ind w:left="1021"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מספר המשתתפים שנטלו חלק בפעילות שהיא אמצעי חלופי, תוך פירוט סוגי האמצעים החלופיים, בכפוף להתקנת תקנות לפי סעיף 5;</w:t>
      </w:r>
    </w:p>
    <w:p w14:paraId="1DD9976C" w14:textId="77777777" w:rsidR="00936C21" w:rsidRDefault="00936C21" w:rsidP="00936C21">
      <w:pPr>
        <w:pStyle w:val="P00"/>
        <w:spacing w:before="72"/>
        <w:ind w:left="1021" w:right="1134"/>
        <w:rPr>
          <w:rStyle w:val="default"/>
          <w:rFonts w:cs="FrankRuehl" w:hint="cs"/>
          <w:rtl/>
        </w:rPr>
      </w:pPr>
      <w:r>
        <w:rPr>
          <w:rStyle w:val="default"/>
          <w:rFonts w:cs="FrankRuehl" w:hint="cs"/>
          <w:rtl/>
        </w:rPr>
        <w:t>(ב)</w:t>
      </w:r>
      <w:r>
        <w:rPr>
          <w:rStyle w:val="default"/>
          <w:rFonts w:cs="FrankRuehl"/>
          <w:rtl/>
        </w:rPr>
        <w:tab/>
      </w:r>
      <w:r>
        <w:rPr>
          <w:rStyle w:val="default"/>
          <w:rFonts w:cs="FrankRuehl" w:hint="cs"/>
          <w:rtl/>
        </w:rPr>
        <w:t>מסגרות השיקום הקיימות והחסרות לאוכלוסיות בזנות, תוך פירוט גיל, מין, מגדר ומספר המשתתפים המרבי ומספר המשתתפים בפועל בכל מסגרת.</w:t>
      </w:r>
    </w:p>
    <w:p w14:paraId="3F92C787" w14:textId="77777777" w:rsidR="008D79F0" w:rsidRDefault="008D79F0">
      <w:pPr>
        <w:pStyle w:val="P00"/>
        <w:spacing w:before="72"/>
        <w:ind w:left="0" w:right="1134"/>
        <w:rPr>
          <w:rStyle w:val="default"/>
          <w:rFonts w:cs="FrankRuehl" w:hint="cs"/>
          <w:rtl/>
        </w:rPr>
      </w:pPr>
    </w:p>
    <w:p w14:paraId="7CFD5DA1" w14:textId="77777777" w:rsidR="007B43A6" w:rsidRDefault="007B43A6">
      <w:pPr>
        <w:pStyle w:val="P00"/>
        <w:spacing w:before="72"/>
        <w:ind w:left="0" w:right="1134"/>
        <w:rPr>
          <w:rStyle w:val="default"/>
          <w:rFonts w:cs="FrankRuehl" w:hint="cs"/>
          <w:rtl/>
        </w:rPr>
      </w:pPr>
    </w:p>
    <w:p w14:paraId="1EFDF6A8" w14:textId="77777777" w:rsidR="007B43A6" w:rsidRPr="00054EB3" w:rsidRDefault="007B43A6" w:rsidP="00936C21">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sidRPr="00054EB3">
        <w:rPr>
          <w:sz w:val="26"/>
          <w:szCs w:val="26"/>
          <w:rtl/>
        </w:rPr>
        <w:tab/>
      </w:r>
      <w:r w:rsidRPr="00054EB3">
        <w:rPr>
          <w:sz w:val="26"/>
          <w:szCs w:val="26"/>
          <w:rtl/>
        </w:rPr>
        <w:tab/>
      </w:r>
      <w:r w:rsidR="00936C21">
        <w:rPr>
          <w:rFonts w:hint="cs"/>
          <w:sz w:val="26"/>
          <w:szCs w:val="26"/>
          <w:rtl/>
        </w:rPr>
        <w:t>בנימין נתניהו</w:t>
      </w:r>
    </w:p>
    <w:p w14:paraId="0FEC469A" w14:textId="77777777" w:rsidR="007B43A6" w:rsidRDefault="007B43A6" w:rsidP="00936C21">
      <w:pPr>
        <w:pStyle w:val="sig-1"/>
        <w:widowControl/>
        <w:tabs>
          <w:tab w:val="clear" w:pos="851"/>
          <w:tab w:val="clear" w:pos="2835"/>
          <w:tab w:val="clear" w:pos="4820"/>
          <w:tab w:val="center" w:pos="1701"/>
          <w:tab w:val="center" w:pos="3969"/>
          <w:tab w:val="center" w:pos="6237"/>
        </w:tabs>
        <w:ind w:left="0" w:right="1134"/>
        <w:rPr>
          <w:rtl/>
        </w:rPr>
      </w:pPr>
      <w:r>
        <w:rPr>
          <w:rtl/>
        </w:rPr>
        <w:tab/>
      </w:r>
      <w:r>
        <w:rPr>
          <w:rtl/>
        </w:rPr>
        <w:tab/>
      </w:r>
      <w:r>
        <w:rPr>
          <w:rFonts w:hint="cs"/>
          <w:rtl/>
        </w:rPr>
        <w:t>ראש הממשלה</w:t>
      </w:r>
    </w:p>
    <w:p w14:paraId="765D44EE" w14:textId="77777777" w:rsidR="0033536E" w:rsidRPr="00054EB3" w:rsidRDefault="0033536E" w:rsidP="00936C21">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sidRPr="00054EB3">
        <w:rPr>
          <w:sz w:val="26"/>
          <w:szCs w:val="26"/>
          <w:rtl/>
        </w:rPr>
        <w:tab/>
      </w:r>
      <w:r w:rsidR="00936C21">
        <w:rPr>
          <w:rFonts w:hint="cs"/>
          <w:sz w:val="26"/>
          <w:szCs w:val="26"/>
          <w:rtl/>
        </w:rPr>
        <w:t>ראובן ריבלין</w:t>
      </w:r>
      <w:r w:rsidR="00936C21">
        <w:rPr>
          <w:sz w:val="26"/>
          <w:szCs w:val="26"/>
          <w:rtl/>
        </w:rPr>
        <w:tab/>
      </w:r>
      <w:r w:rsidR="00936C21">
        <w:rPr>
          <w:sz w:val="26"/>
          <w:szCs w:val="26"/>
          <w:rtl/>
        </w:rPr>
        <w:tab/>
      </w:r>
      <w:r w:rsidR="00936C21">
        <w:rPr>
          <w:rFonts w:hint="cs"/>
          <w:sz w:val="26"/>
          <w:szCs w:val="26"/>
          <w:rtl/>
        </w:rPr>
        <w:t>יולי יואל אדלשטיין</w:t>
      </w:r>
    </w:p>
    <w:p w14:paraId="732A4722" w14:textId="77777777" w:rsidR="0033536E" w:rsidRDefault="0033536E" w:rsidP="00936C21">
      <w:pPr>
        <w:pStyle w:val="sig-1"/>
        <w:widowControl/>
        <w:tabs>
          <w:tab w:val="clear" w:pos="851"/>
          <w:tab w:val="clear" w:pos="2835"/>
          <w:tab w:val="clear" w:pos="4820"/>
          <w:tab w:val="center" w:pos="1701"/>
          <w:tab w:val="center" w:pos="3969"/>
          <w:tab w:val="center" w:pos="6237"/>
        </w:tabs>
        <w:ind w:left="0" w:right="1134"/>
        <w:rPr>
          <w:rtl/>
        </w:rPr>
      </w:pPr>
      <w:r>
        <w:rPr>
          <w:rtl/>
        </w:rPr>
        <w:tab/>
      </w:r>
      <w:r>
        <w:rPr>
          <w:rFonts w:hint="cs"/>
          <w:rtl/>
        </w:rPr>
        <w:t>נשיא המדינה</w:t>
      </w:r>
      <w:r w:rsidR="00936C21">
        <w:rPr>
          <w:rtl/>
        </w:rPr>
        <w:tab/>
      </w:r>
      <w:r w:rsidR="00936C21">
        <w:rPr>
          <w:rtl/>
        </w:rPr>
        <w:tab/>
      </w:r>
      <w:r w:rsidR="00936C21">
        <w:rPr>
          <w:rFonts w:hint="cs"/>
          <w:rtl/>
        </w:rPr>
        <w:t>יושב ראש הכנסת</w:t>
      </w:r>
    </w:p>
    <w:p w14:paraId="37F7DA1D" w14:textId="77777777" w:rsidR="008D79F0" w:rsidRPr="00054EB3" w:rsidRDefault="008D79F0" w:rsidP="00054EB3">
      <w:pPr>
        <w:pStyle w:val="P00"/>
        <w:spacing w:before="72"/>
        <w:ind w:left="0" w:right="1134"/>
        <w:rPr>
          <w:rStyle w:val="default"/>
          <w:rFonts w:cs="FrankRuehl" w:hint="cs"/>
          <w:rtl/>
        </w:rPr>
      </w:pPr>
    </w:p>
    <w:p w14:paraId="3A7760A1" w14:textId="77777777" w:rsidR="00054EB3" w:rsidRPr="00054EB3" w:rsidRDefault="00054EB3" w:rsidP="00054EB3">
      <w:pPr>
        <w:pStyle w:val="P00"/>
        <w:spacing w:before="72"/>
        <w:ind w:left="0" w:right="1134"/>
        <w:rPr>
          <w:rStyle w:val="default"/>
          <w:rFonts w:cs="FrankRuehl"/>
          <w:rtl/>
        </w:rPr>
      </w:pPr>
    </w:p>
    <w:p w14:paraId="10C2CF04" w14:textId="77777777" w:rsidR="0033536E" w:rsidRPr="00054EB3" w:rsidRDefault="0033536E" w:rsidP="00054EB3">
      <w:pPr>
        <w:pStyle w:val="P00"/>
        <w:spacing w:before="72"/>
        <w:ind w:left="0" w:right="1134"/>
        <w:rPr>
          <w:rStyle w:val="default"/>
          <w:rFonts w:cs="FrankRuehl"/>
          <w:rtl/>
        </w:rPr>
      </w:pPr>
      <w:bookmarkStart w:id="9" w:name="LawPartEnd"/>
    </w:p>
    <w:bookmarkEnd w:id="9"/>
    <w:p w14:paraId="1C8C8DB8" w14:textId="77777777" w:rsidR="00F844CF" w:rsidRDefault="00F844CF" w:rsidP="00054EB3">
      <w:pPr>
        <w:pStyle w:val="P00"/>
        <w:spacing w:before="72"/>
        <w:ind w:left="0" w:right="1134"/>
        <w:rPr>
          <w:rStyle w:val="default"/>
          <w:rFonts w:cs="FrankRuehl"/>
          <w:rtl/>
        </w:rPr>
      </w:pPr>
    </w:p>
    <w:p w14:paraId="57258756" w14:textId="77777777" w:rsidR="00F844CF" w:rsidRDefault="00F844CF" w:rsidP="00054EB3">
      <w:pPr>
        <w:pStyle w:val="P00"/>
        <w:spacing w:before="72"/>
        <w:ind w:left="0" w:right="1134"/>
        <w:rPr>
          <w:rStyle w:val="default"/>
          <w:rFonts w:cs="FrankRuehl"/>
          <w:rtl/>
        </w:rPr>
      </w:pPr>
    </w:p>
    <w:p w14:paraId="55C5D09F" w14:textId="77777777" w:rsidR="00F844CF" w:rsidRDefault="00F844CF" w:rsidP="00F844CF">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20E1508F" w14:textId="77777777" w:rsidR="0033536E" w:rsidRPr="00F844CF" w:rsidRDefault="0033536E" w:rsidP="00F844CF">
      <w:pPr>
        <w:pStyle w:val="P00"/>
        <w:spacing w:before="72"/>
        <w:ind w:left="0" w:right="1134"/>
        <w:jc w:val="center"/>
        <w:rPr>
          <w:rStyle w:val="default"/>
          <w:rFonts w:cs="David"/>
          <w:color w:val="0000FF"/>
          <w:szCs w:val="24"/>
          <w:u w:val="single"/>
          <w:rtl/>
        </w:rPr>
      </w:pPr>
    </w:p>
    <w:sectPr w:rsidR="0033536E" w:rsidRPr="00F844CF">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A9A5E8" w14:textId="77777777" w:rsidR="00835FEA" w:rsidRDefault="00835FEA">
      <w:r>
        <w:separator/>
      </w:r>
    </w:p>
  </w:endnote>
  <w:endnote w:type="continuationSeparator" w:id="0">
    <w:p w14:paraId="3D323F58" w14:textId="77777777" w:rsidR="00835FEA" w:rsidRDefault="00835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6F01C" w14:textId="77777777" w:rsidR="0033536E" w:rsidRDefault="0033536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7F630B3" w14:textId="77777777" w:rsidR="0033536E" w:rsidRDefault="0033536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AB7044B" w14:textId="77777777" w:rsidR="0033536E" w:rsidRDefault="0033536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5C36">
      <w:rPr>
        <w:rFonts w:cs="TopType Jerushalmi"/>
        <w:noProof/>
        <w:color w:val="000000"/>
        <w:sz w:val="14"/>
        <w:szCs w:val="14"/>
      </w:rPr>
      <w:t>Z:\000000000000-law\yael\revadim\08-06-11\tav\055_281.doc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4710B" w14:textId="77777777" w:rsidR="0033536E" w:rsidRDefault="0033536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844CF">
      <w:rPr>
        <w:rFonts w:hAnsi="FrankRuehl" w:cs="FrankRuehl"/>
        <w:noProof/>
        <w:sz w:val="24"/>
        <w:szCs w:val="24"/>
        <w:rtl/>
      </w:rPr>
      <w:t>3</w:t>
    </w:r>
    <w:r>
      <w:rPr>
        <w:rFonts w:hAnsi="FrankRuehl" w:cs="FrankRuehl"/>
        <w:sz w:val="24"/>
        <w:szCs w:val="24"/>
        <w:rtl/>
      </w:rPr>
      <w:fldChar w:fldCharType="end"/>
    </w:r>
  </w:p>
  <w:p w14:paraId="1381796F" w14:textId="77777777" w:rsidR="0033536E" w:rsidRDefault="0033536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91C40E8" w14:textId="77777777" w:rsidR="0033536E" w:rsidRDefault="0033536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85C36">
      <w:rPr>
        <w:rFonts w:cs="TopType Jerushalmi"/>
        <w:noProof/>
        <w:color w:val="000000"/>
        <w:sz w:val="14"/>
        <w:szCs w:val="14"/>
      </w:rPr>
      <w:t>Z:\000000000000-law\yael\revadim\08-06-11\tav\055_281.doc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D0D67" w14:textId="77777777" w:rsidR="00835FEA" w:rsidRDefault="00835FEA" w:rsidP="00054EB3">
      <w:pPr>
        <w:spacing w:before="60" w:line="240" w:lineRule="auto"/>
        <w:ind w:right="1134"/>
      </w:pPr>
      <w:r>
        <w:separator/>
      </w:r>
    </w:p>
  </w:footnote>
  <w:footnote w:type="continuationSeparator" w:id="0">
    <w:p w14:paraId="5647A39F" w14:textId="77777777" w:rsidR="00835FEA" w:rsidRDefault="00835FEA">
      <w:r>
        <w:continuationSeparator/>
      </w:r>
    </w:p>
  </w:footnote>
  <w:footnote w:id="1">
    <w:p w14:paraId="0DC87EEB" w14:textId="77777777" w:rsidR="000E66E1" w:rsidRPr="00054EB3" w:rsidRDefault="00054EB3" w:rsidP="000E66E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054EB3">
        <w:rPr>
          <w:sz w:val="20"/>
          <w:rtl/>
        </w:rPr>
        <w:t xml:space="preserve">* </w:t>
      </w:r>
      <w:r>
        <w:rPr>
          <w:sz w:val="20"/>
          <w:rtl/>
        </w:rPr>
        <w:t>פ</w:t>
      </w:r>
      <w:r>
        <w:rPr>
          <w:rFonts w:hint="cs"/>
          <w:sz w:val="20"/>
          <w:rtl/>
        </w:rPr>
        <w:t xml:space="preserve">ורסם </w:t>
      </w:r>
      <w:hyperlink r:id="rId1" w:history="1">
        <w:r w:rsidRPr="000E66E1">
          <w:rPr>
            <w:rStyle w:val="Hyperlink"/>
            <w:rFonts w:hint="cs"/>
            <w:sz w:val="20"/>
            <w:rtl/>
          </w:rPr>
          <w:t>ס"ח</w:t>
        </w:r>
        <w:r w:rsidRPr="000E66E1">
          <w:rPr>
            <w:rStyle w:val="Hyperlink"/>
            <w:rFonts w:hint="cs"/>
            <w:sz w:val="20"/>
            <w:rtl/>
          </w:rPr>
          <w:t xml:space="preserve"> תש</w:t>
        </w:r>
        <w:r w:rsidR="008D79F0" w:rsidRPr="000E66E1">
          <w:rPr>
            <w:rStyle w:val="Hyperlink"/>
            <w:rFonts w:hint="cs"/>
            <w:sz w:val="20"/>
            <w:rtl/>
          </w:rPr>
          <w:t>ע"ט</w:t>
        </w:r>
        <w:r w:rsidRPr="000E66E1">
          <w:rPr>
            <w:rStyle w:val="Hyperlink"/>
            <w:rFonts w:hint="cs"/>
            <w:sz w:val="20"/>
            <w:rtl/>
          </w:rPr>
          <w:t xml:space="preserve"> מס' </w:t>
        </w:r>
        <w:r w:rsidR="008D79F0" w:rsidRPr="000E66E1">
          <w:rPr>
            <w:rStyle w:val="Hyperlink"/>
            <w:rFonts w:hint="cs"/>
            <w:sz w:val="20"/>
            <w:rtl/>
          </w:rPr>
          <w:t>2779</w:t>
        </w:r>
      </w:hyperlink>
      <w:r>
        <w:rPr>
          <w:rFonts w:hint="cs"/>
          <w:sz w:val="20"/>
          <w:rtl/>
        </w:rPr>
        <w:t xml:space="preserve"> מיום </w:t>
      </w:r>
      <w:r w:rsidR="008D79F0">
        <w:rPr>
          <w:rFonts w:hint="cs"/>
          <w:sz w:val="20"/>
          <w:rtl/>
        </w:rPr>
        <w:t>10.1.2019</w:t>
      </w:r>
      <w:r>
        <w:rPr>
          <w:rFonts w:hint="cs"/>
          <w:sz w:val="20"/>
          <w:rtl/>
        </w:rPr>
        <w:t xml:space="preserve"> עמ' </w:t>
      </w:r>
      <w:r w:rsidR="008D79F0">
        <w:rPr>
          <w:rFonts w:hint="cs"/>
          <w:sz w:val="20"/>
          <w:rtl/>
        </w:rPr>
        <w:t>235</w:t>
      </w:r>
      <w:r>
        <w:rPr>
          <w:rFonts w:hint="cs"/>
          <w:sz w:val="20"/>
          <w:rtl/>
        </w:rPr>
        <w:t xml:space="preserve"> (</w:t>
      </w:r>
      <w:hyperlink r:id="rId2" w:history="1">
        <w:r w:rsidRPr="008D79F0">
          <w:rPr>
            <w:rStyle w:val="Hyperlink"/>
            <w:rFonts w:hint="cs"/>
            <w:sz w:val="20"/>
            <w:rtl/>
          </w:rPr>
          <w:t xml:space="preserve">ה"ח </w:t>
        </w:r>
        <w:r w:rsidR="008D79F0" w:rsidRPr="008D79F0">
          <w:rPr>
            <w:rStyle w:val="Hyperlink"/>
            <w:rFonts w:hint="cs"/>
            <w:sz w:val="20"/>
            <w:rtl/>
          </w:rPr>
          <w:t>הממשלה תשע"ט מס' 1258</w:t>
        </w:r>
      </w:hyperlink>
      <w:r w:rsidRPr="008D79F0">
        <w:rPr>
          <w:rFonts w:hint="cs"/>
          <w:sz w:val="20"/>
          <w:rtl/>
        </w:rPr>
        <w:t xml:space="preserve"> </w:t>
      </w:r>
      <w:r>
        <w:rPr>
          <w:rFonts w:hint="cs"/>
          <w:sz w:val="20"/>
          <w:rtl/>
        </w:rPr>
        <w:t xml:space="preserve">עמ' </w:t>
      </w:r>
      <w:r w:rsidR="008D79F0">
        <w:rPr>
          <w:rFonts w:hint="cs"/>
          <w:sz w:val="20"/>
          <w:rtl/>
        </w:rPr>
        <w:t>58</w:t>
      </w:r>
      <w:r>
        <w:rPr>
          <w:rFonts w:hint="cs"/>
          <w:sz w:val="2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5DB76" w14:textId="77777777" w:rsidR="0033536E" w:rsidRDefault="0033536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בתי המשפט (עבירות שענשן מוות), תשכ"א–1961</w:t>
    </w:r>
  </w:p>
  <w:p w14:paraId="0AF12C9D" w14:textId="77777777" w:rsidR="0033536E" w:rsidRDefault="003353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149487E" w14:textId="77777777" w:rsidR="0033536E" w:rsidRDefault="0033536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F567D" w14:textId="77777777" w:rsidR="0033536E" w:rsidRDefault="0033536E" w:rsidP="00054EB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 xml:space="preserve">חוק </w:t>
    </w:r>
    <w:r w:rsidR="008D79F0">
      <w:rPr>
        <w:rFonts w:hAnsi="FrankRuehl" w:cs="FrankRuehl" w:hint="cs"/>
        <w:color w:val="000000"/>
        <w:sz w:val="28"/>
        <w:szCs w:val="28"/>
        <w:rtl/>
      </w:rPr>
      <w:t>איסור צריכת זנות (הוראת שעה ותיקון חקיקה), תשע"ט-2019</w:t>
    </w:r>
  </w:p>
  <w:p w14:paraId="18B5D4D3" w14:textId="77777777" w:rsidR="0033536E" w:rsidRDefault="0033536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B26D36" w14:textId="77777777" w:rsidR="0033536E" w:rsidRDefault="0033536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7266"/>
    <w:rsid w:val="00054EB3"/>
    <w:rsid w:val="000E66E1"/>
    <w:rsid w:val="001979E3"/>
    <w:rsid w:val="002F739B"/>
    <w:rsid w:val="0033536E"/>
    <w:rsid w:val="00385C36"/>
    <w:rsid w:val="00677ADD"/>
    <w:rsid w:val="006A38D3"/>
    <w:rsid w:val="007B43A6"/>
    <w:rsid w:val="00835FEA"/>
    <w:rsid w:val="008469DC"/>
    <w:rsid w:val="008D79F0"/>
    <w:rsid w:val="00936C21"/>
    <w:rsid w:val="0093777F"/>
    <w:rsid w:val="00A8487F"/>
    <w:rsid w:val="00A87266"/>
    <w:rsid w:val="00AA7B87"/>
    <w:rsid w:val="00B549CA"/>
    <w:rsid w:val="00B91EC4"/>
    <w:rsid w:val="00BF728E"/>
    <w:rsid w:val="00E20C06"/>
    <w:rsid w:val="00F01A63"/>
    <w:rsid w:val="00F844C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1A339F88"/>
  <w15:chartTrackingRefBased/>
  <w15:docId w15:val="{F17FBA49-3814-4D22-8E99-F71E96FA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sid w:val="00A87266"/>
    <w:rPr>
      <w:color w:val="800080"/>
      <w:u w:val="single"/>
    </w:rPr>
  </w:style>
  <w:style w:type="paragraph" w:styleId="a5">
    <w:name w:val="footnote text"/>
    <w:basedOn w:val="a"/>
    <w:semiHidden/>
    <w:rsid w:val="00054EB3"/>
    <w:rPr>
      <w:sz w:val="20"/>
      <w:szCs w:val="20"/>
    </w:rPr>
  </w:style>
  <w:style w:type="character" w:styleId="a6">
    <w:name w:val="footnote reference"/>
    <w:semiHidden/>
    <w:rsid w:val="00054EB3"/>
    <w:rPr>
      <w:vertAlign w:val="superscript"/>
    </w:rPr>
  </w:style>
  <w:style w:type="character" w:customStyle="1" w:styleId="UnresolvedMention">
    <w:name w:val="Unresolved Mention"/>
    <w:uiPriority w:val="99"/>
    <w:semiHidden/>
    <w:unhideWhenUsed/>
    <w:rsid w:val="008D79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5/memshala-1258.pdf" TargetMode="External"/><Relationship Id="rId1" Type="http://schemas.openxmlformats.org/officeDocument/2006/relationships/hyperlink" Target="http://www.nevo.co.il/law_word/law14/law-277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פרק 55</vt:lpstr>
    </vt:vector>
  </TitlesOfParts>
  <Company/>
  <LinksUpToDate>false</LinksUpToDate>
  <CharactersWithSpaces>4491</CharactersWithSpaces>
  <SharedDoc>false</SharedDoc>
  <HLinks>
    <vt:vector size="72" baseType="variant">
      <vt:variant>
        <vt:i4>393283</vt:i4>
      </vt:variant>
      <vt:variant>
        <vt:i4>54</vt:i4>
      </vt:variant>
      <vt:variant>
        <vt:i4>0</vt:i4>
      </vt:variant>
      <vt:variant>
        <vt:i4>5</vt:i4>
      </vt:variant>
      <vt:variant>
        <vt:lpwstr>http://www.nevo.co.il/advertisements/nevo-100.doc</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Seif8</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Seif7</vt:lpwstr>
      </vt:variant>
      <vt:variant>
        <vt:i4>196634</vt:i4>
      </vt:variant>
      <vt:variant>
        <vt:i4>12</vt:i4>
      </vt:variant>
      <vt:variant>
        <vt:i4>0</vt:i4>
      </vt:variant>
      <vt:variant>
        <vt:i4>5</vt:i4>
      </vt:variant>
      <vt:variant>
        <vt:lpwstr/>
      </vt:variant>
      <vt:variant>
        <vt:lpwstr>Seif6</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1704045</vt:i4>
      </vt:variant>
      <vt:variant>
        <vt:i4>3</vt:i4>
      </vt:variant>
      <vt:variant>
        <vt:i4>0</vt:i4>
      </vt:variant>
      <vt:variant>
        <vt:i4>5</vt:i4>
      </vt:variant>
      <vt:variant>
        <vt:lpwstr>http://www.nevo.co.il/Law_word/law15/memshala-1258.pdf</vt:lpwstr>
      </vt:variant>
      <vt:variant>
        <vt:lpwstr/>
      </vt:variant>
      <vt:variant>
        <vt:i4>7995399</vt:i4>
      </vt:variant>
      <vt:variant>
        <vt:i4>0</vt:i4>
      </vt:variant>
      <vt:variant>
        <vt:i4>0</vt:i4>
      </vt:variant>
      <vt:variant>
        <vt:i4>5</vt:i4>
      </vt:variant>
      <vt:variant>
        <vt:lpwstr>http://www.nevo.co.il/law_word/law14/law-2779.pdf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2023-06-05T18:50:00Z</dcterms:created>
  <dcterms:modified xsi:type="dcterms:W3CDTF">2023-06-05T18:50:00Z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עונשין</vt:lpwstr>
  </property>
  <property fmtid="{D5CDD505-2E9C-101B-9397-08002B2CF9AE}" pid="4" name="LAWNAME">
    <vt:lpwstr>חוק איסור צריכת זנות (הוראת שעה ותיקון חקיקה), תשע"ט-2019</vt:lpwstr>
  </property>
  <property fmtid="{D5CDD505-2E9C-101B-9397-08002B2CF9AE}" pid="5" name="LAWNUMBER">
    <vt:lpwstr>0044</vt:lpwstr>
  </property>
  <property fmtid="{D5CDD505-2E9C-101B-9397-08002B2CF9AE}" pid="6" name="TYPE">
    <vt:lpwstr>01</vt:lpwstr>
  </property>
  <property fmtid="{D5CDD505-2E9C-101B-9397-08002B2CF9AE}" pid="7" name="NOSE11">
    <vt:lpwstr>עונשין ומשפט פלילי</vt:lpwstr>
  </property>
  <property fmtid="{D5CDD505-2E9C-101B-9397-08002B2CF9AE}" pid="8" name="NOSE21">
    <vt:lpwstr>עבירות</vt:lpwstr>
  </property>
  <property fmtid="{D5CDD505-2E9C-101B-9397-08002B2CF9AE}" pid="9" name="NOSE31">
    <vt:lpwstr/>
  </property>
  <property fmtid="{D5CDD505-2E9C-101B-9397-08002B2CF9AE}" pid="10" name="NOSE41">
    <vt:lpwstr/>
  </property>
  <property fmtid="{D5CDD505-2E9C-101B-9397-08002B2CF9AE}" pid="11" name="NOSE32">
    <vt:lpwstr/>
  </property>
  <property fmtid="{D5CDD505-2E9C-101B-9397-08002B2CF9AE}" pid="12" name="NOSE42">
    <vt:lpwstr/>
  </property>
  <property fmtid="{D5CDD505-2E9C-101B-9397-08002B2CF9AE}" pid="13" name="NOSE13">
    <vt:lpwstr/>
  </property>
  <property fmtid="{D5CDD505-2E9C-101B-9397-08002B2CF9AE}" pid="14" name="NOSE23">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1">
    <vt:lpwstr>http://www.nevo.co.il/law_word/law14/law-2779.pdf;‎רשומות - ספר חוקים#פורסם ס"ח תשע"ט מס' ‏‏2779 #מיום 10.1.2019 עמ' 235‏</vt:lpwstr>
  </property>
  <property fmtid="{D5CDD505-2E9C-101B-9397-08002B2CF9AE}" pid="47" name="LINKK2">
    <vt:lpwstr/>
  </property>
  <property fmtid="{D5CDD505-2E9C-101B-9397-08002B2CF9AE}" pid="48" name="LINKK3">
    <vt:lpwstr/>
  </property>
  <property fmtid="{D5CDD505-2E9C-101B-9397-08002B2CF9AE}" pid="49" name="LINKK4">
    <vt:lpwstr/>
  </property>
  <property fmtid="{D5CDD505-2E9C-101B-9397-08002B2CF9AE}" pid="50" name="LINKK5">
    <vt:lpwstr/>
  </property>
  <property fmtid="{D5CDD505-2E9C-101B-9397-08002B2CF9AE}" pid="51" name="LINKK6">
    <vt:lpwstr/>
  </property>
  <property fmtid="{D5CDD505-2E9C-101B-9397-08002B2CF9AE}" pid="52" name="LINKK7">
    <vt:lpwstr/>
  </property>
  <property fmtid="{D5CDD505-2E9C-101B-9397-08002B2CF9AE}" pid="53" name="LINKK8">
    <vt:lpwstr/>
  </property>
  <property fmtid="{D5CDD505-2E9C-101B-9397-08002B2CF9AE}" pid="54" name="LINKK9">
    <vt:lpwstr/>
  </property>
  <property fmtid="{D5CDD505-2E9C-101B-9397-08002B2CF9AE}" pid="55" name="LINKK10">
    <vt:lpwstr/>
  </property>
  <property fmtid="{D5CDD505-2E9C-101B-9397-08002B2CF9AE}" pid="56" name="LINKI1">
    <vt:lpwstr/>
  </property>
  <property fmtid="{D5CDD505-2E9C-101B-9397-08002B2CF9AE}" pid="57" name="LINKI2">
    <vt:lpwstr/>
  </property>
  <property fmtid="{D5CDD505-2E9C-101B-9397-08002B2CF9AE}" pid="58" name="LINKI3">
    <vt:lpwstr/>
  </property>
  <property fmtid="{D5CDD505-2E9C-101B-9397-08002B2CF9AE}" pid="59" name="LINKI4">
    <vt:lpwstr/>
  </property>
  <property fmtid="{D5CDD505-2E9C-101B-9397-08002B2CF9AE}" pid="60" name="LINKI5">
    <vt:lpwstr/>
  </property>
</Properties>
</file>