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0901" w:rsidRDefault="00910901" w:rsidP="007E79B8">
      <w:pPr>
        <w:pStyle w:val="big-header"/>
        <w:ind w:left="0" w:right="1134"/>
        <w:rPr>
          <w:rFonts w:cs="FrankRuehl"/>
          <w:sz w:val="32"/>
        </w:rPr>
      </w:pPr>
      <w:r>
        <w:rPr>
          <w:rFonts w:cs="FrankRuehl" w:hint="cs"/>
          <w:sz w:val="32"/>
          <w:rtl/>
        </w:rPr>
        <w:t>חוק אנשי צבא דרום לבנון ומשפחותיהם, תשס"ה-2004</w:t>
      </w:r>
    </w:p>
    <w:p w:rsidR="008E53F3" w:rsidRPr="008E53F3" w:rsidRDefault="008E53F3" w:rsidP="008E53F3">
      <w:pPr>
        <w:spacing w:line="320" w:lineRule="auto"/>
        <w:rPr>
          <w:rStyle w:val="default"/>
          <w:rFonts w:cs="FrankRuehl"/>
          <w:sz w:val="22"/>
          <w:rtl/>
        </w:rPr>
      </w:pPr>
    </w:p>
    <w:p w:rsidR="008E53F3" w:rsidRDefault="008E53F3" w:rsidP="008E53F3">
      <w:pPr>
        <w:spacing w:line="320" w:lineRule="auto"/>
        <w:rPr>
          <w:rStyle w:val="default"/>
          <w:sz w:val="22"/>
          <w:szCs w:val="22"/>
          <w:rtl/>
        </w:rPr>
      </w:pPr>
    </w:p>
    <w:p w:rsidR="008E53F3" w:rsidRDefault="008E53F3" w:rsidP="008E53F3">
      <w:pPr>
        <w:spacing w:line="320" w:lineRule="auto"/>
        <w:rPr>
          <w:rStyle w:val="default"/>
          <w:rFonts w:cs="FrankRuehl"/>
          <w:sz w:val="22"/>
          <w:rtl/>
        </w:rPr>
      </w:pPr>
      <w:r w:rsidRPr="008E53F3">
        <w:rPr>
          <w:rStyle w:val="default"/>
          <w:rFonts w:cs="Miriam"/>
          <w:sz w:val="22"/>
          <w:szCs w:val="22"/>
          <w:rtl/>
        </w:rPr>
        <w:t xml:space="preserve">דיני חוקה </w:t>
      </w:r>
      <w:r w:rsidRPr="008E53F3">
        <w:rPr>
          <w:rStyle w:val="default"/>
          <w:rFonts w:cs="FrankRuehl"/>
          <w:sz w:val="22"/>
          <w:rtl/>
        </w:rPr>
        <w:t xml:space="preserve"> – אזרחות ושבות – אנשי צבא דרום לבנון ומשפחותיהם</w:t>
      </w:r>
    </w:p>
    <w:p w:rsidR="008E53F3" w:rsidRPr="008E53F3" w:rsidRDefault="008E53F3" w:rsidP="008E53F3">
      <w:pPr>
        <w:spacing w:line="320" w:lineRule="auto"/>
        <w:rPr>
          <w:rStyle w:val="default"/>
          <w:rFonts w:cs="Miriam"/>
          <w:sz w:val="22"/>
          <w:szCs w:val="22"/>
          <w:rtl/>
        </w:rPr>
      </w:pPr>
      <w:r w:rsidRPr="008E53F3">
        <w:rPr>
          <w:rStyle w:val="default"/>
          <w:rFonts w:cs="Miriam"/>
          <w:sz w:val="22"/>
          <w:szCs w:val="22"/>
          <w:rtl/>
        </w:rPr>
        <w:t>בטחון</w:t>
      </w:r>
      <w:r w:rsidRPr="008E53F3">
        <w:rPr>
          <w:rStyle w:val="default"/>
          <w:rFonts w:cs="FrankRuehl"/>
          <w:sz w:val="22"/>
          <w:rtl/>
        </w:rPr>
        <w:t xml:space="preserve"> – צד"ל – אזרחות וזכויות</w:t>
      </w:r>
    </w:p>
    <w:p w:rsidR="00910901" w:rsidRDefault="007E79B8">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C5E15" w:rsidRPr="006C5E15" w:rsidTr="006C5E15">
        <w:tblPrEx>
          <w:tblCellMar>
            <w:top w:w="0" w:type="dxa"/>
            <w:bottom w:w="0" w:type="dxa"/>
          </w:tblCellMar>
        </w:tblPrEx>
        <w:tc>
          <w:tcPr>
            <w:tcW w:w="1247" w:type="dxa"/>
          </w:tcPr>
          <w:p w:rsidR="006C5E15" w:rsidRPr="006C5E15" w:rsidRDefault="006C5E15" w:rsidP="006C5E15">
            <w:pPr>
              <w:rPr>
                <w:rFonts w:cs="Frankruhel" w:hint="cs"/>
                <w:rtl/>
              </w:rPr>
            </w:pPr>
            <w:r>
              <w:rPr>
                <w:rtl/>
              </w:rPr>
              <w:t xml:space="preserve">סעיף 1 </w:t>
            </w:r>
          </w:p>
        </w:tc>
        <w:tc>
          <w:tcPr>
            <w:tcW w:w="5669" w:type="dxa"/>
          </w:tcPr>
          <w:p w:rsidR="006C5E15" w:rsidRPr="006C5E15" w:rsidRDefault="006C5E15" w:rsidP="006C5E15">
            <w:pPr>
              <w:rPr>
                <w:rFonts w:cs="Frankruhel" w:hint="cs"/>
                <w:rtl/>
              </w:rPr>
            </w:pPr>
            <w:r>
              <w:rPr>
                <w:rtl/>
              </w:rPr>
              <w:t>מטרה</w:t>
            </w:r>
          </w:p>
        </w:tc>
        <w:tc>
          <w:tcPr>
            <w:tcW w:w="567" w:type="dxa"/>
          </w:tcPr>
          <w:p w:rsidR="006C5E15" w:rsidRPr="006C5E15" w:rsidRDefault="006C5E15" w:rsidP="006C5E15">
            <w:pPr>
              <w:rPr>
                <w:rStyle w:val="Hyperlink"/>
                <w:rFonts w:hint="cs"/>
                <w:rtl/>
              </w:rPr>
            </w:pPr>
            <w:hyperlink w:anchor="Seif1" w:tooltip="מטרה" w:history="1">
              <w:r w:rsidRPr="006C5E15">
                <w:rPr>
                  <w:rStyle w:val="Hyperlink"/>
                </w:rPr>
                <w:t>Go</w:t>
              </w:r>
            </w:hyperlink>
          </w:p>
        </w:tc>
        <w:tc>
          <w:tcPr>
            <w:tcW w:w="850" w:type="dxa"/>
          </w:tcPr>
          <w:p w:rsidR="006C5E15" w:rsidRPr="006C5E15" w:rsidRDefault="006C5E15" w:rsidP="006C5E1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6C5E15" w:rsidRPr="006C5E15" w:rsidTr="006C5E15">
        <w:tblPrEx>
          <w:tblCellMar>
            <w:top w:w="0" w:type="dxa"/>
            <w:bottom w:w="0" w:type="dxa"/>
          </w:tblCellMar>
        </w:tblPrEx>
        <w:tc>
          <w:tcPr>
            <w:tcW w:w="1247" w:type="dxa"/>
          </w:tcPr>
          <w:p w:rsidR="006C5E15" w:rsidRPr="006C5E15" w:rsidRDefault="006C5E15" w:rsidP="006C5E15">
            <w:pPr>
              <w:rPr>
                <w:rFonts w:cs="Frankruhel" w:hint="cs"/>
                <w:rtl/>
              </w:rPr>
            </w:pPr>
            <w:r>
              <w:rPr>
                <w:rtl/>
              </w:rPr>
              <w:t xml:space="preserve">סעיף 2 </w:t>
            </w:r>
          </w:p>
        </w:tc>
        <w:tc>
          <w:tcPr>
            <w:tcW w:w="5669" w:type="dxa"/>
          </w:tcPr>
          <w:p w:rsidR="006C5E15" w:rsidRPr="006C5E15" w:rsidRDefault="006C5E15" w:rsidP="006C5E15">
            <w:pPr>
              <w:rPr>
                <w:rFonts w:cs="Frankruhel" w:hint="cs"/>
                <w:rtl/>
              </w:rPr>
            </w:pPr>
            <w:r>
              <w:rPr>
                <w:rtl/>
              </w:rPr>
              <w:t>הגדרות</w:t>
            </w:r>
          </w:p>
        </w:tc>
        <w:tc>
          <w:tcPr>
            <w:tcW w:w="567" w:type="dxa"/>
          </w:tcPr>
          <w:p w:rsidR="006C5E15" w:rsidRPr="006C5E15" w:rsidRDefault="006C5E15" w:rsidP="006C5E15">
            <w:pPr>
              <w:rPr>
                <w:rStyle w:val="Hyperlink"/>
                <w:rFonts w:hint="cs"/>
                <w:rtl/>
              </w:rPr>
            </w:pPr>
            <w:hyperlink w:anchor="Seif3" w:tooltip="הגדרות" w:history="1">
              <w:r w:rsidRPr="006C5E15">
                <w:rPr>
                  <w:rStyle w:val="Hyperlink"/>
                </w:rPr>
                <w:t>Go</w:t>
              </w:r>
            </w:hyperlink>
          </w:p>
        </w:tc>
        <w:tc>
          <w:tcPr>
            <w:tcW w:w="850" w:type="dxa"/>
          </w:tcPr>
          <w:p w:rsidR="006C5E15" w:rsidRPr="006C5E15" w:rsidRDefault="006C5E15" w:rsidP="006C5E1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6C5E15" w:rsidRPr="006C5E15" w:rsidTr="006C5E15">
        <w:tblPrEx>
          <w:tblCellMar>
            <w:top w:w="0" w:type="dxa"/>
            <w:bottom w:w="0" w:type="dxa"/>
          </w:tblCellMar>
        </w:tblPrEx>
        <w:tc>
          <w:tcPr>
            <w:tcW w:w="1247" w:type="dxa"/>
          </w:tcPr>
          <w:p w:rsidR="006C5E15" w:rsidRPr="006C5E15" w:rsidRDefault="006C5E15" w:rsidP="006C5E15">
            <w:pPr>
              <w:rPr>
                <w:rFonts w:cs="Frankruhel" w:hint="cs"/>
                <w:rtl/>
              </w:rPr>
            </w:pPr>
            <w:r>
              <w:rPr>
                <w:rtl/>
              </w:rPr>
              <w:t xml:space="preserve">סעיף 3 </w:t>
            </w:r>
          </w:p>
        </w:tc>
        <w:tc>
          <w:tcPr>
            <w:tcW w:w="5669" w:type="dxa"/>
          </w:tcPr>
          <w:p w:rsidR="006C5E15" w:rsidRPr="006C5E15" w:rsidRDefault="006C5E15" w:rsidP="006C5E15">
            <w:pPr>
              <w:rPr>
                <w:rFonts w:cs="Frankruhel" w:hint="cs"/>
                <w:rtl/>
              </w:rPr>
            </w:pPr>
            <w:r>
              <w:rPr>
                <w:rtl/>
              </w:rPr>
              <w:t>הקניית אזרחות לאיש צד"ל ובן משפחתו</w:t>
            </w:r>
          </w:p>
        </w:tc>
        <w:tc>
          <w:tcPr>
            <w:tcW w:w="567" w:type="dxa"/>
          </w:tcPr>
          <w:p w:rsidR="006C5E15" w:rsidRPr="006C5E15" w:rsidRDefault="006C5E15" w:rsidP="006C5E15">
            <w:pPr>
              <w:rPr>
                <w:rStyle w:val="Hyperlink"/>
                <w:rFonts w:hint="cs"/>
                <w:rtl/>
              </w:rPr>
            </w:pPr>
            <w:hyperlink w:anchor="Seif4" w:tooltip="הקניית אזרחות לאיש צדל ובן משפחתו" w:history="1">
              <w:r w:rsidRPr="006C5E15">
                <w:rPr>
                  <w:rStyle w:val="Hyperlink"/>
                </w:rPr>
                <w:t>Go</w:t>
              </w:r>
            </w:hyperlink>
          </w:p>
        </w:tc>
        <w:tc>
          <w:tcPr>
            <w:tcW w:w="850" w:type="dxa"/>
          </w:tcPr>
          <w:p w:rsidR="006C5E15" w:rsidRPr="006C5E15" w:rsidRDefault="006C5E15" w:rsidP="006C5E1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6C5E15" w:rsidRPr="006C5E15" w:rsidTr="006C5E15">
        <w:tblPrEx>
          <w:tblCellMar>
            <w:top w:w="0" w:type="dxa"/>
            <w:bottom w:w="0" w:type="dxa"/>
          </w:tblCellMar>
        </w:tblPrEx>
        <w:tc>
          <w:tcPr>
            <w:tcW w:w="1247" w:type="dxa"/>
          </w:tcPr>
          <w:p w:rsidR="006C5E15" w:rsidRPr="006C5E15" w:rsidRDefault="006C5E15" w:rsidP="006C5E15">
            <w:pPr>
              <w:rPr>
                <w:rFonts w:cs="Frankruhel" w:hint="cs"/>
                <w:rtl/>
              </w:rPr>
            </w:pPr>
            <w:r>
              <w:rPr>
                <w:rtl/>
              </w:rPr>
              <w:t xml:space="preserve">סעיף 4 </w:t>
            </w:r>
          </w:p>
        </w:tc>
        <w:tc>
          <w:tcPr>
            <w:tcW w:w="5669" w:type="dxa"/>
          </w:tcPr>
          <w:p w:rsidR="006C5E15" w:rsidRPr="006C5E15" w:rsidRDefault="006C5E15" w:rsidP="006C5E15">
            <w:pPr>
              <w:rPr>
                <w:rFonts w:cs="Frankruhel" w:hint="cs"/>
                <w:rtl/>
              </w:rPr>
            </w:pPr>
            <w:r>
              <w:rPr>
                <w:rtl/>
              </w:rPr>
              <w:t>מתן אשרה ורישיון לישיבת קבע לאיש צד"ל ולבן משפחתו</w:t>
            </w:r>
          </w:p>
        </w:tc>
        <w:tc>
          <w:tcPr>
            <w:tcW w:w="567" w:type="dxa"/>
          </w:tcPr>
          <w:p w:rsidR="006C5E15" w:rsidRPr="006C5E15" w:rsidRDefault="006C5E15" w:rsidP="006C5E15">
            <w:pPr>
              <w:rPr>
                <w:rStyle w:val="Hyperlink"/>
                <w:rFonts w:hint="cs"/>
                <w:rtl/>
              </w:rPr>
            </w:pPr>
            <w:hyperlink w:anchor="Seif2" w:tooltip="מתן אשרה ורישיון לישיבת קבע לאיש צדל ולבן משפחתו" w:history="1">
              <w:r w:rsidRPr="006C5E15">
                <w:rPr>
                  <w:rStyle w:val="Hyperlink"/>
                </w:rPr>
                <w:t>Go</w:t>
              </w:r>
            </w:hyperlink>
          </w:p>
        </w:tc>
        <w:tc>
          <w:tcPr>
            <w:tcW w:w="850" w:type="dxa"/>
          </w:tcPr>
          <w:p w:rsidR="006C5E15" w:rsidRPr="006C5E15" w:rsidRDefault="006C5E15" w:rsidP="006C5E1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6C5E15" w:rsidRPr="006C5E15" w:rsidTr="006C5E15">
        <w:tblPrEx>
          <w:tblCellMar>
            <w:top w:w="0" w:type="dxa"/>
            <w:bottom w:w="0" w:type="dxa"/>
          </w:tblCellMar>
        </w:tblPrEx>
        <w:tc>
          <w:tcPr>
            <w:tcW w:w="1247" w:type="dxa"/>
          </w:tcPr>
          <w:p w:rsidR="006C5E15" w:rsidRPr="006C5E15" w:rsidRDefault="006C5E15" w:rsidP="006C5E15">
            <w:pPr>
              <w:rPr>
                <w:rFonts w:cs="Frankruhel" w:hint="cs"/>
                <w:rtl/>
              </w:rPr>
            </w:pPr>
            <w:r>
              <w:rPr>
                <w:rtl/>
              </w:rPr>
              <w:t xml:space="preserve">סעיף 5 </w:t>
            </w:r>
          </w:p>
        </w:tc>
        <w:tc>
          <w:tcPr>
            <w:tcW w:w="5669" w:type="dxa"/>
          </w:tcPr>
          <w:p w:rsidR="006C5E15" w:rsidRPr="006C5E15" w:rsidRDefault="006C5E15" w:rsidP="006C5E15">
            <w:pPr>
              <w:rPr>
                <w:rFonts w:cs="Frankruhel" w:hint="cs"/>
                <w:rtl/>
              </w:rPr>
            </w:pPr>
            <w:r>
              <w:rPr>
                <w:rtl/>
              </w:rPr>
              <w:t>תעודת איש צד"ל</w:t>
            </w:r>
          </w:p>
        </w:tc>
        <w:tc>
          <w:tcPr>
            <w:tcW w:w="567" w:type="dxa"/>
          </w:tcPr>
          <w:p w:rsidR="006C5E15" w:rsidRPr="006C5E15" w:rsidRDefault="006C5E15" w:rsidP="006C5E15">
            <w:pPr>
              <w:rPr>
                <w:rStyle w:val="Hyperlink"/>
                <w:rFonts w:hint="cs"/>
                <w:rtl/>
              </w:rPr>
            </w:pPr>
            <w:hyperlink w:anchor="Seif5" w:tooltip="תעודת איש צדל" w:history="1">
              <w:r w:rsidRPr="006C5E15">
                <w:rPr>
                  <w:rStyle w:val="Hyperlink"/>
                </w:rPr>
                <w:t>Go</w:t>
              </w:r>
            </w:hyperlink>
          </w:p>
        </w:tc>
        <w:tc>
          <w:tcPr>
            <w:tcW w:w="850" w:type="dxa"/>
          </w:tcPr>
          <w:p w:rsidR="006C5E15" w:rsidRPr="006C5E15" w:rsidRDefault="006C5E15" w:rsidP="006C5E1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6C5E15" w:rsidRPr="006C5E15" w:rsidTr="006C5E15">
        <w:tblPrEx>
          <w:tblCellMar>
            <w:top w:w="0" w:type="dxa"/>
            <w:bottom w:w="0" w:type="dxa"/>
          </w:tblCellMar>
        </w:tblPrEx>
        <w:tc>
          <w:tcPr>
            <w:tcW w:w="1247" w:type="dxa"/>
          </w:tcPr>
          <w:p w:rsidR="006C5E15" w:rsidRPr="006C5E15" w:rsidRDefault="006C5E15" w:rsidP="006C5E15">
            <w:pPr>
              <w:rPr>
                <w:rFonts w:cs="Frankruhel" w:hint="cs"/>
                <w:rtl/>
              </w:rPr>
            </w:pPr>
            <w:r>
              <w:rPr>
                <w:rtl/>
              </w:rPr>
              <w:t xml:space="preserve">סעיף 6 </w:t>
            </w:r>
          </w:p>
        </w:tc>
        <w:tc>
          <w:tcPr>
            <w:tcW w:w="5669" w:type="dxa"/>
          </w:tcPr>
          <w:p w:rsidR="006C5E15" w:rsidRPr="006C5E15" w:rsidRDefault="006C5E15" w:rsidP="006C5E15">
            <w:pPr>
              <w:rPr>
                <w:rFonts w:cs="Frankruhel" w:hint="cs"/>
                <w:rtl/>
              </w:rPr>
            </w:pPr>
            <w:r>
              <w:rPr>
                <w:rtl/>
              </w:rPr>
              <w:t>החלת חוק משפחות חיילים שנספו במערכה</w:t>
            </w:r>
          </w:p>
        </w:tc>
        <w:tc>
          <w:tcPr>
            <w:tcW w:w="567" w:type="dxa"/>
          </w:tcPr>
          <w:p w:rsidR="006C5E15" w:rsidRPr="006C5E15" w:rsidRDefault="006C5E15" w:rsidP="006C5E15">
            <w:pPr>
              <w:rPr>
                <w:rStyle w:val="Hyperlink"/>
                <w:rFonts w:hint="cs"/>
                <w:rtl/>
              </w:rPr>
            </w:pPr>
            <w:hyperlink w:anchor="Seif6" w:tooltip="החלת חוק משפחות חיילים שנספו במערכה" w:history="1">
              <w:r w:rsidRPr="006C5E15">
                <w:rPr>
                  <w:rStyle w:val="Hyperlink"/>
                </w:rPr>
                <w:t>Go</w:t>
              </w:r>
            </w:hyperlink>
          </w:p>
        </w:tc>
        <w:tc>
          <w:tcPr>
            <w:tcW w:w="850" w:type="dxa"/>
          </w:tcPr>
          <w:p w:rsidR="006C5E15" w:rsidRPr="006C5E15" w:rsidRDefault="006C5E15" w:rsidP="006C5E1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6C5E15" w:rsidRPr="006C5E15" w:rsidTr="006C5E15">
        <w:tblPrEx>
          <w:tblCellMar>
            <w:top w:w="0" w:type="dxa"/>
            <w:bottom w:w="0" w:type="dxa"/>
          </w:tblCellMar>
        </w:tblPrEx>
        <w:tc>
          <w:tcPr>
            <w:tcW w:w="1247" w:type="dxa"/>
          </w:tcPr>
          <w:p w:rsidR="006C5E15" w:rsidRPr="006C5E15" w:rsidRDefault="006C5E15" w:rsidP="006C5E15">
            <w:pPr>
              <w:rPr>
                <w:rFonts w:cs="Frankruhel" w:hint="cs"/>
                <w:rtl/>
              </w:rPr>
            </w:pPr>
            <w:r>
              <w:rPr>
                <w:rtl/>
              </w:rPr>
              <w:t xml:space="preserve">סעיף 7 </w:t>
            </w:r>
          </w:p>
        </w:tc>
        <w:tc>
          <w:tcPr>
            <w:tcW w:w="5669" w:type="dxa"/>
          </w:tcPr>
          <w:p w:rsidR="006C5E15" w:rsidRPr="006C5E15" w:rsidRDefault="006C5E15" w:rsidP="006C5E15">
            <w:pPr>
              <w:rPr>
                <w:rFonts w:cs="Frankruhel" w:hint="cs"/>
                <w:rtl/>
              </w:rPr>
            </w:pPr>
            <w:r>
              <w:rPr>
                <w:rtl/>
              </w:rPr>
              <w:t>החלת חוק הנכים</w:t>
            </w:r>
          </w:p>
        </w:tc>
        <w:tc>
          <w:tcPr>
            <w:tcW w:w="567" w:type="dxa"/>
          </w:tcPr>
          <w:p w:rsidR="006C5E15" w:rsidRPr="006C5E15" w:rsidRDefault="006C5E15" w:rsidP="006C5E15">
            <w:pPr>
              <w:rPr>
                <w:rStyle w:val="Hyperlink"/>
                <w:rFonts w:hint="cs"/>
                <w:rtl/>
              </w:rPr>
            </w:pPr>
            <w:hyperlink w:anchor="Seif7" w:tooltip="החלת חוק הנכים" w:history="1">
              <w:r w:rsidRPr="006C5E15">
                <w:rPr>
                  <w:rStyle w:val="Hyperlink"/>
                </w:rPr>
                <w:t>Go</w:t>
              </w:r>
            </w:hyperlink>
          </w:p>
        </w:tc>
        <w:tc>
          <w:tcPr>
            <w:tcW w:w="850" w:type="dxa"/>
          </w:tcPr>
          <w:p w:rsidR="006C5E15" w:rsidRPr="006C5E15" w:rsidRDefault="006C5E15" w:rsidP="006C5E1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6C5E15" w:rsidRPr="006C5E15" w:rsidTr="006C5E15">
        <w:tblPrEx>
          <w:tblCellMar>
            <w:top w:w="0" w:type="dxa"/>
            <w:bottom w:w="0" w:type="dxa"/>
          </w:tblCellMar>
        </w:tblPrEx>
        <w:tc>
          <w:tcPr>
            <w:tcW w:w="1247" w:type="dxa"/>
          </w:tcPr>
          <w:p w:rsidR="006C5E15" w:rsidRPr="006C5E15" w:rsidRDefault="006C5E15" w:rsidP="006C5E15">
            <w:pPr>
              <w:rPr>
                <w:rFonts w:cs="Frankruhel" w:hint="cs"/>
                <w:rtl/>
              </w:rPr>
            </w:pPr>
            <w:r>
              <w:rPr>
                <w:rtl/>
              </w:rPr>
              <w:t xml:space="preserve">סעיף 8 </w:t>
            </w:r>
          </w:p>
        </w:tc>
        <w:tc>
          <w:tcPr>
            <w:tcW w:w="5669" w:type="dxa"/>
          </w:tcPr>
          <w:p w:rsidR="006C5E15" w:rsidRPr="006C5E15" w:rsidRDefault="006C5E15" w:rsidP="006C5E15">
            <w:pPr>
              <w:rPr>
                <w:rFonts w:cs="Frankruhel" w:hint="cs"/>
                <w:rtl/>
              </w:rPr>
            </w:pPr>
            <w:r>
              <w:rPr>
                <w:rtl/>
              </w:rPr>
              <w:t>זכאות איש צד"ל למענק הוקרה</w:t>
            </w:r>
          </w:p>
        </w:tc>
        <w:tc>
          <w:tcPr>
            <w:tcW w:w="567" w:type="dxa"/>
          </w:tcPr>
          <w:p w:rsidR="006C5E15" w:rsidRPr="006C5E15" w:rsidRDefault="006C5E15" w:rsidP="006C5E15">
            <w:pPr>
              <w:rPr>
                <w:rStyle w:val="Hyperlink"/>
                <w:rFonts w:hint="cs"/>
                <w:rtl/>
              </w:rPr>
            </w:pPr>
            <w:hyperlink w:anchor="Seif8" w:tooltip="זכאות איש צדל למענק הוקרה" w:history="1">
              <w:r w:rsidRPr="006C5E15">
                <w:rPr>
                  <w:rStyle w:val="Hyperlink"/>
                </w:rPr>
                <w:t>Go</w:t>
              </w:r>
            </w:hyperlink>
          </w:p>
        </w:tc>
        <w:tc>
          <w:tcPr>
            <w:tcW w:w="850" w:type="dxa"/>
          </w:tcPr>
          <w:p w:rsidR="006C5E15" w:rsidRPr="006C5E15" w:rsidRDefault="006C5E15" w:rsidP="006C5E1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6C5E15" w:rsidRPr="006C5E15" w:rsidTr="006C5E15">
        <w:tblPrEx>
          <w:tblCellMar>
            <w:top w:w="0" w:type="dxa"/>
            <w:bottom w:w="0" w:type="dxa"/>
          </w:tblCellMar>
        </w:tblPrEx>
        <w:tc>
          <w:tcPr>
            <w:tcW w:w="1247" w:type="dxa"/>
          </w:tcPr>
          <w:p w:rsidR="006C5E15" w:rsidRPr="006C5E15" w:rsidRDefault="006C5E15" w:rsidP="006C5E15">
            <w:pPr>
              <w:rPr>
                <w:rFonts w:cs="Frankruhel" w:hint="cs"/>
                <w:rtl/>
              </w:rPr>
            </w:pPr>
            <w:r>
              <w:rPr>
                <w:rtl/>
              </w:rPr>
              <w:t xml:space="preserve">סעיף 9 </w:t>
            </w:r>
          </w:p>
        </w:tc>
        <w:tc>
          <w:tcPr>
            <w:tcW w:w="5669" w:type="dxa"/>
          </w:tcPr>
          <w:p w:rsidR="006C5E15" w:rsidRPr="006C5E15" w:rsidRDefault="006C5E15" w:rsidP="006C5E15">
            <w:pPr>
              <w:rPr>
                <w:rFonts w:cs="Frankruhel" w:hint="cs"/>
                <w:rtl/>
              </w:rPr>
            </w:pPr>
            <w:r>
              <w:rPr>
                <w:rtl/>
              </w:rPr>
              <w:t>הממונה על המענקים</w:t>
            </w:r>
          </w:p>
        </w:tc>
        <w:tc>
          <w:tcPr>
            <w:tcW w:w="567" w:type="dxa"/>
          </w:tcPr>
          <w:p w:rsidR="006C5E15" w:rsidRPr="006C5E15" w:rsidRDefault="006C5E15" w:rsidP="006C5E15">
            <w:pPr>
              <w:rPr>
                <w:rStyle w:val="Hyperlink"/>
                <w:rFonts w:hint="cs"/>
                <w:rtl/>
              </w:rPr>
            </w:pPr>
            <w:hyperlink w:anchor="Seif9" w:tooltip="הממונה על המענקים" w:history="1">
              <w:r w:rsidRPr="006C5E15">
                <w:rPr>
                  <w:rStyle w:val="Hyperlink"/>
                </w:rPr>
                <w:t>Go</w:t>
              </w:r>
            </w:hyperlink>
          </w:p>
        </w:tc>
        <w:tc>
          <w:tcPr>
            <w:tcW w:w="850" w:type="dxa"/>
          </w:tcPr>
          <w:p w:rsidR="006C5E15" w:rsidRPr="006C5E15" w:rsidRDefault="006C5E15" w:rsidP="006C5E1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6C5E15" w:rsidRPr="006C5E15" w:rsidTr="006C5E15">
        <w:tblPrEx>
          <w:tblCellMar>
            <w:top w:w="0" w:type="dxa"/>
            <w:bottom w:w="0" w:type="dxa"/>
          </w:tblCellMar>
        </w:tblPrEx>
        <w:tc>
          <w:tcPr>
            <w:tcW w:w="1247" w:type="dxa"/>
          </w:tcPr>
          <w:p w:rsidR="006C5E15" w:rsidRPr="006C5E15" w:rsidRDefault="006C5E15" w:rsidP="006C5E15">
            <w:pPr>
              <w:rPr>
                <w:rFonts w:cs="Frankruhel" w:hint="cs"/>
                <w:rtl/>
              </w:rPr>
            </w:pPr>
            <w:r>
              <w:rPr>
                <w:rtl/>
              </w:rPr>
              <w:t xml:space="preserve">סעיף 10 </w:t>
            </w:r>
          </w:p>
        </w:tc>
        <w:tc>
          <w:tcPr>
            <w:tcW w:w="5669" w:type="dxa"/>
          </w:tcPr>
          <w:p w:rsidR="006C5E15" w:rsidRPr="006C5E15" w:rsidRDefault="006C5E15" w:rsidP="006C5E15">
            <w:pPr>
              <w:rPr>
                <w:rFonts w:cs="Frankruhel" w:hint="cs"/>
                <w:rtl/>
              </w:rPr>
            </w:pPr>
            <w:r>
              <w:rPr>
                <w:rtl/>
              </w:rPr>
              <w:t>ערעור</w:t>
            </w:r>
          </w:p>
        </w:tc>
        <w:tc>
          <w:tcPr>
            <w:tcW w:w="567" w:type="dxa"/>
          </w:tcPr>
          <w:p w:rsidR="006C5E15" w:rsidRPr="006C5E15" w:rsidRDefault="006C5E15" w:rsidP="006C5E15">
            <w:pPr>
              <w:rPr>
                <w:rStyle w:val="Hyperlink"/>
                <w:rFonts w:hint="cs"/>
                <w:rtl/>
              </w:rPr>
            </w:pPr>
            <w:hyperlink w:anchor="Seif10" w:tooltip="ערעור" w:history="1">
              <w:r w:rsidRPr="006C5E15">
                <w:rPr>
                  <w:rStyle w:val="Hyperlink"/>
                </w:rPr>
                <w:t>Go</w:t>
              </w:r>
            </w:hyperlink>
          </w:p>
        </w:tc>
        <w:tc>
          <w:tcPr>
            <w:tcW w:w="850" w:type="dxa"/>
          </w:tcPr>
          <w:p w:rsidR="006C5E15" w:rsidRPr="006C5E15" w:rsidRDefault="006C5E15" w:rsidP="006C5E1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6C5E15" w:rsidRPr="006C5E15" w:rsidTr="006C5E15">
        <w:tblPrEx>
          <w:tblCellMar>
            <w:top w:w="0" w:type="dxa"/>
            <w:bottom w:w="0" w:type="dxa"/>
          </w:tblCellMar>
        </w:tblPrEx>
        <w:tc>
          <w:tcPr>
            <w:tcW w:w="1247" w:type="dxa"/>
          </w:tcPr>
          <w:p w:rsidR="006C5E15" w:rsidRPr="006C5E15" w:rsidRDefault="006C5E15" w:rsidP="006C5E15">
            <w:pPr>
              <w:rPr>
                <w:rFonts w:cs="Frankruhel" w:hint="cs"/>
                <w:rtl/>
              </w:rPr>
            </w:pPr>
            <w:r>
              <w:rPr>
                <w:rtl/>
              </w:rPr>
              <w:t xml:space="preserve">סעיף 11 </w:t>
            </w:r>
          </w:p>
        </w:tc>
        <w:tc>
          <w:tcPr>
            <w:tcW w:w="5669" w:type="dxa"/>
          </w:tcPr>
          <w:p w:rsidR="006C5E15" w:rsidRPr="006C5E15" w:rsidRDefault="006C5E15" w:rsidP="006C5E15">
            <w:pPr>
              <w:rPr>
                <w:rFonts w:cs="Frankruhel" w:hint="cs"/>
                <w:rtl/>
              </w:rPr>
            </w:pPr>
            <w:r>
              <w:rPr>
                <w:rtl/>
              </w:rPr>
              <w:t>ועדות ערעור</w:t>
            </w:r>
          </w:p>
        </w:tc>
        <w:tc>
          <w:tcPr>
            <w:tcW w:w="567" w:type="dxa"/>
          </w:tcPr>
          <w:p w:rsidR="006C5E15" w:rsidRPr="006C5E15" w:rsidRDefault="006C5E15" w:rsidP="006C5E15">
            <w:pPr>
              <w:rPr>
                <w:rStyle w:val="Hyperlink"/>
                <w:rFonts w:hint="cs"/>
                <w:rtl/>
              </w:rPr>
            </w:pPr>
            <w:hyperlink w:anchor="Seif11" w:tooltip="ועדות ערעור" w:history="1">
              <w:r w:rsidRPr="006C5E15">
                <w:rPr>
                  <w:rStyle w:val="Hyperlink"/>
                </w:rPr>
                <w:t>Go</w:t>
              </w:r>
            </w:hyperlink>
          </w:p>
        </w:tc>
        <w:tc>
          <w:tcPr>
            <w:tcW w:w="850" w:type="dxa"/>
          </w:tcPr>
          <w:p w:rsidR="006C5E15" w:rsidRPr="006C5E15" w:rsidRDefault="006C5E15" w:rsidP="006C5E1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r w:rsidR="006C5E15" w:rsidRPr="006C5E15" w:rsidTr="006C5E15">
        <w:tblPrEx>
          <w:tblCellMar>
            <w:top w:w="0" w:type="dxa"/>
            <w:bottom w:w="0" w:type="dxa"/>
          </w:tblCellMar>
        </w:tblPrEx>
        <w:tc>
          <w:tcPr>
            <w:tcW w:w="1247" w:type="dxa"/>
          </w:tcPr>
          <w:p w:rsidR="006C5E15" w:rsidRPr="006C5E15" w:rsidRDefault="006C5E15" w:rsidP="006C5E15">
            <w:pPr>
              <w:rPr>
                <w:rFonts w:cs="Frankruhel" w:hint="cs"/>
                <w:rtl/>
              </w:rPr>
            </w:pPr>
            <w:r>
              <w:rPr>
                <w:rtl/>
              </w:rPr>
              <w:t xml:space="preserve">סעיף 12 </w:t>
            </w:r>
          </w:p>
        </w:tc>
        <w:tc>
          <w:tcPr>
            <w:tcW w:w="5669" w:type="dxa"/>
          </w:tcPr>
          <w:p w:rsidR="006C5E15" w:rsidRPr="006C5E15" w:rsidRDefault="006C5E15" w:rsidP="006C5E15">
            <w:pPr>
              <w:rPr>
                <w:rFonts w:cs="Frankruhel" w:hint="cs"/>
                <w:rtl/>
              </w:rPr>
            </w:pPr>
            <w:r>
              <w:rPr>
                <w:rtl/>
              </w:rPr>
              <w:t>סמכויות הממונה וועדת הערעור</w:t>
            </w:r>
          </w:p>
        </w:tc>
        <w:tc>
          <w:tcPr>
            <w:tcW w:w="567" w:type="dxa"/>
          </w:tcPr>
          <w:p w:rsidR="006C5E15" w:rsidRPr="006C5E15" w:rsidRDefault="006C5E15" w:rsidP="006C5E15">
            <w:pPr>
              <w:rPr>
                <w:rStyle w:val="Hyperlink"/>
                <w:rFonts w:hint="cs"/>
                <w:rtl/>
              </w:rPr>
            </w:pPr>
            <w:hyperlink w:anchor="Seif12" w:tooltip="סמכויות הממונה וועדת הערעור" w:history="1">
              <w:r w:rsidRPr="006C5E15">
                <w:rPr>
                  <w:rStyle w:val="Hyperlink"/>
                </w:rPr>
                <w:t>Go</w:t>
              </w:r>
            </w:hyperlink>
          </w:p>
        </w:tc>
        <w:tc>
          <w:tcPr>
            <w:tcW w:w="850" w:type="dxa"/>
          </w:tcPr>
          <w:p w:rsidR="006C5E15" w:rsidRPr="006C5E15" w:rsidRDefault="006C5E15" w:rsidP="006C5E1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3</w:t>
            </w:r>
            <w:r>
              <w:rPr>
                <w:rFonts w:cs="Frankruhel"/>
                <w:rtl/>
              </w:rPr>
              <w:fldChar w:fldCharType="end"/>
            </w:r>
          </w:p>
        </w:tc>
      </w:tr>
      <w:tr w:rsidR="006C5E15" w:rsidRPr="006C5E15" w:rsidTr="006C5E15">
        <w:tblPrEx>
          <w:tblCellMar>
            <w:top w:w="0" w:type="dxa"/>
            <w:bottom w:w="0" w:type="dxa"/>
          </w:tblCellMar>
        </w:tblPrEx>
        <w:tc>
          <w:tcPr>
            <w:tcW w:w="1247" w:type="dxa"/>
          </w:tcPr>
          <w:p w:rsidR="006C5E15" w:rsidRPr="006C5E15" w:rsidRDefault="006C5E15" w:rsidP="006C5E15">
            <w:pPr>
              <w:rPr>
                <w:rFonts w:cs="Frankruhel" w:hint="cs"/>
                <w:rtl/>
              </w:rPr>
            </w:pPr>
            <w:r>
              <w:rPr>
                <w:rtl/>
              </w:rPr>
              <w:t xml:space="preserve">סעיף 13 </w:t>
            </w:r>
          </w:p>
        </w:tc>
        <w:tc>
          <w:tcPr>
            <w:tcW w:w="5669" w:type="dxa"/>
          </w:tcPr>
          <w:p w:rsidR="006C5E15" w:rsidRPr="006C5E15" w:rsidRDefault="006C5E15" w:rsidP="006C5E15">
            <w:pPr>
              <w:rPr>
                <w:rFonts w:cs="Frankruhel" w:hint="cs"/>
                <w:rtl/>
              </w:rPr>
            </w:pPr>
            <w:r>
              <w:rPr>
                <w:rtl/>
              </w:rPr>
              <w:t>הוראות מיוחדות לענין המענקים</w:t>
            </w:r>
          </w:p>
        </w:tc>
        <w:tc>
          <w:tcPr>
            <w:tcW w:w="567" w:type="dxa"/>
          </w:tcPr>
          <w:p w:rsidR="006C5E15" w:rsidRPr="006C5E15" w:rsidRDefault="006C5E15" w:rsidP="006C5E15">
            <w:pPr>
              <w:rPr>
                <w:rStyle w:val="Hyperlink"/>
                <w:rFonts w:hint="cs"/>
                <w:rtl/>
              </w:rPr>
            </w:pPr>
            <w:hyperlink w:anchor="Seif13" w:tooltip="הוראות מיוחדות לענין המענקים" w:history="1">
              <w:r w:rsidRPr="006C5E15">
                <w:rPr>
                  <w:rStyle w:val="Hyperlink"/>
                </w:rPr>
                <w:t>Go</w:t>
              </w:r>
            </w:hyperlink>
          </w:p>
        </w:tc>
        <w:tc>
          <w:tcPr>
            <w:tcW w:w="850" w:type="dxa"/>
          </w:tcPr>
          <w:p w:rsidR="006C5E15" w:rsidRPr="006C5E15" w:rsidRDefault="006C5E15" w:rsidP="006C5E1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3</w:t>
            </w:r>
            <w:r>
              <w:rPr>
                <w:rFonts w:cs="Frankruhel"/>
                <w:rtl/>
              </w:rPr>
              <w:fldChar w:fldCharType="end"/>
            </w:r>
          </w:p>
        </w:tc>
      </w:tr>
      <w:tr w:rsidR="006C5E15" w:rsidRPr="006C5E15" w:rsidTr="006C5E15">
        <w:tblPrEx>
          <w:tblCellMar>
            <w:top w:w="0" w:type="dxa"/>
            <w:bottom w:w="0" w:type="dxa"/>
          </w:tblCellMar>
        </w:tblPrEx>
        <w:tc>
          <w:tcPr>
            <w:tcW w:w="1247" w:type="dxa"/>
          </w:tcPr>
          <w:p w:rsidR="006C5E15" w:rsidRPr="006C5E15" w:rsidRDefault="006C5E15" w:rsidP="006C5E15">
            <w:pPr>
              <w:rPr>
                <w:rFonts w:cs="Frankruhel" w:hint="cs"/>
                <w:rtl/>
              </w:rPr>
            </w:pPr>
            <w:r>
              <w:rPr>
                <w:rtl/>
              </w:rPr>
              <w:t xml:space="preserve">סעיף 13א </w:t>
            </w:r>
          </w:p>
        </w:tc>
        <w:tc>
          <w:tcPr>
            <w:tcW w:w="5669" w:type="dxa"/>
          </w:tcPr>
          <w:p w:rsidR="006C5E15" w:rsidRPr="006C5E15" w:rsidRDefault="006C5E15" w:rsidP="006C5E15">
            <w:pPr>
              <w:rPr>
                <w:rFonts w:cs="Frankruhel" w:hint="cs"/>
                <w:rtl/>
              </w:rPr>
            </w:pPr>
            <w:r>
              <w:rPr>
                <w:rtl/>
              </w:rPr>
              <w:t>אות מערכה לציון השתתפות במערכה ברצועת הביטחון בדרום לבנון</w:t>
            </w:r>
          </w:p>
        </w:tc>
        <w:tc>
          <w:tcPr>
            <w:tcW w:w="567" w:type="dxa"/>
          </w:tcPr>
          <w:p w:rsidR="006C5E15" w:rsidRPr="006C5E15" w:rsidRDefault="006C5E15" w:rsidP="006C5E15">
            <w:pPr>
              <w:rPr>
                <w:rStyle w:val="Hyperlink"/>
                <w:rFonts w:hint="cs"/>
                <w:rtl/>
              </w:rPr>
            </w:pPr>
            <w:hyperlink w:anchor="Seif18" w:tooltip="אות מערכה לציון השתתפות במערכה ברצועת הביטחון בדרום לבנון" w:history="1">
              <w:r w:rsidRPr="006C5E15">
                <w:rPr>
                  <w:rStyle w:val="Hyperlink"/>
                </w:rPr>
                <w:t>Go</w:t>
              </w:r>
            </w:hyperlink>
          </w:p>
        </w:tc>
        <w:tc>
          <w:tcPr>
            <w:tcW w:w="850" w:type="dxa"/>
          </w:tcPr>
          <w:p w:rsidR="006C5E15" w:rsidRPr="006C5E15" w:rsidRDefault="006C5E15" w:rsidP="006C5E1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3</w:t>
            </w:r>
            <w:r>
              <w:rPr>
                <w:rFonts w:cs="Frankruhel"/>
                <w:rtl/>
              </w:rPr>
              <w:fldChar w:fldCharType="end"/>
            </w:r>
          </w:p>
        </w:tc>
      </w:tr>
      <w:tr w:rsidR="006C5E15" w:rsidRPr="006C5E15" w:rsidTr="006C5E15">
        <w:tblPrEx>
          <w:tblCellMar>
            <w:top w:w="0" w:type="dxa"/>
            <w:bottom w:w="0" w:type="dxa"/>
          </w:tblCellMar>
        </w:tblPrEx>
        <w:tc>
          <w:tcPr>
            <w:tcW w:w="1247" w:type="dxa"/>
          </w:tcPr>
          <w:p w:rsidR="006C5E15" w:rsidRPr="006C5E15" w:rsidRDefault="006C5E15" w:rsidP="006C5E15">
            <w:pPr>
              <w:rPr>
                <w:rFonts w:cs="Frankruhel" w:hint="cs"/>
                <w:rtl/>
              </w:rPr>
            </w:pPr>
            <w:r>
              <w:rPr>
                <w:rtl/>
              </w:rPr>
              <w:t xml:space="preserve">סעיף 14 </w:t>
            </w:r>
          </w:p>
        </w:tc>
        <w:tc>
          <w:tcPr>
            <w:tcW w:w="5669" w:type="dxa"/>
          </w:tcPr>
          <w:p w:rsidR="006C5E15" w:rsidRPr="006C5E15" w:rsidRDefault="006C5E15" w:rsidP="006C5E15">
            <w:pPr>
              <w:rPr>
                <w:rFonts w:cs="Frankruhel" w:hint="cs"/>
                <w:rtl/>
              </w:rPr>
            </w:pPr>
            <w:r>
              <w:rPr>
                <w:rtl/>
              </w:rPr>
              <w:t>תעסוקה ודיור</w:t>
            </w:r>
          </w:p>
        </w:tc>
        <w:tc>
          <w:tcPr>
            <w:tcW w:w="567" w:type="dxa"/>
          </w:tcPr>
          <w:p w:rsidR="006C5E15" w:rsidRPr="006C5E15" w:rsidRDefault="006C5E15" w:rsidP="006C5E15">
            <w:pPr>
              <w:rPr>
                <w:rStyle w:val="Hyperlink"/>
                <w:rFonts w:hint="cs"/>
                <w:rtl/>
              </w:rPr>
            </w:pPr>
            <w:hyperlink w:anchor="Seif14" w:tooltip="תעסוקה ודיור" w:history="1">
              <w:r w:rsidRPr="006C5E15">
                <w:rPr>
                  <w:rStyle w:val="Hyperlink"/>
                </w:rPr>
                <w:t>Go</w:t>
              </w:r>
            </w:hyperlink>
          </w:p>
        </w:tc>
        <w:tc>
          <w:tcPr>
            <w:tcW w:w="850" w:type="dxa"/>
          </w:tcPr>
          <w:p w:rsidR="006C5E15" w:rsidRPr="006C5E15" w:rsidRDefault="006C5E15" w:rsidP="006C5E1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4</w:t>
            </w:r>
            <w:r>
              <w:rPr>
                <w:rFonts w:cs="Frankruhel"/>
                <w:rtl/>
              </w:rPr>
              <w:fldChar w:fldCharType="end"/>
            </w:r>
          </w:p>
        </w:tc>
      </w:tr>
      <w:tr w:rsidR="006C5E15" w:rsidRPr="006C5E15" w:rsidTr="006C5E15">
        <w:tblPrEx>
          <w:tblCellMar>
            <w:top w:w="0" w:type="dxa"/>
            <w:bottom w:w="0" w:type="dxa"/>
          </w:tblCellMar>
        </w:tblPrEx>
        <w:tc>
          <w:tcPr>
            <w:tcW w:w="1247" w:type="dxa"/>
          </w:tcPr>
          <w:p w:rsidR="006C5E15" w:rsidRPr="006C5E15" w:rsidRDefault="006C5E15" w:rsidP="006C5E15">
            <w:pPr>
              <w:rPr>
                <w:rFonts w:cs="Frankruhel" w:hint="cs"/>
                <w:rtl/>
              </w:rPr>
            </w:pPr>
            <w:r>
              <w:rPr>
                <w:rtl/>
              </w:rPr>
              <w:t xml:space="preserve">סעיף 15 </w:t>
            </w:r>
          </w:p>
        </w:tc>
        <w:tc>
          <w:tcPr>
            <w:tcW w:w="5669" w:type="dxa"/>
          </w:tcPr>
          <w:p w:rsidR="006C5E15" w:rsidRPr="006C5E15" w:rsidRDefault="006C5E15" w:rsidP="006C5E15">
            <w:pPr>
              <w:rPr>
                <w:rFonts w:cs="Frankruhel" w:hint="cs"/>
                <w:rtl/>
              </w:rPr>
            </w:pPr>
            <w:r>
              <w:rPr>
                <w:rtl/>
              </w:rPr>
              <w:t>שמירת דינים</w:t>
            </w:r>
          </w:p>
        </w:tc>
        <w:tc>
          <w:tcPr>
            <w:tcW w:w="567" w:type="dxa"/>
          </w:tcPr>
          <w:p w:rsidR="006C5E15" w:rsidRPr="006C5E15" w:rsidRDefault="006C5E15" w:rsidP="006C5E15">
            <w:pPr>
              <w:rPr>
                <w:rStyle w:val="Hyperlink"/>
                <w:rFonts w:hint="cs"/>
                <w:rtl/>
              </w:rPr>
            </w:pPr>
            <w:hyperlink w:anchor="Seif15" w:tooltip="שמירת דינים" w:history="1">
              <w:r w:rsidRPr="006C5E15">
                <w:rPr>
                  <w:rStyle w:val="Hyperlink"/>
                </w:rPr>
                <w:t>Go</w:t>
              </w:r>
            </w:hyperlink>
          </w:p>
        </w:tc>
        <w:tc>
          <w:tcPr>
            <w:tcW w:w="850" w:type="dxa"/>
          </w:tcPr>
          <w:p w:rsidR="006C5E15" w:rsidRPr="006C5E15" w:rsidRDefault="006C5E15" w:rsidP="006C5E1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4</w:t>
            </w:r>
            <w:r>
              <w:rPr>
                <w:rFonts w:cs="Frankruhel"/>
                <w:rtl/>
              </w:rPr>
              <w:fldChar w:fldCharType="end"/>
            </w:r>
          </w:p>
        </w:tc>
      </w:tr>
      <w:tr w:rsidR="006C5E15" w:rsidRPr="006C5E15" w:rsidTr="006C5E15">
        <w:tblPrEx>
          <w:tblCellMar>
            <w:top w:w="0" w:type="dxa"/>
            <w:bottom w:w="0" w:type="dxa"/>
          </w:tblCellMar>
        </w:tblPrEx>
        <w:tc>
          <w:tcPr>
            <w:tcW w:w="1247" w:type="dxa"/>
          </w:tcPr>
          <w:p w:rsidR="006C5E15" w:rsidRPr="006C5E15" w:rsidRDefault="006C5E15" w:rsidP="006C5E15">
            <w:pPr>
              <w:rPr>
                <w:rFonts w:cs="Frankruhel" w:hint="cs"/>
                <w:rtl/>
              </w:rPr>
            </w:pPr>
            <w:r>
              <w:rPr>
                <w:rtl/>
              </w:rPr>
              <w:t xml:space="preserve">סעיף 16 </w:t>
            </w:r>
          </w:p>
        </w:tc>
        <w:tc>
          <w:tcPr>
            <w:tcW w:w="5669" w:type="dxa"/>
          </w:tcPr>
          <w:p w:rsidR="006C5E15" w:rsidRPr="006C5E15" w:rsidRDefault="006C5E15" w:rsidP="006C5E15">
            <w:pPr>
              <w:rPr>
                <w:rFonts w:cs="Frankruhel" w:hint="cs"/>
                <w:rtl/>
              </w:rPr>
            </w:pPr>
            <w:r>
              <w:rPr>
                <w:rtl/>
              </w:rPr>
              <w:t>ביצוע ותקנות</w:t>
            </w:r>
          </w:p>
        </w:tc>
        <w:tc>
          <w:tcPr>
            <w:tcW w:w="567" w:type="dxa"/>
          </w:tcPr>
          <w:p w:rsidR="006C5E15" w:rsidRPr="006C5E15" w:rsidRDefault="006C5E15" w:rsidP="006C5E15">
            <w:pPr>
              <w:rPr>
                <w:rStyle w:val="Hyperlink"/>
                <w:rFonts w:hint="cs"/>
                <w:rtl/>
              </w:rPr>
            </w:pPr>
            <w:hyperlink w:anchor="Seif16" w:tooltip="ביצוע ותקנות" w:history="1">
              <w:r w:rsidRPr="006C5E15">
                <w:rPr>
                  <w:rStyle w:val="Hyperlink"/>
                </w:rPr>
                <w:t>Go</w:t>
              </w:r>
            </w:hyperlink>
          </w:p>
        </w:tc>
        <w:tc>
          <w:tcPr>
            <w:tcW w:w="850" w:type="dxa"/>
          </w:tcPr>
          <w:p w:rsidR="006C5E15" w:rsidRPr="006C5E15" w:rsidRDefault="006C5E15" w:rsidP="006C5E1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4</w:t>
            </w:r>
            <w:r>
              <w:rPr>
                <w:rFonts w:cs="Frankruhel"/>
                <w:rtl/>
              </w:rPr>
              <w:fldChar w:fldCharType="end"/>
            </w:r>
          </w:p>
        </w:tc>
      </w:tr>
      <w:tr w:rsidR="006C5E15" w:rsidRPr="006C5E15" w:rsidTr="006C5E15">
        <w:tblPrEx>
          <w:tblCellMar>
            <w:top w:w="0" w:type="dxa"/>
            <w:bottom w:w="0" w:type="dxa"/>
          </w:tblCellMar>
        </w:tblPrEx>
        <w:tc>
          <w:tcPr>
            <w:tcW w:w="1247" w:type="dxa"/>
          </w:tcPr>
          <w:p w:rsidR="006C5E15" w:rsidRPr="006C5E15" w:rsidRDefault="006C5E15" w:rsidP="006C5E15">
            <w:pPr>
              <w:rPr>
                <w:rFonts w:cs="Frankruhel" w:hint="cs"/>
                <w:rtl/>
              </w:rPr>
            </w:pPr>
            <w:r>
              <w:rPr>
                <w:rtl/>
              </w:rPr>
              <w:t xml:space="preserve">סעיף 17 </w:t>
            </w:r>
          </w:p>
        </w:tc>
        <w:tc>
          <w:tcPr>
            <w:tcW w:w="5669" w:type="dxa"/>
          </w:tcPr>
          <w:p w:rsidR="006C5E15" w:rsidRPr="006C5E15" w:rsidRDefault="006C5E15" w:rsidP="006C5E15">
            <w:pPr>
              <w:rPr>
                <w:rFonts w:cs="Frankruhel" w:hint="cs"/>
                <w:rtl/>
              </w:rPr>
            </w:pPr>
            <w:r>
              <w:rPr>
                <w:rtl/>
              </w:rPr>
              <w:t>תחילה</w:t>
            </w:r>
          </w:p>
        </w:tc>
        <w:tc>
          <w:tcPr>
            <w:tcW w:w="567" w:type="dxa"/>
          </w:tcPr>
          <w:p w:rsidR="006C5E15" w:rsidRPr="006C5E15" w:rsidRDefault="006C5E15" w:rsidP="006C5E15">
            <w:pPr>
              <w:rPr>
                <w:rStyle w:val="Hyperlink"/>
                <w:rFonts w:hint="cs"/>
                <w:rtl/>
              </w:rPr>
            </w:pPr>
            <w:hyperlink w:anchor="Seif17" w:tooltip="תחילה" w:history="1">
              <w:r w:rsidRPr="006C5E15">
                <w:rPr>
                  <w:rStyle w:val="Hyperlink"/>
                </w:rPr>
                <w:t>Go</w:t>
              </w:r>
            </w:hyperlink>
          </w:p>
        </w:tc>
        <w:tc>
          <w:tcPr>
            <w:tcW w:w="850" w:type="dxa"/>
          </w:tcPr>
          <w:p w:rsidR="006C5E15" w:rsidRPr="006C5E15" w:rsidRDefault="006C5E15" w:rsidP="006C5E1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4</w:t>
            </w:r>
            <w:r>
              <w:rPr>
                <w:rFonts w:cs="Frankruhel"/>
                <w:rtl/>
              </w:rPr>
              <w:fldChar w:fldCharType="end"/>
            </w:r>
          </w:p>
        </w:tc>
      </w:tr>
    </w:tbl>
    <w:p w:rsidR="007E79B8" w:rsidRDefault="007E79B8" w:rsidP="007E79B8">
      <w:pPr>
        <w:pStyle w:val="big-header"/>
        <w:ind w:left="0" w:right="1134"/>
        <w:rPr>
          <w:rFonts w:cs="FrankRuehl" w:hint="cs"/>
          <w:sz w:val="32"/>
          <w:rtl/>
        </w:rPr>
      </w:pPr>
    </w:p>
    <w:p w:rsidR="007E79B8" w:rsidRDefault="007E79B8" w:rsidP="008E53F3">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חוק אנשי צבא דרום לבנון ומשפחותיהם</w:t>
      </w:r>
      <w:r w:rsidR="00426A37">
        <w:rPr>
          <w:rFonts w:cs="FrankRuehl" w:hint="cs"/>
          <w:sz w:val="32"/>
          <w:rtl/>
        </w:rPr>
        <w:t xml:space="preserve">, </w:t>
      </w:r>
      <w:r>
        <w:rPr>
          <w:rFonts w:cs="FrankRuehl" w:hint="cs"/>
          <w:sz w:val="32"/>
          <w:rtl/>
        </w:rPr>
        <w:t>תשס"ה-2004</w:t>
      </w:r>
      <w:r>
        <w:rPr>
          <w:rStyle w:val="default"/>
          <w:sz w:val="22"/>
          <w:szCs w:val="22"/>
          <w:rtl/>
        </w:rPr>
        <w:footnoteReference w:customMarkFollows="1" w:id="1"/>
        <w:t>*</w:t>
      </w:r>
    </w:p>
    <w:p w:rsidR="00910901" w:rsidRDefault="00910901">
      <w:pPr>
        <w:pStyle w:val="P00"/>
        <w:spacing w:before="72"/>
        <w:ind w:left="0" w:right="1134"/>
        <w:rPr>
          <w:rStyle w:val="big-number"/>
          <w:rFonts w:cs="FrankRuehl" w:hint="cs"/>
          <w:sz w:val="26"/>
          <w:szCs w:val="26"/>
          <w:rtl/>
        </w:rPr>
      </w:pPr>
      <w:bookmarkStart w:id="1" w:name="Seif1"/>
      <w:bookmarkEnd w:id="1"/>
      <w:r>
        <w:rPr>
          <w:rFonts w:cs="Miriam"/>
          <w:lang w:val="he-IL"/>
        </w:rPr>
        <w:pict>
          <v:rect id="_x0000_s1026" style="position:absolute;left:0;text-align:left;margin-left:468pt;margin-top:7.1pt;width:70.55pt;height:11pt;z-index:251649024" filled="f" stroked="f" strokecolor="lime" strokeweight=".25pt">
            <v:textbox style="mso-next-textbox:#_x0000_s1026" inset="1mm,0,1mm,0">
              <w:txbxContent>
                <w:p w:rsidR="00910901" w:rsidRDefault="00910901">
                  <w:pPr>
                    <w:spacing w:line="160" w:lineRule="exact"/>
                    <w:rPr>
                      <w:rFonts w:cs="Miriam" w:hint="cs"/>
                      <w:noProof/>
                      <w:sz w:val="18"/>
                      <w:szCs w:val="18"/>
                      <w:rtl/>
                    </w:rPr>
                  </w:pPr>
                  <w:r>
                    <w:rPr>
                      <w:rFonts w:cs="Miriam" w:hint="cs"/>
                      <w:sz w:val="18"/>
                      <w:szCs w:val="18"/>
                      <w:rtl/>
                    </w:rPr>
                    <w:t>מטרה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מטרתו של חוק זה להסדיר את מעמדם של אנשי צבא דרום לבנון ובני משפחותיהם אשר מתגוררים בישראל ביום תחילתו של חוק זה.</w:t>
      </w:r>
    </w:p>
    <w:p w:rsidR="00910901" w:rsidRDefault="00910901">
      <w:pPr>
        <w:pStyle w:val="P00"/>
        <w:spacing w:before="72"/>
        <w:ind w:left="0" w:right="1134"/>
        <w:rPr>
          <w:rStyle w:val="big-number"/>
          <w:rFonts w:cs="FrankRuehl" w:hint="cs"/>
          <w:sz w:val="26"/>
          <w:szCs w:val="26"/>
          <w:rtl/>
        </w:rPr>
      </w:pPr>
      <w:bookmarkStart w:id="2" w:name="Seif3"/>
      <w:bookmarkEnd w:id="2"/>
      <w:r>
        <w:rPr>
          <w:rFonts w:cs="Miriam"/>
          <w:lang w:val="he-IL"/>
        </w:rPr>
        <w:pict>
          <v:rect id="_x0000_s1241" style="position:absolute;left:0;text-align:left;margin-left:468pt;margin-top:8.05pt;width:70.55pt;height:8.95pt;z-index:251651072" filled="f" stroked="f" strokecolor="lime" strokeweight=".25pt">
            <v:textbox style="mso-next-textbox:#_x0000_s1241" inset="1mm,0,1mm,0">
              <w:txbxContent>
                <w:p w:rsidR="00910901" w:rsidRDefault="00910901">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בחוק זה </w:t>
      </w:r>
      <w:r>
        <w:rPr>
          <w:rStyle w:val="big-number"/>
          <w:rFonts w:cs="FrankRuehl"/>
          <w:sz w:val="26"/>
          <w:szCs w:val="26"/>
          <w:rtl/>
        </w:rPr>
        <w:t>–</w:t>
      </w:r>
    </w:p>
    <w:p w:rsidR="00910901" w:rsidRDefault="00910901">
      <w:pPr>
        <w:pStyle w:val="P00"/>
        <w:spacing w:before="72"/>
        <w:ind w:left="0" w:right="1134"/>
        <w:rPr>
          <w:rStyle w:val="big-number"/>
          <w:rFonts w:cs="FrankRuehl" w:hint="cs"/>
          <w:sz w:val="26"/>
          <w:szCs w:val="26"/>
          <w:rtl/>
        </w:rPr>
      </w:pPr>
      <w:r>
        <w:rPr>
          <w:rStyle w:val="big-number"/>
          <w:rFonts w:cs="FrankRuehl" w:hint="cs"/>
          <w:sz w:val="26"/>
          <w:szCs w:val="26"/>
          <w:rtl/>
        </w:rPr>
        <w:tab/>
        <w:t xml:space="preserve">"איש צד"ל" </w:t>
      </w:r>
      <w:r>
        <w:rPr>
          <w:rStyle w:val="big-number"/>
          <w:rFonts w:cs="FrankRuehl"/>
          <w:sz w:val="26"/>
          <w:szCs w:val="26"/>
          <w:rtl/>
        </w:rPr>
        <w:t>–</w:t>
      </w:r>
      <w:r>
        <w:rPr>
          <w:rStyle w:val="big-number"/>
          <w:rFonts w:cs="FrankRuehl" w:hint="cs"/>
          <w:sz w:val="26"/>
          <w:szCs w:val="26"/>
          <w:rtl/>
        </w:rPr>
        <w:t xml:space="preserve"> מי שמתגורר בישראל ושירת שירות בצבא דרום לבנון (להלן </w:t>
      </w:r>
      <w:r>
        <w:rPr>
          <w:rStyle w:val="big-number"/>
          <w:rFonts w:cs="FrankRuehl"/>
          <w:sz w:val="26"/>
          <w:szCs w:val="26"/>
          <w:rtl/>
        </w:rPr>
        <w:t>–</w:t>
      </w:r>
      <w:r>
        <w:rPr>
          <w:rStyle w:val="big-number"/>
          <w:rFonts w:cs="FrankRuehl" w:hint="cs"/>
          <w:sz w:val="26"/>
          <w:szCs w:val="26"/>
          <w:rtl/>
        </w:rPr>
        <w:t xml:space="preserve"> שירות בצד"ל);</w:t>
      </w:r>
    </w:p>
    <w:p w:rsidR="00910901" w:rsidRDefault="00910901">
      <w:pPr>
        <w:pStyle w:val="P00"/>
        <w:spacing w:before="72"/>
        <w:ind w:left="0" w:right="1134"/>
        <w:rPr>
          <w:rStyle w:val="big-number"/>
          <w:rFonts w:cs="FrankRuehl" w:hint="cs"/>
          <w:sz w:val="26"/>
          <w:szCs w:val="26"/>
          <w:rtl/>
        </w:rPr>
      </w:pPr>
      <w:r>
        <w:rPr>
          <w:rStyle w:val="big-number"/>
          <w:rFonts w:cs="FrankRuehl" w:hint="cs"/>
          <w:sz w:val="26"/>
          <w:szCs w:val="26"/>
          <w:rtl/>
        </w:rPr>
        <w:tab/>
        <w:t xml:space="preserve">"בן משפחה של איש צד"ל שלקה בנכות" </w:t>
      </w:r>
      <w:r>
        <w:rPr>
          <w:rStyle w:val="big-number"/>
          <w:rFonts w:cs="FrankRuehl"/>
          <w:sz w:val="26"/>
          <w:szCs w:val="26"/>
          <w:rtl/>
        </w:rPr>
        <w:t>–</w:t>
      </w:r>
      <w:r>
        <w:rPr>
          <w:rStyle w:val="big-number"/>
          <w:rFonts w:cs="FrankRuehl" w:hint="cs"/>
          <w:sz w:val="26"/>
          <w:szCs w:val="26"/>
          <w:rtl/>
        </w:rPr>
        <w:t xml:space="preserve"> כמשמעותו של "בן משפחה של נכה" בסעיף 1 לחוק הנכים (תגמולים ושיקום), ובלבד שהוא מתגורר בישראל;</w:t>
      </w:r>
    </w:p>
    <w:p w:rsidR="00910901" w:rsidRDefault="00910901">
      <w:pPr>
        <w:pStyle w:val="P00"/>
        <w:spacing w:before="72"/>
        <w:ind w:left="0" w:right="1134"/>
        <w:rPr>
          <w:rStyle w:val="big-number"/>
          <w:rFonts w:cs="FrankRuehl" w:hint="cs"/>
          <w:sz w:val="26"/>
          <w:szCs w:val="26"/>
          <w:rtl/>
        </w:rPr>
      </w:pPr>
      <w:r>
        <w:rPr>
          <w:rStyle w:val="big-number"/>
          <w:rFonts w:cs="FrankRuehl" w:hint="cs"/>
          <w:sz w:val="26"/>
          <w:szCs w:val="26"/>
          <w:rtl/>
        </w:rPr>
        <w:tab/>
        <w:t xml:space="preserve">"איש צד"ל שנספה במערכה" </w:t>
      </w:r>
      <w:r>
        <w:rPr>
          <w:rStyle w:val="big-number"/>
          <w:rFonts w:cs="FrankRuehl"/>
          <w:sz w:val="26"/>
          <w:szCs w:val="26"/>
          <w:rtl/>
        </w:rPr>
        <w:t>–</w:t>
      </w:r>
      <w:r>
        <w:rPr>
          <w:rStyle w:val="big-number"/>
          <w:rFonts w:cs="FrankRuehl" w:hint="cs"/>
          <w:sz w:val="26"/>
          <w:szCs w:val="26"/>
          <w:rtl/>
        </w:rPr>
        <w:t xml:space="preserve"> איש צד"ל שנספה במהלך פעילות מבצעית שאירעה בתקופת שירותו בצד"ל ועקב שירותו;</w:t>
      </w:r>
    </w:p>
    <w:p w:rsidR="00910901" w:rsidRDefault="00910901">
      <w:pPr>
        <w:pStyle w:val="P00"/>
        <w:spacing w:before="72"/>
        <w:ind w:left="0" w:right="1134"/>
        <w:rPr>
          <w:rStyle w:val="big-number"/>
          <w:rFonts w:cs="FrankRuehl" w:hint="cs"/>
          <w:sz w:val="26"/>
          <w:szCs w:val="26"/>
          <w:rtl/>
        </w:rPr>
      </w:pPr>
      <w:r>
        <w:rPr>
          <w:rStyle w:val="big-number"/>
          <w:rFonts w:cs="FrankRuehl" w:hint="cs"/>
          <w:sz w:val="26"/>
          <w:szCs w:val="26"/>
          <w:rtl/>
        </w:rPr>
        <w:tab/>
        <w:t xml:space="preserve">"בן משפחה של איש צד"ל שנספה במערכה" </w:t>
      </w:r>
      <w:r>
        <w:rPr>
          <w:rStyle w:val="big-number"/>
          <w:rFonts w:cs="FrankRuehl"/>
          <w:sz w:val="26"/>
          <w:szCs w:val="26"/>
          <w:rtl/>
        </w:rPr>
        <w:t>–</w:t>
      </w:r>
      <w:r>
        <w:rPr>
          <w:rStyle w:val="big-number"/>
          <w:rFonts w:cs="FrankRuehl" w:hint="cs"/>
          <w:sz w:val="26"/>
          <w:szCs w:val="26"/>
          <w:rtl/>
        </w:rPr>
        <w:t xml:space="preserve"> כמשמעותו של "בן משפחה של חייל שנספה" בסעיף 1 לחוק משפחות חיילים שנספו במערכה, ובלבד שהוא מתגורר בישראל;</w:t>
      </w:r>
    </w:p>
    <w:p w:rsidR="00910901" w:rsidRDefault="00910901">
      <w:pPr>
        <w:pStyle w:val="P00"/>
        <w:spacing w:before="72"/>
        <w:ind w:left="0" w:right="1134"/>
        <w:rPr>
          <w:rStyle w:val="big-number"/>
          <w:rFonts w:cs="FrankRuehl" w:hint="cs"/>
          <w:sz w:val="26"/>
          <w:szCs w:val="26"/>
          <w:rtl/>
        </w:rPr>
      </w:pPr>
      <w:r>
        <w:rPr>
          <w:rStyle w:val="big-number"/>
          <w:rFonts w:cs="FrankRuehl" w:hint="cs"/>
          <w:sz w:val="26"/>
          <w:szCs w:val="26"/>
          <w:rtl/>
        </w:rPr>
        <w:tab/>
        <w:t xml:space="preserve">"המשכורת הקובעת" </w:t>
      </w:r>
      <w:r>
        <w:rPr>
          <w:rStyle w:val="big-number"/>
          <w:rFonts w:cs="FrankRuehl"/>
          <w:sz w:val="26"/>
          <w:szCs w:val="26"/>
          <w:rtl/>
        </w:rPr>
        <w:t>–</w:t>
      </w:r>
      <w:r>
        <w:rPr>
          <w:rStyle w:val="big-number"/>
          <w:rFonts w:cs="FrankRuehl" w:hint="cs"/>
          <w:sz w:val="26"/>
          <w:szCs w:val="26"/>
          <w:rtl/>
        </w:rPr>
        <w:t xml:space="preserve"> גובה השכר החודשי ששולם לאיש צד"ל על פי הרשומות הצבאיות ועל פי רשומות רשמיות אחרות, ביום י"ח באייר התש"ס (23 במאי 2000), ולאיש צד"ל שפרש משירות מצד"ל במועד מוקדם מהמועד האמור </w:t>
      </w:r>
      <w:r>
        <w:rPr>
          <w:rStyle w:val="big-number"/>
          <w:rFonts w:cs="FrankRuehl"/>
          <w:sz w:val="26"/>
          <w:szCs w:val="26"/>
          <w:rtl/>
        </w:rPr>
        <w:t>–</w:t>
      </w:r>
      <w:r>
        <w:rPr>
          <w:rStyle w:val="big-number"/>
          <w:rFonts w:cs="FrankRuehl" w:hint="cs"/>
          <w:sz w:val="26"/>
          <w:szCs w:val="26"/>
          <w:rtl/>
        </w:rPr>
        <w:t xml:space="preserve"> ביום פרישתו בפועל;</w:t>
      </w:r>
    </w:p>
    <w:p w:rsidR="00910901" w:rsidRDefault="00910901">
      <w:pPr>
        <w:pStyle w:val="P00"/>
        <w:spacing w:before="72"/>
        <w:ind w:left="0" w:right="1134"/>
        <w:rPr>
          <w:rStyle w:val="big-number"/>
          <w:rFonts w:cs="FrankRuehl" w:hint="cs"/>
          <w:sz w:val="26"/>
          <w:szCs w:val="26"/>
          <w:rtl/>
        </w:rPr>
      </w:pPr>
      <w:r>
        <w:rPr>
          <w:rStyle w:val="big-number"/>
          <w:rFonts w:cs="FrankRuehl" w:hint="cs"/>
          <w:sz w:val="26"/>
          <w:szCs w:val="26"/>
          <w:rtl/>
        </w:rPr>
        <w:tab/>
        <w:t xml:space="preserve">"יום התחילה" </w:t>
      </w:r>
      <w:r>
        <w:rPr>
          <w:rStyle w:val="big-number"/>
          <w:rFonts w:cs="FrankRuehl"/>
          <w:sz w:val="26"/>
          <w:szCs w:val="26"/>
          <w:rtl/>
        </w:rPr>
        <w:t>–</w:t>
      </w:r>
      <w:r>
        <w:rPr>
          <w:rStyle w:val="big-number"/>
          <w:rFonts w:cs="FrankRuehl" w:hint="cs"/>
          <w:sz w:val="26"/>
          <w:szCs w:val="26"/>
          <w:rtl/>
        </w:rPr>
        <w:t xml:space="preserve"> יום תחילתו של חוק זה;</w:t>
      </w:r>
    </w:p>
    <w:p w:rsidR="00910901" w:rsidRDefault="00910901">
      <w:pPr>
        <w:pStyle w:val="P00"/>
        <w:spacing w:before="72"/>
        <w:ind w:left="0" w:right="1134"/>
        <w:rPr>
          <w:rStyle w:val="big-number"/>
          <w:rFonts w:cs="FrankRuehl" w:hint="cs"/>
          <w:sz w:val="26"/>
          <w:szCs w:val="26"/>
          <w:rtl/>
        </w:rPr>
      </w:pPr>
      <w:r>
        <w:rPr>
          <w:rStyle w:val="big-number"/>
          <w:rFonts w:cs="FrankRuehl" w:hint="cs"/>
          <w:sz w:val="26"/>
          <w:szCs w:val="26"/>
          <w:rtl/>
        </w:rPr>
        <w:tab/>
        <w:t xml:space="preserve">"נכות" </w:t>
      </w:r>
      <w:r>
        <w:rPr>
          <w:rStyle w:val="big-number"/>
          <w:rFonts w:cs="FrankRuehl"/>
          <w:sz w:val="26"/>
          <w:szCs w:val="26"/>
          <w:rtl/>
        </w:rPr>
        <w:t>–</w:t>
      </w:r>
      <w:r>
        <w:rPr>
          <w:rStyle w:val="big-number"/>
          <w:rFonts w:cs="FrankRuehl" w:hint="cs"/>
          <w:sz w:val="26"/>
          <w:szCs w:val="26"/>
          <w:rtl/>
        </w:rPr>
        <w:t xml:space="preserve"> אבדן הכושר לפעול פעולה רגילה או פחיתתו של כושר זה שבאו לאיש צד"ל כתוצאה של פגיעה במהלך פעילות מבצעית שאירעה במהלך תקופת שירותו בצד"ל ועקב שירותו בצד"ל;</w:t>
      </w:r>
    </w:p>
    <w:p w:rsidR="00910901" w:rsidRDefault="00910901">
      <w:pPr>
        <w:pStyle w:val="P00"/>
        <w:spacing w:before="72"/>
        <w:ind w:left="0" w:right="1134"/>
        <w:rPr>
          <w:rStyle w:val="big-number"/>
          <w:rFonts w:cs="FrankRuehl" w:hint="cs"/>
          <w:sz w:val="26"/>
          <w:szCs w:val="26"/>
          <w:rtl/>
        </w:rPr>
      </w:pPr>
      <w:r>
        <w:rPr>
          <w:rStyle w:val="big-number"/>
          <w:rFonts w:cs="FrankRuehl" w:hint="cs"/>
          <w:sz w:val="26"/>
          <w:szCs w:val="26"/>
          <w:rtl/>
        </w:rPr>
        <w:tab/>
        <w:t xml:space="preserve">"שירות בצד"ל" </w:t>
      </w:r>
      <w:r>
        <w:rPr>
          <w:rStyle w:val="big-number"/>
          <w:rFonts w:cs="FrankRuehl"/>
          <w:sz w:val="26"/>
          <w:szCs w:val="26"/>
          <w:rtl/>
        </w:rPr>
        <w:t>–</w:t>
      </w:r>
      <w:r>
        <w:rPr>
          <w:rStyle w:val="big-number"/>
          <w:rFonts w:cs="FrankRuehl" w:hint="cs"/>
          <w:sz w:val="26"/>
          <w:szCs w:val="26"/>
          <w:rtl/>
        </w:rPr>
        <w:t xml:space="preserve"> שירות בצבא דרום לבנון שפעל תחת פיקודו של מיג'ור חדד וגנרל לאחד, לרבות מי ששירת במנגנון הביטחון בדרום לבנון, בגורמי הסיוע האזרחי ואצל גורמים אחרים בדרום לבנון, שעמדו בקשר עם זרועות הביטחון של מדינת ישראל, עד ליום י"ח באייר התש"ס (23 במאי 2000);</w:t>
      </w:r>
    </w:p>
    <w:p w:rsidR="00910901" w:rsidRDefault="00910901">
      <w:pPr>
        <w:pStyle w:val="P00"/>
        <w:spacing w:before="72"/>
        <w:ind w:left="0" w:right="1134"/>
        <w:rPr>
          <w:rStyle w:val="big-number"/>
          <w:rFonts w:cs="FrankRuehl" w:hint="cs"/>
          <w:sz w:val="26"/>
          <w:szCs w:val="26"/>
          <w:rtl/>
        </w:rPr>
      </w:pPr>
      <w:r>
        <w:rPr>
          <w:rStyle w:val="big-number"/>
          <w:rFonts w:cs="FrankRuehl" w:hint="cs"/>
          <w:sz w:val="26"/>
          <w:szCs w:val="26"/>
          <w:rtl/>
        </w:rPr>
        <w:tab/>
        <w:t xml:space="preserve">"חוק האזרחות" </w:t>
      </w:r>
      <w:r>
        <w:rPr>
          <w:rStyle w:val="big-number"/>
          <w:rFonts w:cs="FrankRuehl"/>
          <w:sz w:val="26"/>
          <w:szCs w:val="26"/>
          <w:rtl/>
        </w:rPr>
        <w:t>–</w:t>
      </w:r>
      <w:r>
        <w:rPr>
          <w:rStyle w:val="big-number"/>
          <w:rFonts w:cs="FrankRuehl" w:hint="cs"/>
          <w:sz w:val="26"/>
          <w:szCs w:val="26"/>
          <w:rtl/>
        </w:rPr>
        <w:t xml:space="preserve"> חוק האזרחות, התשי"ב-1952;</w:t>
      </w:r>
    </w:p>
    <w:p w:rsidR="00910901" w:rsidRDefault="00910901">
      <w:pPr>
        <w:pStyle w:val="P00"/>
        <w:spacing w:before="72"/>
        <w:ind w:left="0" w:right="1134"/>
        <w:rPr>
          <w:rStyle w:val="big-number"/>
          <w:rFonts w:cs="FrankRuehl" w:hint="cs"/>
          <w:sz w:val="26"/>
          <w:szCs w:val="26"/>
          <w:rtl/>
        </w:rPr>
      </w:pPr>
      <w:r>
        <w:rPr>
          <w:rStyle w:val="big-number"/>
          <w:rFonts w:cs="FrankRuehl" w:hint="cs"/>
          <w:sz w:val="26"/>
          <w:szCs w:val="26"/>
          <w:rtl/>
        </w:rPr>
        <w:tab/>
        <w:t xml:space="preserve">"חוק משפחות חיילים שנספו במערכה" </w:t>
      </w:r>
      <w:r>
        <w:rPr>
          <w:rStyle w:val="big-number"/>
          <w:rFonts w:cs="FrankRuehl"/>
          <w:sz w:val="26"/>
          <w:szCs w:val="26"/>
          <w:rtl/>
        </w:rPr>
        <w:t>–</w:t>
      </w:r>
      <w:r>
        <w:rPr>
          <w:rStyle w:val="big-number"/>
          <w:rFonts w:cs="FrankRuehl" w:hint="cs"/>
          <w:sz w:val="26"/>
          <w:szCs w:val="26"/>
          <w:rtl/>
        </w:rPr>
        <w:t xml:space="preserve"> חוק משפחות חיילים שנספו במערכה (תגמולים ושיקום), התש"י-1950;</w:t>
      </w:r>
    </w:p>
    <w:p w:rsidR="00910901" w:rsidRDefault="00910901">
      <w:pPr>
        <w:pStyle w:val="P00"/>
        <w:spacing w:before="72"/>
        <w:ind w:left="0" w:right="1134"/>
        <w:rPr>
          <w:rStyle w:val="big-number"/>
          <w:rFonts w:cs="FrankRuehl" w:hint="cs"/>
          <w:sz w:val="26"/>
          <w:szCs w:val="26"/>
          <w:rtl/>
        </w:rPr>
      </w:pPr>
      <w:r>
        <w:rPr>
          <w:rStyle w:val="big-number"/>
          <w:rFonts w:cs="FrankRuehl" w:hint="cs"/>
          <w:sz w:val="26"/>
          <w:szCs w:val="26"/>
          <w:rtl/>
        </w:rPr>
        <w:tab/>
        <w:t xml:space="preserve">"חוק הנכים (תגמולים ושיקום)" </w:t>
      </w:r>
      <w:r>
        <w:rPr>
          <w:rStyle w:val="big-number"/>
          <w:rFonts w:cs="FrankRuehl"/>
          <w:sz w:val="26"/>
          <w:szCs w:val="26"/>
          <w:rtl/>
        </w:rPr>
        <w:t>–</w:t>
      </w:r>
      <w:r>
        <w:rPr>
          <w:rStyle w:val="big-number"/>
          <w:rFonts w:cs="FrankRuehl" w:hint="cs"/>
          <w:sz w:val="26"/>
          <w:szCs w:val="26"/>
          <w:rtl/>
        </w:rPr>
        <w:t xml:space="preserve"> חוק הנכים (תגמולים ושיקום), התשי"ט-1959 [נוסח משולב].</w:t>
      </w:r>
    </w:p>
    <w:p w:rsidR="00910901" w:rsidRDefault="00910901">
      <w:pPr>
        <w:pStyle w:val="P00"/>
        <w:spacing w:before="72"/>
        <w:ind w:left="0" w:right="1134"/>
        <w:rPr>
          <w:rStyle w:val="big-number"/>
          <w:rFonts w:cs="FrankRuehl" w:hint="cs"/>
          <w:sz w:val="26"/>
          <w:szCs w:val="26"/>
          <w:rtl/>
        </w:rPr>
      </w:pPr>
      <w:bookmarkStart w:id="3" w:name="Seif4"/>
      <w:bookmarkEnd w:id="3"/>
      <w:r>
        <w:rPr>
          <w:rFonts w:cs="Miriam"/>
          <w:lang w:val="he-IL"/>
        </w:rPr>
        <w:pict>
          <v:rect id="_x0000_s1242" style="position:absolute;left:0;text-align:left;margin-left:468pt;margin-top:8.05pt;width:70.55pt;height:25.55pt;z-index:251652096" filled="f" stroked="f" strokecolor="lime" strokeweight=".25pt">
            <v:textbox style="mso-next-textbox:#_x0000_s1242" inset="1mm,0,1mm,0">
              <w:txbxContent>
                <w:p w:rsidR="00910901" w:rsidRDefault="00910901">
                  <w:pPr>
                    <w:spacing w:line="160" w:lineRule="exact"/>
                    <w:rPr>
                      <w:rFonts w:cs="Miriam" w:hint="cs"/>
                      <w:noProof/>
                      <w:sz w:val="18"/>
                      <w:szCs w:val="18"/>
                      <w:rtl/>
                    </w:rPr>
                  </w:pPr>
                  <w:r>
                    <w:rPr>
                      <w:rFonts w:cs="Miriam" w:hint="cs"/>
                      <w:sz w:val="18"/>
                      <w:szCs w:val="18"/>
                      <w:rtl/>
                    </w:rPr>
                    <w:t>הקניית אזרחות לאיש צד"ל ובן משפחתו</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על אף האמור בכל דין, איש צד"ל, בן זוגו, הורהו או ילדו, שמתגורר בישראל ביום התחילה, ומבקש להיות אזרח לפי חוק האזרחות יקנה לו שר הפנים אזרחות ישראלית, אף אם לא מתקיימת לגביו הוראת סעיף 5(א)(2) לחוק האמור.</w:t>
      </w:r>
    </w:p>
    <w:p w:rsidR="00910901" w:rsidRDefault="00910901">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שר הפנים רשאי לסרב לבקשה להקניית אזרחות ישראלית כאמור בסעיף קטן (א), אם שוכנע שמתקיימים טעמים מיוחדים שיפרט בהחלטתו.</w:t>
      </w:r>
    </w:p>
    <w:p w:rsidR="00910901" w:rsidRDefault="00910901">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על אף האמור בכל דין, שר הפנים רשאי, במקרים מיוחדים, להעניק אזרחות ישראלית גם לקרוב משפחה של איש צד"ל, שאינו מנוי בסעיף קטן (א), שהגיש בקשה להיות אזרח לפי חוק האזרחות, אם שוכנע כי הוא מתגורר בישראל משום שנשקפת סכנה לחייו בשל כך שקרוב משפחתו שירת שירות בצד"ל או משום שהענקת האזרחות כאמור היא מענינה המיוחד של המדינה.</w:t>
      </w:r>
    </w:p>
    <w:p w:rsidR="00910901" w:rsidRDefault="00910901">
      <w:pPr>
        <w:pStyle w:val="P00"/>
        <w:spacing w:before="72"/>
        <w:ind w:left="0" w:right="1134"/>
        <w:rPr>
          <w:rStyle w:val="default"/>
          <w:rFonts w:cs="FrankRuehl" w:hint="cs"/>
          <w:rtl/>
        </w:rPr>
      </w:pPr>
      <w:bookmarkStart w:id="4" w:name="Seif2"/>
      <w:bookmarkEnd w:id="4"/>
      <w:r>
        <w:rPr>
          <w:rFonts w:cs="Miriam"/>
          <w:lang w:val="he-IL"/>
        </w:rPr>
        <w:pict>
          <v:rect id="_x0000_s1215" style="position:absolute;left:0;text-align:left;margin-left:463.5pt;margin-top:8.05pt;width:75.05pt;height:23.45pt;z-index:251650048" filled="f" stroked="f" strokecolor="lime" strokeweight=".25pt">
            <v:textbox style="mso-next-textbox:#_x0000_s1215" inset="1mm,0,1mm,0">
              <w:txbxContent>
                <w:p w:rsidR="00910901" w:rsidRDefault="00910901">
                  <w:pPr>
                    <w:spacing w:line="160" w:lineRule="exact"/>
                    <w:rPr>
                      <w:rFonts w:cs="Miriam" w:hint="cs"/>
                      <w:noProof/>
                      <w:sz w:val="18"/>
                      <w:szCs w:val="18"/>
                      <w:rtl/>
                    </w:rPr>
                  </w:pPr>
                  <w:r>
                    <w:rPr>
                      <w:rFonts w:cs="Miriam" w:hint="cs"/>
                      <w:sz w:val="18"/>
                      <w:szCs w:val="18"/>
                      <w:rtl/>
                    </w:rPr>
                    <w:t>מתן אשרה ורישיון לישיבת קבע לאיש צד"ל ולבן משפחתו</w:t>
                  </w:r>
                </w:p>
              </w:txbxContent>
            </v:textbox>
            <w10:anchorlock/>
          </v:rect>
        </w:pict>
      </w:r>
      <w:r>
        <w:rPr>
          <w:rStyle w:val="big-number"/>
          <w:rFonts w:cs="Miriam" w:hint="cs"/>
          <w:rtl/>
        </w:rPr>
        <w:t>4.</w:t>
      </w:r>
      <w:r>
        <w:rPr>
          <w:rStyle w:val="big-number"/>
          <w:rFonts w:cs="FrankRuehl"/>
          <w:sz w:val="26"/>
          <w:szCs w:val="26"/>
          <w:rtl/>
        </w:rPr>
        <w:tab/>
      </w:r>
      <w:r>
        <w:rPr>
          <w:rStyle w:val="default"/>
          <w:rFonts w:cs="FrankRuehl" w:hint="cs"/>
          <w:rtl/>
        </w:rPr>
        <w:t>(א)</w:t>
      </w:r>
      <w:r>
        <w:rPr>
          <w:rStyle w:val="default"/>
          <w:rFonts w:cs="FrankRuehl" w:hint="cs"/>
          <w:rtl/>
        </w:rPr>
        <w:tab/>
        <w:t>על אף האמור בכל דין, שר הפנים ייתן לכל איש צד"ל או לבן זוגו, הורהו או ילדו, שמתגורר בישראל ביום התחילה, אשרה ורישיון לישיבת קבע בישראל כאמור בחוק הכניסה לישראל, התשי"ב-1952, אם הוגשה על ידו בקשה לכך.</w:t>
      </w:r>
    </w:p>
    <w:p w:rsidR="00910901" w:rsidRDefault="00910901">
      <w:pPr>
        <w:pStyle w:val="P00"/>
        <w:spacing w:before="72"/>
        <w:ind w:left="0" w:right="1134"/>
        <w:rPr>
          <w:rStyle w:val="default"/>
          <w:rFonts w:cs="FrankRuehl" w:hint="cs"/>
          <w:rtl/>
        </w:rPr>
      </w:pPr>
      <w:r>
        <w:rPr>
          <w:rStyle w:val="default"/>
          <w:rFonts w:cs="FrankRuehl" w:hint="cs"/>
          <w:rtl/>
        </w:rPr>
        <w:lastRenderedPageBreak/>
        <w:tab/>
        <w:t>(ב)</w:t>
      </w:r>
      <w:r>
        <w:rPr>
          <w:rStyle w:val="default"/>
          <w:rFonts w:cs="FrankRuehl" w:hint="cs"/>
          <w:rtl/>
        </w:rPr>
        <w:tab/>
        <w:t>על אף האמור בסעיף קטן (א), שר הפנים רשאי לסרב לבקשה לאשרה ולרישיון קבע כאמור בסעיף קטן (א), אם שוכנע שמתקיימים טעמים מיוחדים שיפרט בהחלטתו.</w:t>
      </w:r>
    </w:p>
    <w:p w:rsidR="00910901" w:rsidRDefault="00910901">
      <w:pPr>
        <w:pStyle w:val="P00"/>
        <w:spacing w:before="72"/>
        <w:ind w:left="0" w:right="1134"/>
        <w:rPr>
          <w:rStyle w:val="big-number"/>
          <w:rFonts w:cs="FrankRuehl" w:hint="cs"/>
          <w:sz w:val="26"/>
          <w:szCs w:val="26"/>
          <w:rtl/>
        </w:rPr>
      </w:pPr>
      <w:bookmarkStart w:id="5" w:name="Seif5"/>
      <w:bookmarkEnd w:id="5"/>
      <w:r>
        <w:rPr>
          <w:rFonts w:cs="Miriam"/>
          <w:lang w:val="he-IL"/>
        </w:rPr>
        <w:pict>
          <v:rect id="_x0000_s1243" style="position:absolute;left:0;text-align:left;margin-left:468pt;margin-top:8.05pt;width:70.55pt;height:8.95pt;z-index:251653120" filled="f" stroked="f" strokecolor="lime" strokeweight=".25pt">
            <v:textbox style="mso-next-textbox:#_x0000_s1243" inset="1mm,0,1mm,0">
              <w:txbxContent>
                <w:p w:rsidR="00910901" w:rsidRDefault="00910901">
                  <w:pPr>
                    <w:spacing w:line="160" w:lineRule="exact"/>
                    <w:rPr>
                      <w:rFonts w:cs="Miriam" w:hint="cs"/>
                      <w:noProof/>
                      <w:sz w:val="18"/>
                      <w:szCs w:val="18"/>
                      <w:rtl/>
                    </w:rPr>
                  </w:pPr>
                  <w:r>
                    <w:rPr>
                      <w:rFonts w:cs="Miriam" w:hint="cs"/>
                      <w:sz w:val="18"/>
                      <w:szCs w:val="18"/>
                      <w:rtl/>
                    </w:rPr>
                    <w:t>תעודת איש צד"ל</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על אף האמור בכל דין, שר הביטחון ייתן לכל איש צד"ל תעודה המאשרת כי הוא איש צד"ל, אם הוגשה על ידו בקשה לכך; התעודה תהווה ראיה לכל ענין ודבר באשר לשירותו של המבקש בצד"ל.</w:t>
      </w:r>
    </w:p>
    <w:p w:rsidR="00910901" w:rsidRDefault="00910901">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 xml:space="preserve">שר הביטחון רשאי לסרב לבקשה להקניית תעודה כאמור בסעיף קטן (א), אם המבקש הורשע, בפסק דין חלוט, בעבירה על פרק ז' לחוק העונשין, התשל"ז-1977, או בעבירה של פשע חמור; לענין זה, "פשע חמור" </w:t>
      </w:r>
      <w:r>
        <w:rPr>
          <w:rStyle w:val="big-number"/>
          <w:rFonts w:cs="FrankRuehl"/>
          <w:sz w:val="26"/>
          <w:szCs w:val="26"/>
          <w:rtl/>
        </w:rPr>
        <w:t>–</w:t>
      </w:r>
      <w:r>
        <w:rPr>
          <w:rStyle w:val="big-number"/>
          <w:rFonts w:cs="FrankRuehl" w:hint="cs"/>
          <w:sz w:val="26"/>
          <w:szCs w:val="26"/>
          <w:rtl/>
        </w:rPr>
        <w:t xml:space="preserve"> עבירה שדינה מאסר עשר שנים או יותר.</w:t>
      </w:r>
    </w:p>
    <w:p w:rsidR="00910901" w:rsidRDefault="00910901">
      <w:pPr>
        <w:pStyle w:val="P00"/>
        <w:spacing w:before="72"/>
        <w:ind w:left="0" w:right="1134"/>
        <w:rPr>
          <w:rStyle w:val="big-number"/>
          <w:rFonts w:cs="FrankRuehl" w:hint="cs"/>
          <w:sz w:val="26"/>
          <w:szCs w:val="26"/>
          <w:rtl/>
        </w:rPr>
      </w:pPr>
      <w:bookmarkStart w:id="6" w:name="Seif6"/>
      <w:bookmarkEnd w:id="6"/>
      <w:r>
        <w:rPr>
          <w:rFonts w:cs="Miriam"/>
          <w:lang w:val="he-IL"/>
        </w:rPr>
        <w:pict>
          <v:rect id="_x0000_s1244" style="position:absolute;left:0;text-align:left;margin-left:468pt;margin-top:8.05pt;width:70.55pt;height:27.9pt;z-index:251654144" filled="f" stroked="f" strokecolor="lime" strokeweight=".25pt">
            <v:textbox style="mso-next-textbox:#_x0000_s1244" inset="1mm,0,1mm,0">
              <w:txbxContent>
                <w:p w:rsidR="00910901" w:rsidRDefault="00910901">
                  <w:pPr>
                    <w:spacing w:line="160" w:lineRule="exact"/>
                    <w:rPr>
                      <w:rFonts w:cs="Miriam" w:hint="cs"/>
                      <w:noProof/>
                      <w:sz w:val="18"/>
                      <w:szCs w:val="18"/>
                      <w:rtl/>
                    </w:rPr>
                  </w:pPr>
                  <w:r>
                    <w:rPr>
                      <w:rFonts w:cs="Miriam" w:hint="cs"/>
                      <w:sz w:val="18"/>
                      <w:szCs w:val="18"/>
                      <w:rtl/>
                    </w:rPr>
                    <w:t>החלת חוק משפחות חיילים שנספו במערכה</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דינו של בן משפחה של איש צד"ל שנספה במערכה כדין בן משפחה של חייל שנספה כאמור בחוק משפחות חיילים שנספו במערכה, לכל ענין ודבר, לרבות לענין תגמולים ומענקים לפי החוק האמור, תקנות שהותקנו לפיו וכללים אחרים אשר חלים בענינו, והכל בשינויים המחויבים.</w:t>
      </w:r>
    </w:p>
    <w:p w:rsidR="00910901" w:rsidRDefault="00910901">
      <w:pPr>
        <w:pStyle w:val="P00"/>
        <w:spacing w:before="72"/>
        <w:ind w:left="0" w:right="1134"/>
        <w:rPr>
          <w:rStyle w:val="big-number"/>
          <w:rFonts w:cs="FrankRuehl" w:hint="cs"/>
          <w:sz w:val="26"/>
          <w:szCs w:val="26"/>
          <w:rtl/>
        </w:rPr>
      </w:pPr>
      <w:bookmarkStart w:id="7" w:name="Seif7"/>
      <w:bookmarkEnd w:id="7"/>
      <w:r>
        <w:rPr>
          <w:rFonts w:cs="Miriam"/>
          <w:lang w:val="he-IL"/>
        </w:rPr>
        <w:pict>
          <v:rect id="_x0000_s1245" style="position:absolute;left:0;text-align:left;margin-left:468pt;margin-top:8.05pt;width:70.55pt;height:22.95pt;z-index:251655168" filled="f" stroked="f" strokecolor="lime" strokeweight=".25pt">
            <v:textbox style="mso-next-textbox:#_x0000_s1245" inset="1mm,0,1mm,0">
              <w:txbxContent>
                <w:p w:rsidR="00910901" w:rsidRDefault="00910901">
                  <w:pPr>
                    <w:spacing w:line="160" w:lineRule="exact"/>
                    <w:rPr>
                      <w:rFonts w:cs="Miriam" w:hint="cs"/>
                      <w:noProof/>
                      <w:sz w:val="18"/>
                      <w:szCs w:val="18"/>
                      <w:rtl/>
                    </w:rPr>
                  </w:pPr>
                  <w:r>
                    <w:rPr>
                      <w:rFonts w:cs="Miriam" w:hint="cs"/>
                      <w:sz w:val="18"/>
                      <w:szCs w:val="18"/>
                      <w:rtl/>
                    </w:rPr>
                    <w:t>החלת חוק הנכים (תגמולים ושיקום)</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דינו של איש צד"ל שלקה בנכות כדין נכה כאמור בחוק הנכים (תגמולים ושיקום) לכל ענין ודבר, ולרבות לענין קביעת נכות, תגמול ותשלומים לפי החוק האמור, תקנות שהותקנו לפיו וכללים אחרים אשר חלים בענינו, והכל בשינויים המחויבים.</w:t>
      </w:r>
    </w:p>
    <w:p w:rsidR="00910901" w:rsidRDefault="00910901">
      <w:pPr>
        <w:pStyle w:val="P00"/>
        <w:spacing w:before="72"/>
        <w:ind w:left="0" w:right="1134"/>
        <w:rPr>
          <w:rStyle w:val="big-number"/>
          <w:rFonts w:cs="FrankRuehl" w:hint="cs"/>
          <w:sz w:val="26"/>
          <w:szCs w:val="26"/>
          <w:rtl/>
        </w:rPr>
      </w:pPr>
      <w:bookmarkStart w:id="8" w:name="Seif8"/>
      <w:bookmarkEnd w:id="8"/>
      <w:r>
        <w:rPr>
          <w:rFonts w:cs="Miriam"/>
          <w:lang w:val="he-IL"/>
        </w:rPr>
        <w:pict>
          <v:rect id="_x0000_s1246" style="position:absolute;left:0;text-align:left;margin-left:468pt;margin-top:8.05pt;width:70.55pt;height:22.05pt;z-index:251656192" filled="f" stroked="f" strokecolor="lime" strokeweight=".25pt">
            <v:textbox style="mso-next-textbox:#_x0000_s1246" inset="1mm,0,1mm,0">
              <w:txbxContent>
                <w:p w:rsidR="00910901" w:rsidRDefault="00910901">
                  <w:pPr>
                    <w:spacing w:line="160" w:lineRule="exact"/>
                    <w:rPr>
                      <w:rFonts w:cs="Miriam" w:hint="cs"/>
                      <w:noProof/>
                      <w:sz w:val="18"/>
                      <w:szCs w:val="18"/>
                      <w:rtl/>
                    </w:rPr>
                  </w:pPr>
                  <w:r>
                    <w:rPr>
                      <w:rFonts w:cs="Miriam" w:hint="cs"/>
                      <w:sz w:val="18"/>
                      <w:szCs w:val="18"/>
                      <w:rtl/>
                    </w:rPr>
                    <w:t>זכאות איש צד"ל למענק הוקרה</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 xml:space="preserve">איש צד"ל זכאי למענק הוקרה חד-פעמי בשיעור של שלוש פעמים המשכורת הקובעת על כל שנה שבה הוא שירת שירות בצד"ל ולמענק נוסף בשיעור של ארבעים אלף שקלים חדשים, בצירוף הפרשי הצמדה מהמדד הידוע ביום התחילה ועד המדד הידוע בעת כל תשלום; לענין זה, "מדד" </w:t>
      </w:r>
      <w:r>
        <w:rPr>
          <w:rStyle w:val="big-number"/>
          <w:rFonts w:cs="FrankRuehl"/>
          <w:sz w:val="26"/>
          <w:szCs w:val="26"/>
          <w:rtl/>
        </w:rPr>
        <w:t>–</w:t>
      </w:r>
      <w:r>
        <w:rPr>
          <w:rStyle w:val="big-number"/>
          <w:rFonts w:cs="FrankRuehl" w:hint="cs"/>
          <w:sz w:val="26"/>
          <w:szCs w:val="26"/>
          <w:rtl/>
        </w:rPr>
        <w:t xml:space="preserve"> מדד המחירים לצרכן שמפרסמת הלשכה המרכזית לסטטיסטיקה.</w:t>
      </w:r>
    </w:p>
    <w:p w:rsidR="00910901" w:rsidRDefault="00910901">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 xml:space="preserve">שר הביטחון רשאי לשלול את זכותו של איש צד"ל למענקים כאמור בסעיף קטן (א), כולם או חלקם, אם הוא הורשע, בפסק דין חלוט, בעבירה על פרק ז' לחוק העונשין, התשל"ז-1977, או בעבירה של פשע חמור; לענין זה, "פשע חמור" </w:t>
      </w:r>
      <w:r>
        <w:rPr>
          <w:rStyle w:val="big-number"/>
          <w:rFonts w:cs="FrankRuehl"/>
          <w:sz w:val="26"/>
          <w:szCs w:val="26"/>
          <w:rtl/>
        </w:rPr>
        <w:t>–</w:t>
      </w:r>
      <w:r>
        <w:rPr>
          <w:rStyle w:val="big-number"/>
          <w:rFonts w:cs="FrankRuehl" w:hint="cs"/>
          <w:sz w:val="26"/>
          <w:szCs w:val="26"/>
          <w:rtl/>
        </w:rPr>
        <w:t xml:space="preserve"> עבירה שדינה מאסר עשר שנים או יותר.</w:t>
      </w:r>
    </w:p>
    <w:p w:rsidR="00910901" w:rsidRDefault="00910901">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שר הביטחון ושר האוצר, באישור ועדת הכספים של הכנסת, יקבעו את אופן פריסת המענקים כאמור בסעיף קטן (א) לתשלומים חודשיים ולתקופה שלא תעלה על עשר שנים; שר הביטחון ושר האוצר יגישו לוועדת הכספים של הכנסת דין וחשבון שנתי לענין תשלום המענקים ואופן פריסתם.</w:t>
      </w:r>
    </w:p>
    <w:p w:rsidR="00910901" w:rsidRDefault="00910901">
      <w:pPr>
        <w:pStyle w:val="P00"/>
        <w:spacing w:before="72"/>
        <w:ind w:left="0" w:right="1134"/>
        <w:rPr>
          <w:rStyle w:val="big-number"/>
          <w:rFonts w:cs="FrankRuehl" w:hint="cs"/>
          <w:sz w:val="26"/>
          <w:szCs w:val="26"/>
          <w:rtl/>
        </w:rPr>
      </w:pPr>
      <w:bookmarkStart w:id="9" w:name="Seif9"/>
      <w:bookmarkEnd w:id="9"/>
      <w:r>
        <w:rPr>
          <w:rFonts w:cs="Miriam"/>
          <w:lang w:val="he-IL"/>
        </w:rPr>
        <w:pict>
          <v:rect id="_x0000_s1247" style="position:absolute;left:0;text-align:left;margin-left:468pt;margin-top:8.05pt;width:70.55pt;height:22.9pt;z-index:251657216" filled="f" stroked="f" strokecolor="lime" strokeweight=".25pt">
            <v:textbox style="mso-next-textbox:#_x0000_s1247" inset="1mm,0,1mm,0">
              <w:txbxContent>
                <w:p w:rsidR="00910901" w:rsidRDefault="00910901">
                  <w:pPr>
                    <w:spacing w:line="160" w:lineRule="exact"/>
                    <w:rPr>
                      <w:rFonts w:cs="Miriam" w:hint="cs"/>
                      <w:noProof/>
                      <w:sz w:val="18"/>
                      <w:szCs w:val="18"/>
                      <w:rtl/>
                    </w:rPr>
                  </w:pPr>
                  <w:r>
                    <w:rPr>
                      <w:rFonts w:cs="Miriam" w:hint="cs"/>
                      <w:sz w:val="18"/>
                      <w:szCs w:val="18"/>
                      <w:rtl/>
                    </w:rPr>
                    <w:t>הממונה על המענקים</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 xml:space="preserve">שר הביטחון ימנה ממונה או ממונים לענין קביעת הזכאות, שיעור המענקים ותשלומם כאמור בסעיף 7(א) (בחוק זה </w:t>
      </w:r>
      <w:r>
        <w:rPr>
          <w:rStyle w:val="big-number"/>
          <w:rFonts w:cs="FrankRuehl"/>
          <w:sz w:val="26"/>
          <w:szCs w:val="26"/>
          <w:rtl/>
        </w:rPr>
        <w:t>–</w:t>
      </w:r>
      <w:r>
        <w:rPr>
          <w:rStyle w:val="big-number"/>
          <w:rFonts w:cs="FrankRuehl" w:hint="cs"/>
          <w:sz w:val="26"/>
          <w:szCs w:val="26"/>
          <w:rtl/>
        </w:rPr>
        <w:t xml:space="preserve"> הממונה על המענקים).</w:t>
      </w:r>
    </w:p>
    <w:p w:rsidR="00910901" w:rsidRDefault="00910901">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הודעה על מינוי הממונה על המענקים ועל כתובתו תפורסם ברשומות.</w:t>
      </w:r>
    </w:p>
    <w:p w:rsidR="00910901" w:rsidRDefault="00910901">
      <w:pPr>
        <w:pStyle w:val="P00"/>
        <w:spacing w:before="72"/>
        <w:ind w:left="0" w:right="1134"/>
        <w:rPr>
          <w:rStyle w:val="big-number"/>
          <w:rFonts w:cs="FrankRuehl" w:hint="cs"/>
          <w:sz w:val="26"/>
          <w:szCs w:val="26"/>
          <w:rtl/>
        </w:rPr>
      </w:pPr>
      <w:bookmarkStart w:id="10" w:name="Seif10"/>
      <w:bookmarkEnd w:id="10"/>
      <w:r>
        <w:rPr>
          <w:rFonts w:cs="Miriam"/>
          <w:lang w:val="he-IL"/>
        </w:rPr>
        <w:pict>
          <v:rect id="_x0000_s1248" style="position:absolute;left:0;text-align:left;margin-left:468pt;margin-top:8.05pt;width:70.55pt;height:8.95pt;z-index:251658240" filled="f" stroked="f" strokecolor="lime" strokeweight=".25pt">
            <v:textbox style="mso-next-textbox:#_x0000_s1248" inset="1mm,0,1mm,0">
              <w:txbxContent>
                <w:p w:rsidR="00910901" w:rsidRDefault="00910901">
                  <w:pPr>
                    <w:spacing w:line="160" w:lineRule="exact"/>
                    <w:rPr>
                      <w:rFonts w:cs="Miriam" w:hint="cs"/>
                      <w:noProof/>
                      <w:sz w:val="18"/>
                      <w:szCs w:val="18"/>
                      <w:rtl/>
                    </w:rPr>
                  </w:pPr>
                  <w:r>
                    <w:rPr>
                      <w:rFonts w:cs="Miriam" w:hint="cs"/>
                      <w:sz w:val="18"/>
                      <w:szCs w:val="18"/>
                      <w:rtl/>
                    </w:rPr>
                    <w:t>ערעור</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מבקש מענק הרואה את עצמו נפגע על ידי החלטה של הממונה על המענקים רשאי לערור עליה לפני ועדת ערעור.</w:t>
      </w:r>
    </w:p>
    <w:p w:rsidR="00910901" w:rsidRDefault="00910901">
      <w:pPr>
        <w:pStyle w:val="P00"/>
        <w:spacing w:before="72"/>
        <w:ind w:left="0" w:right="1134"/>
        <w:rPr>
          <w:rStyle w:val="big-number"/>
          <w:rFonts w:cs="FrankRuehl" w:hint="cs"/>
          <w:sz w:val="26"/>
          <w:szCs w:val="26"/>
          <w:rtl/>
        </w:rPr>
      </w:pPr>
      <w:bookmarkStart w:id="11" w:name="Seif11"/>
      <w:bookmarkEnd w:id="11"/>
      <w:r>
        <w:rPr>
          <w:rFonts w:cs="Miriam"/>
          <w:lang w:val="he-IL"/>
        </w:rPr>
        <w:pict>
          <v:rect id="_x0000_s1249" style="position:absolute;left:0;text-align:left;margin-left:468pt;margin-top:8.05pt;width:70.55pt;height:8.95pt;z-index:251659264" filled="f" stroked="f" strokecolor="lime" strokeweight=".25pt">
            <v:textbox style="mso-next-textbox:#_x0000_s1249" inset="1mm,0,1mm,0">
              <w:txbxContent>
                <w:p w:rsidR="00910901" w:rsidRDefault="00910901">
                  <w:pPr>
                    <w:spacing w:line="160" w:lineRule="exact"/>
                    <w:rPr>
                      <w:rFonts w:cs="Miriam" w:hint="cs"/>
                      <w:noProof/>
                      <w:sz w:val="18"/>
                      <w:szCs w:val="18"/>
                      <w:rtl/>
                    </w:rPr>
                  </w:pPr>
                  <w:r>
                    <w:rPr>
                      <w:rFonts w:cs="Miriam" w:hint="cs"/>
                      <w:sz w:val="18"/>
                      <w:szCs w:val="18"/>
                      <w:rtl/>
                    </w:rPr>
                    <w:t>ועדות ערעור</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שר המשפטים ימנה ועדת ערעור או ועדות ערעור לענין החלטתו של הממונה על המענקים.</w:t>
      </w:r>
    </w:p>
    <w:p w:rsidR="00910901" w:rsidRDefault="00910901">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ועדת הערעור תהיה בת שלושה חברים, שלפחות אחד מהם הוא איש צד"ל, בדרגה המקבילה לרב סרן בצבא הגנה לישראל.</w:t>
      </w:r>
    </w:p>
    <w:p w:rsidR="00910901" w:rsidRDefault="00910901">
      <w:pPr>
        <w:pStyle w:val="P00"/>
        <w:spacing w:before="72"/>
        <w:ind w:left="0" w:right="1134"/>
        <w:rPr>
          <w:rStyle w:val="big-number"/>
          <w:rFonts w:cs="FrankRuehl" w:hint="cs"/>
          <w:sz w:val="26"/>
          <w:szCs w:val="26"/>
          <w:rtl/>
        </w:rPr>
      </w:pPr>
      <w:bookmarkStart w:id="12" w:name="Seif12"/>
      <w:bookmarkEnd w:id="12"/>
      <w:r>
        <w:rPr>
          <w:rFonts w:cs="Miriam"/>
          <w:lang w:val="he-IL"/>
        </w:rPr>
        <w:pict>
          <v:rect id="_x0000_s1250" style="position:absolute;left:0;text-align:left;margin-left:468pt;margin-top:8.05pt;width:70.55pt;height:21.95pt;z-index:251660288" filled="f" stroked="f" strokecolor="lime" strokeweight=".25pt">
            <v:textbox style="mso-next-textbox:#_x0000_s1250" inset="1mm,0,1mm,0">
              <w:txbxContent>
                <w:p w:rsidR="00910901" w:rsidRDefault="00910901">
                  <w:pPr>
                    <w:spacing w:line="160" w:lineRule="exact"/>
                    <w:rPr>
                      <w:rFonts w:cs="Miriam" w:hint="cs"/>
                      <w:noProof/>
                      <w:sz w:val="18"/>
                      <w:szCs w:val="18"/>
                      <w:rtl/>
                    </w:rPr>
                  </w:pPr>
                  <w:r>
                    <w:rPr>
                      <w:rFonts w:cs="Miriam" w:hint="cs"/>
                      <w:sz w:val="18"/>
                      <w:szCs w:val="18"/>
                      <w:rtl/>
                    </w:rPr>
                    <w:t>סמכויות הממונה וועדת הערעור</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הממונה על המענקים וועדת הערעור לא יהיו קשורים בסדרי הדין ובדיני ראיות, אלא יפעלו בדרך שתיראה להם כמועילה ביותר לבירור השאלות העומדות לדיון.</w:t>
      </w:r>
    </w:p>
    <w:p w:rsidR="00910901" w:rsidRDefault="00910901">
      <w:pPr>
        <w:pStyle w:val="P00"/>
        <w:spacing w:before="72"/>
        <w:ind w:left="0" w:right="1134"/>
        <w:rPr>
          <w:rStyle w:val="big-number"/>
          <w:rFonts w:cs="FrankRuehl" w:hint="cs"/>
          <w:sz w:val="26"/>
          <w:szCs w:val="26"/>
          <w:rtl/>
        </w:rPr>
      </w:pPr>
      <w:bookmarkStart w:id="13" w:name="Seif13"/>
      <w:bookmarkEnd w:id="13"/>
      <w:r>
        <w:rPr>
          <w:rFonts w:cs="Miriam"/>
          <w:lang w:val="he-IL"/>
        </w:rPr>
        <w:pict>
          <v:rect id="_x0000_s1251" style="position:absolute;left:0;text-align:left;margin-left:468pt;margin-top:8.05pt;width:70.55pt;height:16.05pt;z-index:251661312" filled="f" stroked="f" strokecolor="lime" strokeweight=".25pt">
            <v:textbox style="mso-next-textbox:#_x0000_s1251" inset="1mm,0,1mm,0">
              <w:txbxContent>
                <w:p w:rsidR="00910901" w:rsidRDefault="00910901">
                  <w:pPr>
                    <w:spacing w:line="160" w:lineRule="exact"/>
                    <w:rPr>
                      <w:rFonts w:cs="Miriam" w:hint="cs"/>
                      <w:noProof/>
                      <w:sz w:val="18"/>
                      <w:szCs w:val="18"/>
                      <w:rtl/>
                    </w:rPr>
                  </w:pPr>
                  <w:r>
                    <w:rPr>
                      <w:rFonts w:cs="Miriam" w:hint="cs"/>
                      <w:sz w:val="18"/>
                      <w:szCs w:val="18"/>
                      <w:rtl/>
                    </w:rPr>
                    <w:t>הוראות מיוחדות לענין המענקים</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מענקים המשתלמים לפי סעיף 8 לא ייחשבו כהכנסה לענין </w:t>
      </w:r>
      <w:r>
        <w:rPr>
          <w:rStyle w:val="big-number"/>
          <w:rFonts w:cs="FrankRuehl"/>
          <w:sz w:val="26"/>
          <w:szCs w:val="26"/>
          <w:rtl/>
        </w:rPr>
        <w:t>–</w:t>
      </w:r>
    </w:p>
    <w:p w:rsidR="00910901" w:rsidRDefault="00910901">
      <w:pPr>
        <w:pStyle w:val="P00"/>
        <w:spacing w:before="72"/>
        <w:ind w:left="624"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פקודת מס הכנסה או לענין תשלומי חובה או היטלים אחרים;</w:t>
      </w:r>
    </w:p>
    <w:p w:rsidR="00910901" w:rsidRDefault="00910901">
      <w:pPr>
        <w:pStyle w:val="P00"/>
        <w:spacing w:before="72"/>
        <w:ind w:left="624"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סעיף 9 לחוק הבטחת הכנסה, התשמ"א-1980;</w:t>
      </w:r>
    </w:p>
    <w:p w:rsidR="00910901" w:rsidRDefault="00910901">
      <w:pPr>
        <w:pStyle w:val="P00"/>
        <w:spacing w:before="72"/>
        <w:ind w:left="624" w:right="1134"/>
        <w:rPr>
          <w:rStyle w:val="big-number"/>
          <w:rFonts w:cs="FrankRuehl"/>
          <w:sz w:val="26"/>
          <w:szCs w:val="26"/>
          <w:rtl/>
        </w:rPr>
      </w:pPr>
      <w:r>
        <w:rPr>
          <w:rStyle w:val="big-number"/>
          <w:rFonts w:cs="FrankRuehl" w:hint="cs"/>
          <w:sz w:val="26"/>
          <w:szCs w:val="26"/>
          <w:rtl/>
        </w:rPr>
        <w:t>(3)</w:t>
      </w:r>
      <w:r>
        <w:rPr>
          <w:rStyle w:val="big-number"/>
          <w:rFonts w:cs="FrankRuehl" w:hint="cs"/>
          <w:sz w:val="26"/>
          <w:szCs w:val="26"/>
          <w:rtl/>
        </w:rPr>
        <w:tab/>
        <w:t>גמלה המשתלמת מכוח ההסכמים בדבר מתן גמלאות מיוחדות לעולים תלויים בעזרת הזולת שנערך מכוח סעיף 9 לחוק הביטוח הלאומי [נוסח משולב], התשנ"ה-1995.</w:t>
      </w:r>
    </w:p>
    <w:p w:rsidR="00B8183D" w:rsidRDefault="00B8183D" w:rsidP="00B8183D">
      <w:pPr>
        <w:pStyle w:val="P00"/>
        <w:spacing w:before="72"/>
        <w:ind w:left="0" w:right="1134"/>
        <w:rPr>
          <w:rStyle w:val="big-number"/>
          <w:rFonts w:cs="FrankRuehl"/>
          <w:sz w:val="26"/>
          <w:szCs w:val="26"/>
          <w:rtl/>
        </w:rPr>
      </w:pPr>
      <w:bookmarkStart w:id="14" w:name="Seif18"/>
      <w:bookmarkEnd w:id="14"/>
      <w:r>
        <w:rPr>
          <w:rFonts w:cs="Miriam"/>
          <w:lang w:val="he-IL"/>
        </w:rPr>
        <w:pict>
          <v:rect id="_x0000_s1256" style="position:absolute;left:0;text-align:left;margin-left:463.15pt;margin-top:8.05pt;width:75.4pt;height:51.5pt;z-index:251666432" filled="f" stroked="f" strokecolor="lime" strokeweight=".25pt">
            <v:textbox style="mso-next-textbox:#_x0000_s1256" inset="1mm,0,1mm,0">
              <w:txbxContent>
                <w:p w:rsidR="00B8183D" w:rsidRDefault="00B8183D" w:rsidP="00B8183D">
                  <w:pPr>
                    <w:spacing w:line="160" w:lineRule="exact"/>
                    <w:rPr>
                      <w:rFonts w:cs="Miriam"/>
                      <w:sz w:val="18"/>
                      <w:szCs w:val="18"/>
                      <w:rtl/>
                    </w:rPr>
                  </w:pPr>
                  <w:r>
                    <w:rPr>
                      <w:rFonts w:cs="Miriam" w:hint="cs"/>
                      <w:sz w:val="18"/>
                      <w:szCs w:val="18"/>
                      <w:rtl/>
                    </w:rPr>
                    <w:t>אות מערכה לציון השתתפות במערכה ברצועת הביטחון בדרום לבנון</w:t>
                  </w:r>
                </w:p>
                <w:p w:rsidR="00B8183D" w:rsidRDefault="00B8183D" w:rsidP="00B8183D">
                  <w:pPr>
                    <w:spacing w:line="160" w:lineRule="exact"/>
                    <w:rPr>
                      <w:rFonts w:cs="Miriam" w:hint="cs"/>
                      <w:noProof/>
                      <w:sz w:val="18"/>
                      <w:szCs w:val="18"/>
                      <w:rtl/>
                    </w:rPr>
                  </w:pPr>
                  <w:r>
                    <w:rPr>
                      <w:rFonts w:cs="Miriam" w:hint="cs"/>
                      <w:sz w:val="18"/>
                      <w:szCs w:val="18"/>
                      <w:rtl/>
                    </w:rPr>
                    <w:t>(תיקון מס' 1) תשפ"א-2021</w:t>
                  </w:r>
                </w:p>
              </w:txbxContent>
            </v:textbox>
            <w10:anchorlock/>
          </v:rect>
        </w:pict>
      </w:r>
      <w:r>
        <w:rPr>
          <w:rStyle w:val="big-number"/>
          <w:rFonts w:cs="Miriam" w:hint="cs"/>
          <w:rtl/>
        </w:rPr>
        <w:t>13</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קבע שר הביטחון אות מערכה לפי סעיף 7 לחוק העיטורים בצבא הגנה לישראל, התש"ל-1970, לציון השתתפות במערכה ברצועת הביטחון בדרום לבנון, יעניק שר הביטחון או מי שהוא הסמיך לכך אות מערכה כאמור לאיש צד"ל שעמד בתנאים שקבע, באישור הממשלה.</w:t>
      </w:r>
    </w:p>
    <w:p w:rsidR="00B8183D" w:rsidRPr="00D874F1" w:rsidRDefault="00B8183D" w:rsidP="00B8183D">
      <w:pPr>
        <w:pStyle w:val="P00"/>
        <w:spacing w:before="0"/>
        <w:ind w:left="0" w:right="1134"/>
        <w:rPr>
          <w:rStyle w:val="big-number"/>
          <w:rFonts w:ascii="FrankRuehl" w:hAnsi="FrankRuehl" w:cs="FrankRuehl"/>
          <w:vanish/>
          <w:color w:val="FF0000"/>
          <w:sz w:val="20"/>
          <w:szCs w:val="20"/>
          <w:shd w:val="clear" w:color="auto" w:fill="FFFF99"/>
          <w:rtl/>
        </w:rPr>
      </w:pPr>
      <w:bookmarkStart w:id="15" w:name="Rov18"/>
      <w:r w:rsidRPr="00D874F1">
        <w:rPr>
          <w:rStyle w:val="big-number"/>
          <w:rFonts w:ascii="FrankRuehl" w:hAnsi="FrankRuehl" w:cs="FrankRuehl"/>
          <w:vanish/>
          <w:color w:val="FF0000"/>
          <w:sz w:val="20"/>
          <w:szCs w:val="20"/>
          <w:shd w:val="clear" w:color="auto" w:fill="FFFF99"/>
          <w:rtl/>
        </w:rPr>
        <w:t>מיום 18.3.2021</w:t>
      </w:r>
    </w:p>
    <w:p w:rsidR="00B8183D" w:rsidRPr="00D874F1" w:rsidRDefault="00B8183D" w:rsidP="00B8183D">
      <w:pPr>
        <w:pStyle w:val="P00"/>
        <w:spacing w:before="0"/>
        <w:ind w:left="0" w:right="1134"/>
        <w:rPr>
          <w:rStyle w:val="big-number"/>
          <w:rFonts w:ascii="FrankRuehl" w:hAnsi="FrankRuehl" w:cs="FrankRuehl"/>
          <w:vanish/>
          <w:sz w:val="20"/>
          <w:szCs w:val="20"/>
          <w:shd w:val="clear" w:color="auto" w:fill="FFFF99"/>
          <w:rtl/>
        </w:rPr>
      </w:pPr>
      <w:r w:rsidRPr="00D874F1">
        <w:rPr>
          <w:rStyle w:val="big-number"/>
          <w:rFonts w:ascii="FrankRuehl" w:hAnsi="FrankRuehl" w:cs="FrankRuehl"/>
          <w:b/>
          <w:bCs/>
          <w:vanish/>
          <w:sz w:val="20"/>
          <w:szCs w:val="20"/>
          <w:shd w:val="clear" w:color="auto" w:fill="FFFF99"/>
          <w:rtl/>
        </w:rPr>
        <w:t>תיקון מס' 1</w:t>
      </w:r>
    </w:p>
    <w:p w:rsidR="00B8183D" w:rsidRPr="00D874F1" w:rsidRDefault="00B8183D" w:rsidP="00B8183D">
      <w:pPr>
        <w:pStyle w:val="P00"/>
        <w:spacing w:before="0"/>
        <w:ind w:left="0" w:right="1134"/>
        <w:rPr>
          <w:rStyle w:val="big-number"/>
          <w:rFonts w:ascii="FrankRuehl" w:hAnsi="FrankRuehl" w:cs="FrankRuehl"/>
          <w:vanish/>
          <w:sz w:val="20"/>
          <w:szCs w:val="20"/>
          <w:shd w:val="clear" w:color="auto" w:fill="FFFF99"/>
          <w:rtl/>
        </w:rPr>
      </w:pPr>
      <w:hyperlink r:id="rId7" w:history="1">
        <w:r w:rsidRPr="00D874F1">
          <w:rPr>
            <w:rStyle w:val="Hyperlink"/>
            <w:rFonts w:ascii="FrankRuehl" w:hAnsi="FrankRuehl" w:cs="FrankRuehl"/>
            <w:vanish/>
            <w:szCs w:val="20"/>
            <w:shd w:val="clear" w:color="auto" w:fill="FFFF99"/>
            <w:rtl/>
          </w:rPr>
          <w:t>ס"ח תשפ"א מס' 2907</w:t>
        </w:r>
      </w:hyperlink>
      <w:r w:rsidRPr="00D874F1">
        <w:rPr>
          <w:rStyle w:val="big-number"/>
          <w:rFonts w:ascii="FrankRuehl" w:hAnsi="FrankRuehl" w:cs="FrankRuehl"/>
          <w:vanish/>
          <w:sz w:val="20"/>
          <w:szCs w:val="20"/>
          <w:shd w:val="clear" w:color="auto" w:fill="FFFF99"/>
          <w:rtl/>
        </w:rPr>
        <w:t xml:space="preserve"> מיום 18.3.2021 עמ' 338 (</w:t>
      </w:r>
      <w:hyperlink r:id="rId8" w:history="1">
        <w:r w:rsidRPr="00D874F1">
          <w:rPr>
            <w:rStyle w:val="Hyperlink"/>
            <w:rFonts w:ascii="FrankRuehl" w:hAnsi="FrankRuehl" w:cs="FrankRuehl"/>
            <w:vanish/>
            <w:szCs w:val="20"/>
            <w:shd w:val="clear" w:color="auto" w:fill="FFFF99"/>
            <w:rtl/>
          </w:rPr>
          <w:t>ה"ח 1399</w:t>
        </w:r>
      </w:hyperlink>
      <w:r w:rsidRPr="00D874F1">
        <w:rPr>
          <w:rStyle w:val="big-number"/>
          <w:rFonts w:ascii="FrankRuehl" w:hAnsi="FrankRuehl" w:cs="FrankRuehl"/>
          <w:vanish/>
          <w:sz w:val="20"/>
          <w:szCs w:val="20"/>
          <w:shd w:val="clear" w:color="auto" w:fill="FFFF99"/>
          <w:rtl/>
        </w:rPr>
        <w:t>)</w:t>
      </w:r>
    </w:p>
    <w:p w:rsidR="00B8183D" w:rsidRPr="00D874F1" w:rsidRDefault="00B8183D" w:rsidP="00D874F1">
      <w:pPr>
        <w:pStyle w:val="P00"/>
        <w:spacing w:before="0"/>
        <w:ind w:left="0" w:right="1134"/>
        <w:rPr>
          <w:rStyle w:val="big-number"/>
          <w:rFonts w:cs="FrankRuehl" w:hint="cs"/>
          <w:sz w:val="2"/>
          <w:szCs w:val="2"/>
          <w:rtl/>
        </w:rPr>
      </w:pPr>
      <w:r w:rsidRPr="00D874F1">
        <w:rPr>
          <w:rStyle w:val="big-number"/>
          <w:rFonts w:cs="FrankRuehl" w:hint="cs"/>
          <w:b/>
          <w:bCs/>
          <w:vanish/>
          <w:sz w:val="20"/>
          <w:szCs w:val="20"/>
          <w:shd w:val="clear" w:color="auto" w:fill="FFFF99"/>
          <w:rtl/>
        </w:rPr>
        <w:t>הוספת סעיף 13א</w:t>
      </w:r>
      <w:bookmarkEnd w:id="15"/>
    </w:p>
    <w:p w:rsidR="00B8183D" w:rsidRDefault="00B8183D" w:rsidP="00B8183D">
      <w:pPr>
        <w:pStyle w:val="P00"/>
        <w:spacing w:before="72"/>
        <w:ind w:left="0" w:right="1134"/>
        <w:rPr>
          <w:rStyle w:val="big-number"/>
          <w:rFonts w:cs="FrankRuehl" w:hint="cs"/>
          <w:sz w:val="26"/>
          <w:szCs w:val="26"/>
          <w:rtl/>
        </w:rPr>
      </w:pPr>
    </w:p>
    <w:p w:rsidR="00910901" w:rsidRDefault="00910901">
      <w:pPr>
        <w:pStyle w:val="P00"/>
        <w:spacing w:before="72"/>
        <w:ind w:left="0" w:right="1134"/>
        <w:rPr>
          <w:rStyle w:val="big-number"/>
          <w:rFonts w:cs="FrankRuehl" w:hint="cs"/>
          <w:sz w:val="26"/>
          <w:szCs w:val="26"/>
          <w:rtl/>
        </w:rPr>
      </w:pPr>
      <w:bookmarkStart w:id="16" w:name="Seif14"/>
      <w:bookmarkEnd w:id="16"/>
      <w:r>
        <w:rPr>
          <w:rFonts w:cs="Miriam"/>
          <w:lang w:val="he-IL"/>
        </w:rPr>
        <w:pict>
          <v:rect id="_x0000_s1252" style="position:absolute;left:0;text-align:left;margin-left:468pt;margin-top:8.05pt;width:70.55pt;height:8.95pt;z-index:251662336" filled="f" stroked="f" strokecolor="lime" strokeweight=".25pt">
            <v:textbox style="mso-next-textbox:#_x0000_s1252" inset="1mm,0,1mm,0">
              <w:txbxContent>
                <w:p w:rsidR="00910901" w:rsidRDefault="00910901">
                  <w:pPr>
                    <w:spacing w:line="160" w:lineRule="exact"/>
                    <w:rPr>
                      <w:rFonts w:cs="Miriam" w:hint="cs"/>
                      <w:noProof/>
                      <w:sz w:val="18"/>
                      <w:szCs w:val="18"/>
                      <w:rtl/>
                    </w:rPr>
                  </w:pPr>
                  <w:r>
                    <w:rPr>
                      <w:rFonts w:cs="Miriam" w:hint="cs"/>
                      <w:sz w:val="18"/>
                      <w:szCs w:val="18"/>
                      <w:rtl/>
                    </w:rPr>
                    <w:t>תעסוקה ודיור</w:t>
                  </w:r>
                </w:p>
              </w:txbxContent>
            </v:textbox>
            <w10:anchorlock/>
          </v:rect>
        </w:pict>
      </w:r>
      <w:r>
        <w:rPr>
          <w:rStyle w:val="big-number"/>
          <w:rFonts w:cs="Miriam" w:hint="cs"/>
          <w:rtl/>
        </w:rPr>
        <w:t>14</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הממשלה תפעל, במידת האפשר, למציאת פתרונות לצורכי דיור לאנשי צד"ל ולסידורי תעסוקה בעבורם; לענין זה, ייקבע תקציב שנתי במסגרת הקצאה לתחום פעולה נפרד </w:t>
      </w:r>
      <w:r>
        <w:rPr>
          <w:rStyle w:val="big-number"/>
          <w:rFonts w:cs="FrankRuehl"/>
          <w:sz w:val="26"/>
          <w:szCs w:val="26"/>
          <w:rtl/>
        </w:rPr>
        <w:t>–</w:t>
      </w:r>
      <w:r>
        <w:rPr>
          <w:rStyle w:val="big-number"/>
          <w:rFonts w:cs="FrankRuehl" w:hint="cs"/>
          <w:sz w:val="26"/>
          <w:szCs w:val="26"/>
          <w:rtl/>
        </w:rPr>
        <w:t xml:space="preserve"> "אנשי צד"ל" בסעיף תקציב משרד הביטחון בחוק התקציב השנתי; בסעיף זה, "תחום פעולה" ו"סעיף תקציב" </w:t>
      </w:r>
      <w:r>
        <w:rPr>
          <w:rStyle w:val="big-number"/>
          <w:rFonts w:cs="FrankRuehl"/>
          <w:sz w:val="26"/>
          <w:szCs w:val="26"/>
          <w:rtl/>
        </w:rPr>
        <w:t>–</w:t>
      </w:r>
      <w:r>
        <w:rPr>
          <w:rStyle w:val="big-number"/>
          <w:rFonts w:cs="FrankRuehl" w:hint="cs"/>
          <w:sz w:val="26"/>
          <w:szCs w:val="26"/>
          <w:rtl/>
        </w:rPr>
        <w:t xml:space="preserve"> כהגדרתם בחוק תקציב שנתי, כמשמעותו בחוק יסודות התקציב, התשמ"ה-1985.</w:t>
      </w:r>
    </w:p>
    <w:p w:rsidR="00910901" w:rsidRDefault="00910901">
      <w:pPr>
        <w:pStyle w:val="P00"/>
        <w:spacing w:before="72"/>
        <w:ind w:left="0" w:right="1134"/>
        <w:rPr>
          <w:rStyle w:val="big-number"/>
          <w:rFonts w:cs="FrankRuehl" w:hint="cs"/>
          <w:sz w:val="26"/>
          <w:szCs w:val="26"/>
          <w:rtl/>
        </w:rPr>
      </w:pPr>
      <w:bookmarkStart w:id="17" w:name="Seif15"/>
      <w:bookmarkEnd w:id="17"/>
      <w:r>
        <w:rPr>
          <w:rFonts w:cs="Miriam"/>
          <w:lang w:val="he-IL"/>
        </w:rPr>
        <w:pict>
          <v:rect id="_x0000_s1253" style="position:absolute;left:0;text-align:left;margin-left:468pt;margin-top:8.05pt;width:70.55pt;height:8.95pt;z-index:251663360" filled="f" stroked="f" strokecolor="lime" strokeweight=".25pt">
            <v:textbox style="mso-next-textbox:#_x0000_s1253" inset="1mm,0,1mm,0">
              <w:txbxContent>
                <w:p w:rsidR="00910901" w:rsidRDefault="00910901">
                  <w:pPr>
                    <w:spacing w:line="160" w:lineRule="exac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15</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הוראות סעיף 8 באות להוסיף על כל זכות אחרת המוקנית לאיש צד"ל לפי כל דין ונוהל.</w:t>
      </w:r>
    </w:p>
    <w:p w:rsidR="00910901" w:rsidRDefault="00910901">
      <w:pPr>
        <w:pStyle w:val="P00"/>
        <w:spacing w:before="72"/>
        <w:ind w:left="0" w:right="1134"/>
        <w:rPr>
          <w:rStyle w:val="big-number"/>
          <w:rFonts w:cs="FrankRuehl" w:hint="cs"/>
          <w:sz w:val="26"/>
          <w:szCs w:val="26"/>
          <w:rtl/>
        </w:rPr>
      </w:pPr>
      <w:bookmarkStart w:id="18" w:name="Seif16"/>
      <w:bookmarkEnd w:id="18"/>
      <w:r>
        <w:rPr>
          <w:rFonts w:cs="Miriam"/>
          <w:lang w:val="he-IL"/>
        </w:rPr>
        <w:pict>
          <v:rect id="_x0000_s1254" style="position:absolute;left:0;text-align:left;margin-left:468pt;margin-top:8.05pt;width:70.55pt;height:8.95pt;z-index:251664384" filled="f" stroked="f" strokecolor="lime" strokeweight=".25pt">
            <v:textbox style="mso-next-textbox:#_x0000_s1254" inset="1mm,0,1mm,0">
              <w:txbxContent>
                <w:p w:rsidR="00910901" w:rsidRDefault="00910901">
                  <w:pPr>
                    <w:spacing w:line="160" w:lineRule="exac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16</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שר הביטחון ממונה על ביצוע חוק זה, והוא רשאי להתקין תקנות בכל הנוגע לביצועו.</w:t>
      </w:r>
    </w:p>
    <w:p w:rsidR="00910901" w:rsidRDefault="00910901">
      <w:pPr>
        <w:pStyle w:val="P00"/>
        <w:spacing w:before="72"/>
        <w:ind w:left="0" w:right="1134"/>
        <w:rPr>
          <w:rStyle w:val="big-number"/>
          <w:rFonts w:cs="FrankRuehl" w:hint="cs"/>
          <w:sz w:val="26"/>
          <w:szCs w:val="26"/>
          <w:rtl/>
        </w:rPr>
      </w:pPr>
      <w:bookmarkStart w:id="19" w:name="Seif17"/>
      <w:bookmarkEnd w:id="19"/>
      <w:r>
        <w:rPr>
          <w:rFonts w:cs="Miriam"/>
          <w:lang w:val="he-IL"/>
        </w:rPr>
        <w:pict>
          <v:rect id="_x0000_s1255" style="position:absolute;left:0;text-align:left;margin-left:468pt;margin-top:8.05pt;width:70.55pt;height:8.95pt;z-index:251665408" filled="f" stroked="f" strokecolor="lime" strokeweight=".25pt">
            <v:textbox style="mso-next-textbox:#_x0000_s1255" inset="1mm,0,1mm,0">
              <w:txbxContent>
                <w:p w:rsidR="00910901" w:rsidRDefault="00910901">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17</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בתוך 30 ימים מיום תחילתו של חוק זה יקבעו שר הביטחון ושר האוצר, באישור ועדת הכספים של הכנסת, את אופן פריסת המענקים כאמור בסעיף 8.</w:t>
      </w:r>
    </w:p>
    <w:p w:rsidR="00910901" w:rsidRDefault="00910901">
      <w:pPr>
        <w:pStyle w:val="P00"/>
        <w:spacing w:before="72"/>
        <w:ind w:left="0" w:right="1134"/>
        <w:rPr>
          <w:rStyle w:val="default"/>
          <w:rFonts w:cs="FrankRuehl" w:hint="cs"/>
          <w:rtl/>
        </w:rPr>
      </w:pPr>
    </w:p>
    <w:p w:rsidR="00910901" w:rsidRDefault="00910901">
      <w:pPr>
        <w:pStyle w:val="P00"/>
        <w:spacing w:before="72"/>
        <w:ind w:left="0" w:right="1134"/>
        <w:rPr>
          <w:rStyle w:val="default"/>
          <w:rFonts w:cs="FrankRuehl" w:hint="cs"/>
          <w:rtl/>
        </w:rPr>
      </w:pPr>
    </w:p>
    <w:p w:rsidR="00910901" w:rsidRDefault="00910901">
      <w:pPr>
        <w:pStyle w:val="sig-1"/>
        <w:widowControl/>
        <w:tabs>
          <w:tab w:val="clear" w:pos="851"/>
          <w:tab w:val="clear" w:pos="2835"/>
          <w:tab w:val="clear" w:pos="4820"/>
          <w:tab w:val="center" w:pos="1701"/>
          <w:tab w:val="center" w:pos="3402"/>
          <w:tab w:val="center" w:pos="5103"/>
          <w:tab w:val="center" w:pos="6804"/>
        </w:tabs>
        <w:ind w:left="0" w:right="1134"/>
        <w:rPr>
          <w:rFonts w:cs="FrankRuehl" w:hint="cs"/>
          <w:sz w:val="26"/>
          <w:szCs w:val="26"/>
          <w:rtl/>
        </w:rPr>
      </w:pPr>
      <w:r>
        <w:rPr>
          <w:rFonts w:cs="FrankRuehl" w:hint="cs"/>
          <w:sz w:val="26"/>
          <w:szCs w:val="26"/>
          <w:rtl/>
        </w:rPr>
        <w:tab/>
      </w:r>
      <w:r>
        <w:rPr>
          <w:rFonts w:cs="FrankRuehl" w:hint="cs"/>
          <w:sz w:val="26"/>
          <w:szCs w:val="26"/>
          <w:rtl/>
        </w:rPr>
        <w:tab/>
        <w:t>אריאל שרון</w:t>
      </w:r>
      <w:r>
        <w:rPr>
          <w:rFonts w:cs="FrankRuehl" w:hint="cs"/>
          <w:sz w:val="26"/>
          <w:szCs w:val="26"/>
          <w:rtl/>
        </w:rPr>
        <w:tab/>
      </w:r>
      <w:r>
        <w:rPr>
          <w:rFonts w:cs="FrankRuehl" w:hint="cs"/>
          <w:sz w:val="26"/>
          <w:szCs w:val="26"/>
          <w:rtl/>
        </w:rPr>
        <w:tab/>
        <w:t>שאול מופז</w:t>
      </w:r>
    </w:p>
    <w:p w:rsidR="00910901" w:rsidRDefault="00910901">
      <w:pPr>
        <w:pStyle w:val="sig-1"/>
        <w:widowControl/>
        <w:tabs>
          <w:tab w:val="clear" w:pos="851"/>
          <w:tab w:val="clear" w:pos="2835"/>
          <w:tab w:val="clear" w:pos="4820"/>
          <w:tab w:val="center" w:pos="1701"/>
          <w:tab w:val="center" w:pos="3402"/>
          <w:tab w:val="center" w:pos="5103"/>
          <w:tab w:val="center" w:pos="6804"/>
        </w:tabs>
        <w:ind w:left="0" w:right="1134"/>
        <w:rPr>
          <w:rFonts w:cs="FrankRuehl" w:hint="cs"/>
          <w:sz w:val="22"/>
          <w:rtl/>
        </w:rPr>
      </w:pPr>
      <w:r>
        <w:rPr>
          <w:rFonts w:cs="FrankRuehl" w:hint="cs"/>
          <w:sz w:val="22"/>
          <w:rtl/>
        </w:rPr>
        <w:tab/>
      </w:r>
      <w:r>
        <w:rPr>
          <w:rFonts w:cs="FrankRuehl" w:hint="cs"/>
          <w:sz w:val="22"/>
          <w:rtl/>
        </w:rPr>
        <w:tab/>
        <w:t>ראש הממשלה</w:t>
      </w:r>
      <w:r>
        <w:rPr>
          <w:rFonts w:cs="FrankRuehl" w:hint="cs"/>
          <w:sz w:val="22"/>
          <w:rtl/>
        </w:rPr>
        <w:tab/>
      </w:r>
      <w:r>
        <w:rPr>
          <w:rFonts w:cs="FrankRuehl" w:hint="cs"/>
          <w:sz w:val="22"/>
          <w:rtl/>
        </w:rPr>
        <w:tab/>
        <w:t>שר הביטחון</w:t>
      </w:r>
    </w:p>
    <w:p w:rsidR="00910901" w:rsidRDefault="00910901">
      <w:pPr>
        <w:pStyle w:val="sig-1"/>
        <w:widowControl/>
        <w:tabs>
          <w:tab w:val="clear" w:pos="851"/>
          <w:tab w:val="clear" w:pos="2835"/>
          <w:tab w:val="clear" w:pos="4820"/>
          <w:tab w:val="center" w:pos="1701"/>
          <w:tab w:val="center" w:pos="3402"/>
          <w:tab w:val="center" w:pos="5103"/>
          <w:tab w:val="center" w:pos="6804"/>
        </w:tabs>
        <w:ind w:left="0" w:right="1134"/>
        <w:rPr>
          <w:rFonts w:cs="FrankRuehl" w:hint="cs"/>
          <w:sz w:val="26"/>
          <w:szCs w:val="26"/>
          <w:rtl/>
        </w:rPr>
      </w:pPr>
      <w:r>
        <w:rPr>
          <w:rFonts w:cs="FrankRuehl" w:hint="cs"/>
          <w:sz w:val="26"/>
          <w:szCs w:val="26"/>
          <w:rtl/>
        </w:rPr>
        <w:tab/>
        <w:t>משה קצב</w:t>
      </w:r>
      <w:r>
        <w:rPr>
          <w:rFonts w:cs="FrankRuehl" w:hint="cs"/>
          <w:sz w:val="26"/>
          <w:szCs w:val="26"/>
          <w:rtl/>
        </w:rPr>
        <w:tab/>
      </w:r>
      <w:r>
        <w:rPr>
          <w:rFonts w:cs="FrankRuehl" w:hint="cs"/>
          <w:sz w:val="26"/>
          <w:szCs w:val="26"/>
          <w:rtl/>
        </w:rPr>
        <w:tab/>
        <w:t>ראובן ריבלין</w:t>
      </w:r>
    </w:p>
    <w:p w:rsidR="00910901" w:rsidRDefault="00910901">
      <w:pPr>
        <w:pStyle w:val="sig-1"/>
        <w:widowControl/>
        <w:tabs>
          <w:tab w:val="clear" w:pos="851"/>
          <w:tab w:val="clear" w:pos="2835"/>
          <w:tab w:val="clear" w:pos="4820"/>
          <w:tab w:val="center" w:pos="1701"/>
          <w:tab w:val="center" w:pos="3402"/>
          <w:tab w:val="center" w:pos="5103"/>
          <w:tab w:val="center" w:pos="6804"/>
        </w:tabs>
        <w:ind w:left="0" w:right="1134"/>
        <w:rPr>
          <w:rFonts w:cs="FrankRuehl" w:hint="cs"/>
          <w:sz w:val="22"/>
          <w:rtl/>
        </w:rPr>
      </w:pPr>
      <w:r>
        <w:rPr>
          <w:rFonts w:cs="FrankRuehl" w:hint="cs"/>
          <w:sz w:val="22"/>
          <w:rtl/>
        </w:rPr>
        <w:tab/>
        <w:t>נשיא המדינה</w:t>
      </w:r>
      <w:r>
        <w:rPr>
          <w:rFonts w:cs="FrankRuehl" w:hint="cs"/>
          <w:sz w:val="22"/>
          <w:rtl/>
        </w:rPr>
        <w:tab/>
      </w:r>
      <w:r>
        <w:rPr>
          <w:rFonts w:cs="FrankRuehl" w:hint="cs"/>
          <w:sz w:val="22"/>
          <w:rtl/>
        </w:rPr>
        <w:tab/>
        <w:t>יושב ראש הכנסת</w:t>
      </w:r>
    </w:p>
    <w:p w:rsidR="00910901" w:rsidRPr="007E79B8" w:rsidRDefault="00910901" w:rsidP="007E79B8">
      <w:pPr>
        <w:pStyle w:val="P00"/>
        <w:spacing w:before="72"/>
        <w:ind w:left="0" w:right="1134"/>
        <w:rPr>
          <w:rStyle w:val="big-number"/>
          <w:rFonts w:cs="FrankRuehl" w:hint="cs"/>
          <w:sz w:val="26"/>
          <w:szCs w:val="26"/>
          <w:rtl/>
        </w:rPr>
      </w:pPr>
    </w:p>
    <w:p w:rsidR="007E79B8" w:rsidRPr="007E79B8" w:rsidRDefault="007E79B8" w:rsidP="007E79B8">
      <w:pPr>
        <w:pStyle w:val="P00"/>
        <w:spacing w:before="72"/>
        <w:ind w:left="0" w:right="1134"/>
        <w:rPr>
          <w:rStyle w:val="big-number"/>
          <w:rFonts w:cs="FrankRuehl" w:hint="cs"/>
          <w:sz w:val="26"/>
          <w:szCs w:val="26"/>
          <w:rtl/>
        </w:rPr>
      </w:pPr>
    </w:p>
    <w:p w:rsidR="009A4784" w:rsidRDefault="009A4784" w:rsidP="007E79B8">
      <w:pPr>
        <w:pStyle w:val="P00"/>
        <w:spacing w:before="72"/>
        <w:ind w:left="0" w:right="1134"/>
        <w:rPr>
          <w:rStyle w:val="big-number"/>
          <w:rFonts w:cs="FrankRuehl"/>
          <w:sz w:val="26"/>
          <w:szCs w:val="26"/>
          <w:rtl/>
        </w:rPr>
      </w:pPr>
    </w:p>
    <w:p w:rsidR="009A4784" w:rsidRDefault="009A4784" w:rsidP="007E79B8">
      <w:pPr>
        <w:pStyle w:val="P00"/>
        <w:spacing w:before="72"/>
        <w:ind w:left="0" w:right="1134"/>
        <w:rPr>
          <w:rStyle w:val="big-number"/>
          <w:rFonts w:cs="FrankRuehl"/>
          <w:sz w:val="26"/>
          <w:szCs w:val="26"/>
          <w:rtl/>
        </w:rPr>
      </w:pPr>
    </w:p>
    <w:p w:rsidR="009A4784" w:rsidRDefault="009A4784" w:rsidP="009A4784">
      <w:pPr>
        <w:pStyle w:val="P00"/>
        <w:spacing w:before="72"/>
        <w:ind w:left="0" w:right="1134"/>
        <w:jc w:val="center"/>
        <w:rPr>
          <w:rStyle w:val="big-number"/>
          <w:rFonts w:cs="David"/>
          <w:color w:val="0000FF"/>
          <w:sz w:val="26"/>
          <w:szCs w:val="24"/>
          <w:u w:val="single"/>
          <w:rtl/>
        </w:rPr>
      </w:pPr>
      <w:hyperlink r:id="rId9" w:history="1">
        <w:r>
          <w:rPr>
            <w:rStyle w:val="big-number"/>
            <w:rFonts w:cs="David"/>
            <w:color w:val="0000FF"/>
            <w:sz w:val="26"/>
            <w:szCs w:val="24"/>
            <w:u w:val="single"/>
            <w:rtl/>
          </w:rPr>
          <w:t>הודעה למנויים על עריכה ושינויים במסמכי פסיקה, חקיקה ועוד באתר נבו - הקש כאן</w:t>
        </w:r>
      </w:hyperlink>
    </w:p>
    <w:p w:rsidR="005B2AE8" w:rsidRDefault="005B2AE8" w:rsidP="009A4784">
      <w:pPr>
        <w:pStyle w:val="P00"/>
        <w:spacing w:before="72"/>
        <w:ind w:left="0" w:right="1134"/>
        <w:jc w:val="center"/>
        <w:rPr>
          <w:rStyle w:val="big-number"/>
          <w:rFonts w:cs="David"/>
          <w:color w:val="0000FF"/>
          <w:sz w:val="26"/>
          <w:szCs w:val="24"/>
          <w:u w:val="single"/>
          <w:rtl/>
        </w:rPr>
      </w:pPr>
    </w:p>
    <w:p w:rsidR="005B2AE8" w:rsidRDefault="005B2AE8" w:rsidP="009A4784">
      <w:pPr>
        <w:pStyle w:val="P00"/>
        <w:spacing w:before="72"/>
        <w:ind w:left="0" w:right="1134"/>
        <w:jc w:val="center"/>
        <w:rPr>
          <w:rStyle w:val="big-number"/>
          <w:rFonts w:cs="David"/>
          <w:color w:val="0000FF"/>
          <w:sz w:val="26"/>
          <w:szCs w:val="24"/>
          <w:u w:val="single"/>
          <w:rtl/>
        </w:rPr>
      </w:pPr>
    </w:p>
    <w:p w:rsidR="005B2AE8" w:rsidRDefault="005B2AE8" w:rsidP="005B2AE8">
      <w:pPr>
        <w:pStyle w:val="P00"/>
        <w:spacing w:before="72"/>
        <w:ind w:left="0" w:right="1134"/>
        <w:jc w:val="center"/>
        <w:rPr>
          <w:rStyle w:val="big-number"/>
          <w:rFonts w:cs="David"/>
          <w:color w:val="0000FF"/>
          <w:sz w:val="26"/>
          <w:szCs w:val="24"/>
          <w:u w:val="single"/>
          <w:rtl/>
        </w:rPr>
      </w:pPr>
      <w:hyperlink r:id="rId10" w:history="1">
        <w:r>
          <w:rPr>
            <w:rStyle w:val="big-number"/>
            <w:rFonts w:cs="David"/>
            <w:color w:val="0000FF"/>
            <w:sz w:val="26"/>
            <w:szCs w:val="24"/>
            <w:u w:val="single"/>
            <w:rtl/>
          </w:rPr>
          <w:t>הודעה למנויים על עריכה ושינויים במסמכי פסיקה, חקיקה ועוד באתר נבו - הקש כאן</w:t>
        </w:r>
      </w:hyperlink>
    </w:p>
    <w:p w:rsidR="006C5E15" w:rsidRDefault="006C5E15" w:rsidP="005B2AE8">
      <w:pPr>
        <w:pStyle w:val="P00"/>
        <w:spacing w:before="72"/>
        <w:ind w:left="0" w:right="1134"/>
        <w:jc w:val="center"/>
        <w:rPr>
          <w:rStyle w:val="big-number"/>
          <w:rFonts w:cs="David"/>
          <w:color w:val="0000FF"/>
          <w:sz w:val="26"/>
          <w:szCs w:val="24"/>
          <w:u w:val="single"/>
          <w:rtl/>
        </w:rPr>
      </w:pPr>
    </w:p>
    <w:p w:rsidR="006C5E15" w:rsidRDefault="006C5E15" w:rsidP="005B2AE8">
      <w:pPr>
        <w:pStyle w:val="P00"/>
        <w:spacing w:before="72"/>
        <w:ind w:left="0" w:right="1134"/>
        <w:jc w:val="center"/>
        <w:rPr>
          <w:rStyle w:val="big-number"/>
          <w:rFonts w:cs="David"/>
          <w:color w:val="0000FF"/>
          <w:sz w:val="26"/>
          <w:szCs w:val="24"/>
          <w:u w:val="single"/>
          <w:rtl/>
        </w:rPr>
      </w:pPr>
    </w:p>
    <w:p w:rsidR="006C5E15" w:rsidRDefault="006C5E15" w:rsidP="006C5E15">
      <w:pPr>
        <w:pStyle w:val="P00"/>
        <w:spacing w:before="72"/>
        <w:ind w:left="0" w:right="1134"/>
        <w:jc w:val="center"/>
        <w:rPr>
          <w:rStyle w:val="big-number"/>
          <w:rFonts w:cs="David"/>
          <w:color w:val="0000FF"/>
          <w:sz w:val="26"/>
          <w:szCs w:val="24"/>
          <w:u w:val="single"/>
          <w:rtl/>
        </w:rPr>
      </w:pPr>
      <w:hyperlink r:id="rId11" w:history="1">
        <w:r>
          <w:rPr>
            <w:rStyle w:val="Hyperlink"/>
            <w:noProof w:val="0"/>
            <w:sz w:val="24"/>
            <w:szCs w:val="24"/>
            <w:rtl/>
          </w:rPr>
          <w:t>הודעה למנויים על עריכה ושינויים במסמכי פסיקה, חקיקה ועוד באתר נבו - הקש כאן</w:t>
        </w:r>
      </w:hyperlink>
    </w:p>
    <w:p w:rsidR="007E79B8" w:rsidRPr="006C5E15" w:rsidRDefault="007E79B8" w:rsidP="006C5E15">
      <w:pPr>
        <w:pStyle w:val="P00"/>
        <w:spacing w:before="72"/>
        <w:ind w:left="0" w:right="1134"/>
        <w:jc w:val="center"/>
        <w:rPr>
          <w:rStyle w:val="big-number"/>
          <w:rFonts w:cs="David" w:hint="cs"/>
          <w:color w:val="0000FF"/>
          <w:sz w:val="26"/>
          <w:szCs w:val="24"/>
          <w:u w:val="single"/>
          <w:rtl/>
        </w:rPr>
      </w:pPr>
    </w:p>
    <w:sectPr w:rsidR="007E79B8" w:rsidRPr="006C5E15">
      <w:headerReference w:type="even" r:id="rId12"/>
      <w:headerReference w:type="default" r:id="rId13"/>
      <w:footerReference w:type="even" r:id="rId14"/>
      <w:footerReference w:type="default" r:id="rId15"/>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749F6" w:rsidRDefault="008749F6">
      <w:r>
        <w:separator/>
      </w:r>
    </w:p>
  </w:endnote>
  <w:endnote w:type="continuationSeparator" w:id="0">
    <w:p w:rsidR="008749F6" w:rsidRDefault="00874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01" w:rsidRDefault="0091090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10901" w:rsidRDefault="0091090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10901" w:rsidRDefault="0091090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B2AE8">
      <w:rPr>
        <w:rFonts w:cs="TopType Jerushalmi"/>
        <w:noProof/>
        <w:color w:val="000000"/>
        <w:sz w:val="14"/>
        <w:szCs w:val="14"/>
      </w:rPr>
      <w:t>Y:\Temp\Misrad-2003\00000000\2009----------------\09-Sep\2009-09-09\law\tav\Laws\999_368.doc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01" w:rsidRDefault="0091090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C5E15">
      <w:rPr>
        <w:rFonts w:hAnsi="FrankRuehl" w:cs="FrankRuehl"/>
        <w:noProof/>
        <w:sz w:val="24"/>
        <w:szCs w:val="24"/>
        <w:rtl/>
      </w:rPr>
      <w:t>4</w:t>
    </w:r>
    <w:r>
      <w:rPr>
        <w:rFonts w:hAnsi="FrankRuehl" w:cs="FrankRuehl"/>
        <w:sz w:val="24"/>
        <w:szCs w:val="24"/>
        <w:rtl/>
      </w:rPr>
      <w:fldChar w:fldCharType="end"/>
    </w:r>
  </w:p>
  <w:p w:rsidR="00910901" w:rsidRDefault="0091090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10901" w:rsidRDefault="0091090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B2AE8">
      <w:rPr>
        <w:rFonts w:cs="TopType Jerushalmi"/>
        <w:noProof/>
        <w:color w:val="000000"/>
        <w:sz w:val="14"/>
        <w:szCs w:val="14"/>
      </w:rPr>
      <w:t>Y:\Temp\Misrad-2003\00000000\2009----------------\09-Sep\2009-09-09\law\tav\Laws\999_368.doc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749F6" w:rsidRDefault="008749F6" w:rsidP="007E79B8">
      <w:pPr>
        <w:spacing w:before="60"/>
        <w:ind w:right="1134"/>
      </w:pPr>
      <w:r>
        <w:separator/>
      </w:r>
    </w:p>
  </w:footnote>
  <w:footnote w:type="continuationSeparator" w:id="0">
    <w:p w:rsidR="008749F6" w:rsidRDefault="008749F6">
      <w:r>
        <w:continuationSeparator/>
      </w:r>
    </w:p>
  </w:footnote>
  <w:footnote w:id="1">
    <w:p w:rsidR="007E79B8" w:rsidRDefault="007E79B8" w:rsidP="007E79B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פורסם </w:t>
      </w:r>
      <w:hyperlink r:id="rId1" w:history="1">
        <w:r>
          <w:rPr>
            <w:rStyle w:val="Hyperlink"/>
            <w:rFonts w:cs="FrankRuehl" w:hint="cs"/>
            <w:rtl/>
          </w:rPr>
          <w:t>ס"ח תשס"ה מס' 1965</w:t>
        </w:r>
      </w:hyperlink>
      <w:r>
        <w:rPr>
          <w:rFonts w:cs="FrankRuehl" w:hint="cs"/>
          <w:rtl/>
        </w:rPr>
        <w:t xml:space="preserve"> מיום 15.12.2004 עמ' 36 (</w:t>
      </w:r>
      <w:hyperlink r:id="rId2" w:history="1">
        <w:r w:rsidRPr="003F24D0">
          <w:rPr>
            <w:rStyle w:val="Hyperlink"/>
            <w:rFonts w:cs="FrankRuehl" w:hint="cs"/>
            <w:rtl/>
          </w:rPr>
          <w:t>ה"ח הכנסת תשס"ד מס' 51</w:t>
        </w:r>
      </w:hyperlink>
      <w:r>
        <w:rPr>
          <w:rFonts w:cs="FrankRuehl" w:hint="cs"/>
          <w:rtl/>
        </w:rPr>
        <w:t xml:space="preserve"> עמ' 167).</w:t>
      </w:r>
    </w:p>
    <w:p w:rsidR="000366DB" w:rsidRDefault="00B8183D" w:rsidP="000366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bookmarkStart w:id="0" w:name="_Hlk67151721"/>
      <w:r w:rsidR="000366DB">
        <w:rPr>
          <w:rFonts w:cs="FrankRuehl"/>
          <w:rtl/>
        </w:rPr>
        <w:fldChar w:fldCharType="begin"/>
      </w:r>
      <w:r w:rsidR="000366DB">
        <w:rPr>
          <w:rFonts w:cs="FrankRuehl"/>
          <w:rtl/>
        </w:rPr>
        <w:instrText xml:space="preserve"> </w:instrText>
      </w:r>
      <w:r w:rsidR="000366DB">
        <w:rPr>
          <w:rFonts w:cs="FrankRuehl"/>
        </w:rPr>
        <w:instrText>HYPERLINK</w:instrText>
      </w:r>
      <w:r w:rsidR="000366DB">
        <w:rPr>
          <w:rFonts w:cs="FrankRuehl"/>
          <w:rtl/>
        </w:rPr>
        <w:instrText xml:space="preserve"> "</w:instrText>
      </w:r>
      <w:r w:rsidR="000366DB">
        <w:rPr>
          <w:rFonts w:cs="FrankRuehl"/>
        </w:rPr>
        <w:instrText>https://www.nevo.co.il/Law_word/law14/law-2907.pdf</w:instrText>
      </w:r>
      <w:r w:rsidR="000366DB">
        <w:rPr>
          <w:rFonts w:cs="FrankRuehl"/>
          <w:rtl/>
        </w:rPr>
        <w:instrText xml:space="preserve">" </w:instrText>
      </w:r>
      <w:r w:rsidR="008749F6" w:rsidRPr="000366DB">
        <w:rPr>
          <w:rFonts w:cs="FrankRuehl"/>
        </w:rPr>
      </w:r>
      <w:r w:rsidR="000366DB">
        <w:rPr>
          <w:rFonts w:cs="FrankRuehl"/>
          <w:rtl/>
        </w:rPr>
        <w:fldChar w:fldCharType="separate"/>
      </w:r>
      <w:r w:rsidRPr="000366DB">
        <w:rPr>
          <w:rStyle w:val="Hyperlink"/>
          <w:rFonts w:cs="FrankRuehl" w:hint="cs"/>
          <w:rtl/>
        </w:rPr>
        <w:t>ס"ח תשפ"א מס' 2907</w:t>
      </w:r>
      <w:r w:rsidR="000366DB">
        <w:rPr>
          <w:rFonts w:cs="FrankRuehl"/>
          <w:rtl/>
        </w:rPr>
        <w:fldChar w:fldCharType="end"/>
      </w:r>
      <w:r>
        <w:rPr>
          <w:rFonts w:cs="FrankRuehl" w:hint="cs"/>
          <w:rtl/>
        </w:rPr>
        <w:t xml:space="preserve"> מיום 18.3.2021 עמ' 338 (</w:t>
      </w:r>
      <w:hyperlink r:id="rId3" w:history="1">
        <w:r w:rsidRPr="00B8183D">
          <w:rPr>
            <w:rStyle w:val="Hyperlink"/>
            <w:rFonts w:cs="FrankRuehl" w:hint="cs"/>
            <w:rtl/>
          </w:rPr>
          <w:t>ה"ח הממשלה תשפ"א מס' 1399</w:t>
        </w:r>
      </w:hyperlink>
      <w:r>
        <w:rPr>
          <w:rFonts w:cs="FrankRuehl" w:hint="cs"/>
          <w:rtl/>
        </w:rPr>
        <w:t xml:space="preserve"> עמ' 356) </w:t>
      </w:r>
      <w:r>
        <w:rPr>
          <w:rFonts w:cs="FrankRuehl"/>
          <w:rtl/>
        </w:rPr>
        <w:t>–</w:t>
      </w:r>
      <w:r>
        <w:rPr>
          <w:rFonts w:cs="FrankRuehl" w:hint="cs"/>
          <w:rtl/>
        </w:rPr>
        <w:t xml:space="preserve"> תיקון מס' </w:t>
      </w:r>
      <w:bookmarkEnd w:id="0"/>
      <w:r>
        <w:rPr>
          <w:rFonts w:cs="FrankRuehl" w:hint="cs"/>
          <w:rtl/>
        </w:rPr>
        <w:t>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01" w:rsidRDefault="0091090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910901" w:rsidRDefault="0091090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10901" w:rsidRDefault="0091090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01" w:rsidRDefault="00910901" w:rsidP="00426A3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אנשי צבא דרום לבנון ומשפחותיהם, תשס"ה-2004</w:t>
    </w:r>
  </w:p>
  <w:p w:rsidR="00910901" w:rsidRDefault="0091090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10901" w:rsidRDefault="00910901">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80454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B3F64"/>
    <w:rsid w:val="000366DB"/>
    <w:rsid w:val="00170233"/>
    <w:rsid w:val="0026797A"/>
    <w:rsid w:val="003F24D0"/>
    <w:rsid w:val="00426A37"/>
    <w:rsid w:val="005B2AE8"/>
    <w:rsid w:val="00672A1A"/>
    <w:rsid w:val="006C5E15"/>
    <w:rsid w:val="007E79B8"/>
    <w:rsid w:val="008749F6"/>
    <w:rsid w:val="008E4ACA"/>
    <w:rsid w:val="008E53F3"/>
    <w:rsid w:val="00910901"/>
    <w:rsid w:val="009A4784"/>
    <w:rsid w:val="009C455B"/>
    <w:rsid w:val="00B8183D"/>
    <w:rsid w:val="00BC3B16"/>
    <w:rsid w:val="00D874F1"/>
    <w:rsid w:val="00FB3F6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5:chartTrackingRefBased/>
  <w15:docId w15:val="{73983D4E-BD03-42AF-B2B0-A10E88110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szCs w:val="20"/>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B818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15/memshala-1399.pdf"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nevo.co.il/law_word/law14/law-2907.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15/memshala-1399.pdf" TargetMode="External"/><Relationship Id="rId2" Type="http://schemas.openxmlformats.org/officeDocument/2006/relationships/hyperlink" Target="http://www.nevo.co.il/Law_word/law16/KNESSET-51.pdf" TargetMode="External"/><Relationship Id="rId1" Type="http://schemas.openxmlformats.org/officeDocument/2006/relationships/hyperlink" Target="http://www.nevo.co.il/Law_word/law14/law-196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8840</CharactersWithSpaces>
  <SharedDoc>false</SharedDoc>
  <HLinks>
    <vt:vector size="162" baseType="variant">
      <vt:variant>
        <vt:i4>393283</vt:i4>
      </vt:variant>
      <vt:variant>
        <vt:i4>120</vt:i4>
      </vt:variant>
      <vt:variant>
        <vt:i4>0</vt:i4>
      </vt:variant>
      <vt:variant>
        <vt:i4>5</vt:i4>
      </vt:variant>
      <vt:variant>
        <vt:lpwstr>http://www.nevo.co.il/advertisements/nevo-100.doc</vt:lpwstr>
      </vt:variant>
      <vt:variant>
        <vt:lpwstr/>
      </vt:variant>
      <vt:variant>
        <vt:i4>393283</vt:i4>
      </vt:variant>
      <vt:variant>
        <vt:i4>117</vt:i4>
      </vt:variant>
      <vt:variant>
        <vt:i4>0</vt:i4>
      </vt:variant>
      <vt:variant>
        <vt:i4>5</vt:i4>
      </vt:variant>
      <vt:variant>
        <vt:lpwstr>http://www.nevo.co.il/advertisements/nevo-100.doc</vt:lpwstr>
      </vt:variant>
      <vt:variant>
        <vt:lpwstr/>
      </vt:variant>
      <vt:variant>
        <vt:i4>393283</vt:i4>
      </vt:variant>
      <vt:variant>
        <vt:i4>114</vt:i4>
      </vt:variant>
      <vt:variant>
        <vt:i4>0</vt:i4>
      </vt:variant>
      <vt:variant>
        <vt:i4>5</vt:i4>
      </vt:variant>
      <vt:variant>
        <vt:lpwstr>http://www.nevo.co.il/advertisements/nevo-100.doc</vt:lpwstr>
      </vt:variant>
      <vt:variant>
        <vt:lpwstr/>
      </vt:variant>
      <vt:variant>
        <vt:i4>7929879</vt:i4>
      </vt:variant>
      <vt:variant>
        <vt:i4>111</vt:i4>
      </vt:variant>
      <vt:variant>
        <vt:i4>0</vt:i4>
      </vt:variant>
      <vt:variant>
        <vt:i4>5</vt:i4>
      </vt:variant>
      <vt:variant>
        <vt:lpwstr>https://www.nevo.co.il/Law_word/law15/memshala-1399.pdf</vt:lpwstr>
      </vt:variant>
      <vt:variant>
        <vt:lpwstr/>
      </vt:variant>
      <vt:variant>
        <vt:i4>7929878</vt:i4>
      </vt:variant>
      <vt:variant>
        <vt:i4>108</vt:i4>
      </vt:variant>
      <vt:variant>
        <vt:i4>0</vt:i4>
      </vt:variant>
      <vt:variant>
        <vt:i4>5</vt:i4>
      </vt:variant>
      <vt:variant>
        <vt:lpwstr>https://www.nevo.co.il/law_word/law14/law-2907.pdf</vt:lpwstr>
      </vt:variant>
      <vt:variant>
        <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3866667</vt:i4>
      </vt:variant>
      <vt:variant>
        <vt:i4>78</vt:i4>
      </vt:variant>
      <vt:variant>
        <vt:i4>0</vt:i4>
      </vt:variant>
      <vt:variant>
        <vt:i4>5</vt:i4>
      </vt:variant>
      <vt:variant>
        <vt:lpwstr/>
      </vt:variant>
      <vt:variant>
        <vt:lpwstr>Seif18</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Seif4</vt:lpwstr>
      </vt:variant>
      <vt:variant>
        <vt:i4>196634</vt:i4>
      </vt:variant>
      <vt:variant>
        <vt:i4>6</vt:i4>
      </vt:variant>
      <vt:variant>
        <vt:i4>0</vt:i4>
      </vt:variant>
      <vt:variant>
        <vt:i4>5</vt:i4>
      </vt:variant>
      <vt:variant>
        <vt:lpwstr/>
      </vt:variant>
      <vt:variant>
        <vt:lpwstr>Seif3</vt:lpwstr>
      </vt:variant>
      <vt:variant>
        <vt:i4>196634</vt:i4>
      </vt:variant>
      <vt:variant>
        <vt:i4>0</vt:i4>
      </vt:variant>
      <vt:variant>
        <vt:i4>0</vt:i4>
      </vt:variant>
      <vt:variant>
        <vt:i4>5</vt:i4>
      </vt:variant>
      <vt:variant>
        <vt:lpwstr/>
      </vt:variant>
      <vt:variant>
        <vt:lpwstr>Seif1</vt:lpwstr>
      </vt:variant>
      <vt:variant>
        <vt:i4>7929879</vt:i4>
      </vt:variant>
      <vt:variant>
        <vt:i4>9</vt:i4>
      </vt:variant>
      <vt:variant>
        <vt:i4>0</vt:i4>
      </vt:variant>
      <vt:variant>
        <vt:i4>5</vt:i4>
      </vt:variant>
      <vt:variant>
        <vt:lpwstr>https://www.nevo.co.il/Law_word/law15/memshala-1399.pdf</vt:lpwstr>
      </vt:variant>
      <vt:variant>
        <vt:lpwstr/>
      </vt:variant>
      <vt:variant>
        <vt:i4>7929878</vt:i4>
      </vt:variant>
      <vt:variant>
        <vt:i4>6</vt:i4>
      </vt:variant>
      <vt:variant>
        <vt:i4>0</vt:i4>
      </vt:variant>
      <vt:variant>
        <vt:i4>5</vt:i4>
      </vt:variant>
      <vt:variant>
        <vt:lpwstr>https://www.nevo.co.il/Law_word/law14/law-2907.pdf</vt:lpwstr>
      </vt:variant>
      <vt:variant>
        <vt:lpwstr/>
      </vt:variant>
      <vt:variant>
        <vt:i4>5898273</vt:i4>
      </vt:variant>
      <vt:variant>
        <vt:i4>3</vt:i4>
      </vt:variant>
      <vt:variant>
        <vt:i4>0</vt:i4>
      </vt:variant>
      <vt:variant>
        <vt:i4>5</vt:i4>
      </vt:variant>
      <vt:variant>
        <vt:lpwstr>http://www.nevo.co.il/Law_word/law16/KNESSET-51.pdf</vt:lpwstr>
      </vt:variant>
      <vt:variant>
        <vt:lpwstr/>
      </vt:variant>
      <vt:variant>
        <vt:i4>7864325</vt:i4>
      </vt:variant>
      <vt:variant>
        <vt:i4>0</vt:i4>
      </vt:variant>
      <vt:variant>
        <vt:i4>0</vt:i4>
      </vt:variant>
      <vt:variant>
        <vt:i4>5</vt:i4>
      </vt:variant>
      <vt:variant>
        <vt:lpwstr>http://www.nevo.co.il/Law_word/law14/law-1965.pdf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2023-06-05T18:57:00Z</dcterms:created>
  <dcterms:modified xsi:type="dcterms:W3CDTF">2023-06-05T18:57:00Z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חוק אנשי צבא דרום לבנון ומשפחותיהם, תשס"ה-2004</vt:lpwstr>
  </property>
  <property fmtid="{D5CDD505-2E9C-101B-9397-08002B2CF9AE}" pid="4" name="LAWNUMBER">
    <vt:lpwstr>0368</vt:lpwstr>
  </property>
  <property fmtid="{D5CDD505-2E9C-101B-9397-08002B2CF9AE}" pid="5" name="TYPE">
    <vt:lpwstr>01</vt:lpwstr>
  </property>
  <property fmtid="{D5CDD505-2E9C-101B-9397-08002B2CF9AE}" pid="6" name="CHNAME">
    <vt:lpwstr>אזרחות</vt:lpwstr>
  </property>
  <property fmtid="{D5CDD505-2E9C-101B-9397-08002B2CF9AE}" pid="7" name="LINKK1">
    <vt:lpwstr>http://www.nevo.co.il/Law_word/law14/law-1965.pdf;רשומות – ספר החוקים#פורסם ס"ח תשס"ה מס' 1965#מיום 15.12.2004#עמ' 36</vt:lpwstr>
  </property>
  <property fmtid="{D5CDD505-2E9C-101B-9397-08002B2CF9AE}" pid="8" name="LINKK2">
    <vt:lpwstr>https://www.nevo.co.il/Law_word/law14/law-2907.pdf;‎רשומות - ספר חוקים#תוקן ס"ח תשפ"א ‏מס' 2907 #מיום 18.3.2021 עמ' 338  – תיקון מס' 1‏</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NOSE11">
    <vt:lpwstr>דיני חוקה </vt:lpwstr>
  </property>
  <property fmtid="{D5CDD505-2E9C-101B-9397-08002B2CF9AE}" pid="18" name="NOSE21">
    <vt:lpwstr>אזרחות ושבות</vt:lpwstr>
  </property>
  <property fmtid="{D5CDD505-2E9C-101B-9397-08002B2CF9AE}" pid="19" name="NOSE31">
    <vt:lpwstr>אנשי צבא דרום לבנון ומשפחותיהם</vt:lpwstr>
  </property>
  <property fmtid="{D5CDD505-2E9C-101B-9397-08002B2CF9AE}" pid="20" name="NOSE41">
    <vt:lpwstr/>
  </property>
  <property fmtid="{D5CDD505-2E9C-101B-9397-08002B2CF9AE}" pid="21" name="NOSE12">
    <vt:lpwstr>בטחון</vt:lpwstr>
  </property>
  <property fmtid="{D5CDD505-2E9C-101B-9397-08002B2CF9AE}" pid="22" name="NOSE22">
    <vt:lpwstr>צד"ל</vt:lpwstr>
  </property>
  <property fmtid="{D5CDD505-2E9C-101B-9397-08002B2CF9AE}" pid="23" name="NOSE32">
    <vt:lpwstr>אזרחות וזכויות</vt:lpwstr>
  </property>
  <property fmtid="{D5CDD505-2E9C-101B-9397-08002B2CF9AE}" pid="24" name="NOSE42">
    <vt:lpwstr/>
  </property>
  <property fmtid="{D5CDD505-2E9C-101B-9397-08002B2CF9AE}" pid="25" name="NOSE13">
    <vt:lpwstr/>
  </property>
  <property fmtid="{D5CDD505-2E9C-101B-9397-08002B2CF9AE}" pid="26" name="NOSE23">
    <vt:lpwstr/>
  </property>
  <property fmtid="{D5CDD505-2E9C-101B-9397-08002B2CF9AE}" pid="27" name="NOSE33">
    <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MEKORSAMCHUT">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