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7F78" w14:textId="77777777" w:rsidR="007A1F57" w:rsidRDefault="007A1F57" w:rsidP="00F87358">
      <w:pPr>
        <w:pStyle w:val="big-header"/>
        <w:ind w:left="0" w:right="1134"/>
        <w:rPr>
          <w:rFonts w:cs="FrankRuehl"/>
          <w:sz w:val="32"/>
        </w:rPr>
      </w:pPr>
      <w:r>
        <w:rPr>
          <w:rFonts w:cs="FrankRuehl"/>
          <w:sz w:val="32"/>
          <w:rtl/>
        </w:rPr>
        <w:t>חוק בדבר חידוש מסמכים של איגוד, תש"י</w:t>
      </w:r>
      <w:r w:rsidR="00F87358">
        <w:rPr>
          <w:rFonts w:cs="FrankRuehl" w:hint="cs"/>
          <w:sz w:val="32"/>
          <w:rtl/>
        </w:rPr>
        <w:t>-</w:t>
      </w:r>
      <w:r>
        <w:rPr>
          <w:rFonts w:cs="FrankRuehl"/>
          <w:sz w:val="32"/>
          <w:rtl/>
        </w:rPr>
        <w:t>1950</w:t>
      </w:r>
    </w:p>
    <w:p w14:paraId="15EFF0CB" w14:textId="77777777" w:rsidR="00267450" w:rsidRPr="00267450" w:rsidRDefault="00267450" w:rsidP="00267450">
      <w:pPr>
        <w:spacing w:line="320" w:lineRule="auto"/>
        <w:jc w:val="left"/>
        <w:rPr>
          <w:rFonts w:cs="FrankRuehl"/>
          <w:szCs w:val="26"/>
          <w:rtl/>
        </w:rPr>
      </w:pPr>
    </w:p>
    <w:p w14:paraId="30F55930" w14:textId="77777777" w:rsidR="00267450" w:rsidRDefault="00267450" w:rsidP="00267450">
      <w:pPr>
        <w:spacing w:line="320" w:lineRule="auto"/>
        <w:jc w:val="left"/>
        <w:rPr>
          <w:rtl/>
        </w:rPr>
      </w:pPr>
    </w:p>
    <w:p w14:paraId="4F6B5E2E" w14:textId="77777777" w:rsidR="006073B2" w:rsidRPr="00267450" w:rsidRDefault="00267450" w:rsidP="00267450">
      <w:pPr>
        <w:spacing w:line="320" w:lineRule="auto"/>
        <w:jc w:val="left"/>
        <w:rPr>
          <w:rFonts w:cs="Miriam"/>
          <w:szCs w:val="22"/>
          <w:rtl/>
        </w:rPr>
      </w:pPr>
      <w:r w:rsidRPr="00267450">
        <w:rPr>
          <w:rFonts w:cs="Miriam"/>
          <w:szCs w:val="22"/>
          <w:rtl/>
        </w:rPr>
        <w:t>משפט פרטי וכלכלה</w:t>
      </w:r>
      <w:r w:rsidRPr="00267450">
        <w:rPr>
          <w:rFonts w:cs="FrankRuehl"/>
          <w:szCs w:val="26"/>
          <w:rtl/>
        </w:rPr>
        <w:t xml:space="preserve"> – תאגידים וניירות ערך – איגוד – חידוש מסמכים</w:t>
      </w:r>
    </w:p>
    <w:p w14:paraId="6508D916" w14:textId="77777777" w:rsidR="007A1F57" w:rsidRDefault="007A1F5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A1F57" w14:paraId="4E271ADB" w14:textId="77777777">
        <w:tblPrEx>
          <w:tblCellMar>
            <w:top w:w="0" w:type="dxa"/>
            <w:bottom w:w="0" w:type="dxa"/>
          </w:tblCellMar>
        </w:tblPrEx>
        <w:tc>
          <w:tcPr>
            <w:tcW w:w="850" w:type="dxa"/>
          </w:tcPr>
          <w:p w14:paraId="1F7CFAAF" w14:textId="77777777" w:rsidR="007A1F57" w:rsidRDefault="007A1F5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87358">
              <w:rPr>
                <w:noProof/>
                <w:sz w:val="24"/>
                <w:rtl/>
              </w:rPr>
              <w:t>2</w:t>
            </w:r>
            <w:r>
              <w:rPr>
                <w:sz w:val="24"/>
                <w:rtl/>
              </w:rPr>
              <w:fldChar w:fldCharType="end"/>
            </w:r>
          </w:p>
        </w:tc>
        <w:tc>
          <w:tcPr>
            <w:tcW w:w="567" w:type="dxa"/>
          </w:tcPr>
          <w:p w14:paraId="18A9CF50" w14:textId="77777777" w:rsidR="007A1F57" w:rsidRDefault="007A1F57">
            <w:pPr>
              <w:spacing w:line="240" w:lineRule="auto"/>
              <w:rPr>
                <w:sz w:val="24"/>
              </w:rPr>
            </w:pPr>
            <w:hyperlink w:anchor="Seif0" w:tooltip="פירושים" w:history="1">
              <w:r>
                <w:rPr>
                  <w:rStyle w:val="Hyperlink"/>
                </w:rPr>
                <w:t>Go</w:t>
              </w:r>
            </w:hyperlink>
          </w:p>
        </w:tc>
        <w:tc>
          <w:tcPr>
            <w:tcW w:w="5669" w:type="dxa"/>
          </w:tcPr>
          <w:p w14:paraId="4582EB55" w14:textId="77777777" w:rsidR="007A1F57" w:rsidRDefault="007A1F57">
            <w:pPr>
              <w:spacing w:line="240" w:lineRule="auto"/>
              <w:rPr>
                <w:sz w:val="24"/>
                <w:rtl/>
              </w:rPr>
            </w:pPr>
            <w:r>
              <w:rPr>
                <w:sz w:val="24"/>
                <w:rtl/>
              </w:rPr>
              <w:t>פירושים</w:t>
            </w:r>
          </w:p>
        </w:tc>
        <w:tc>
          <w:tcPr>
            <w:tcW w:w="1247" w:type="dxa"/>
          </w:tcPr>
          <w:p w14:paraId="4A8AE95B" w14:textId="77777777" w:rsidR="007A1F57" w:rsidRDefault="007A1F57">
            <w:pPr>
              <w:spacing w:line="240" w:lineRule="auto"/>
              <w:rPr>
                <w:sz w:val="24"/>
              </w:rPr>
            </w:pPr>
            <w:r>
              <w:rPr>
                <w:sz w:val="24"/>
                <w:rtl/>
              </w:rPr>
              <w:t xml:space="preserve">סעיף 1 </w:t>
            </w:r>
          </w:p>
        </w:tc>
      </w:tr>
      <w:tr w:rsidR="007A1F57" w14:paraId="4F42ADCE" w14:textId="77777777">
        <w:tblPrEx>
          <w:tblCellMar>
            <w:top w:w="0" w:type="dxa"/>
            <w:bottom w:w="0" w:type="dxa"/>
          </w:tblCellMar>
        </w:tblPrEx>
        <w:tc>
          <w:tcPr>
            <w:tcW w:w="850" w:type="dxa"/>
          </w:tcPr>
          <w:p w14:paraId="4D3E1262" w14:textId="77777777" w:rsidR="007A1F57" w:rsidRDefault="007A1F5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87358">
              <w:rPr>
                <w:noProof/>
                <w:sz w:val="24"/>
                <w:rtl/>
              </w:rPr>
              <w:t>2</w:t>
            </w:r>
            <w:r>
              <w:rPr>
                <w:sz w:val="24"/>
                <w:rtl/>
              </w:rPr>
              <w:fldChar w:fldCharType="end"/>
            </w:r>
          </w:p>
        </w:tc>
        <w:tc>
          <w:tcPr>
            <w:tcW w:w="567" w:type="dxa"/>
          </w:tcPr>
          <w:p w14:paraId="615416BC" w14:textId="77777777" w:rsidR="007A1F57" w:rsidRDefault="007A1F57">
            <w:pPr>
              <w:spacing w:line="240" w:lineRule="auto"/>
              <w:rPr>
                <w:sz w:val="24"/>
              </w:rPr>
            </w:pPr>
            <w:hyperlink w:anchor="Seif1" w:tooltip="סמכות הרושם" w:history="1">
              <w:r>
                <w:rPr>
                  <w:rStyle w:val="Hyperlink"/>
                </w:rPr>
                <w:t>Go</w:t>
              </w:r>
            </w:hyperlink>
          </w:p>
        </w:tc>
        <w:tc>
          <w:tcPr>
            <w:tcW w:w="5669" w:type="dxa"/>
          </w:tcPr>
          <w:p w14:paraId="71F92208" w14:textId="77777777" w:rsidR="007A1F57" w:rsidRDefault="007A1F57">
            <w:pPr>
              <w:spacing w:line="240" w:lineRule="auto"/>
              <w:rPr>
                <w:sz w:val="24"/>
                <w:rtl/>
              </w:rPr>
            </w:pPr>
            <w:r>
              <w:rPr>
                <w:sz w:val="24"/>
                <w:rtl/>
              </w:rPr>
              <w:t>סמכות הרושם</w:t>
            </w:r>
          </w:p>
        </w:tc>
        <w:tc>
          <w:tcPr>
            <w:tcW w:w="1247" w:type="dxa"/>
          </w:tcPr>
          <w:p w14:paraId="7D9B70C8" w14:textId="77777777" w:rsidR="007A1F57" w:rsidRDefault="007A1F57">
            <w:pPr>
              <w:spacing w:line="240" w:lineRule="auto"/>
              <w:rPr>
                <w:sz w:val="24"/>
              </w:rPr>
            </w:pPr>
            <w:r>
              <w:rPr>
                <w:sz w:val="24"/>
                <w:rtl/>
              </w:rPr>
              <w:t xml:space="preserve">סעיף 2 </w:t>
            </w:r>
          </w:p>
        </w:tc>
      </w:tr>
      <w:tr w:rsidR="007A1F57" w14:paraId="049CCFBF" w14:textId="77777777">
        <w:tblPrEx>
          <w:tblCellMar>
            <w:top w:w="0" w:type="dxa"/>
            <w:bottom w:w="0" w:type="dxa"/>
          </w:tblCellMar>
        </w:tblPrEx>
        <w:tc>
          <w:tcPr>
            <w:tcW w:w="850" w:type="dxa"/>
          </w:tcPr>
          <w:p w14:paraId="4C128922" w14:textId="77777777" w:rsidR="007A1F57" w:rsidRDefault="007A1F5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87358">
              <w:rPr>
                <w:noProof/>
                <w:sz w:val="24"/>
                <w:rtl/>
              </w:rPr>
              <w:t>2</w:t>
            </w:r>
            <w:r>
              <w:rPr>
                <w:sz w:val="24"/>
                <w:rtl/>
              </w:rPr>
              <w:fldChar w:fldCharType="end"/>
            </w:r>
          </w:p>
        </w:tc>
        <w:tc>
          <w:tcPr>
            <w:tcW w:w="567" w:type="dxa"/>
          </w:tcPr>
          <w:p w14:paraId="7E23BA42" w14:textId="77777777" w:rsidR="007A1F57" w:rsidRDefault="007A1F57">
            <w:pPr>
              <w:spacing w:line="240" w:lineRule="auto"/>
              <w:rPr>
                <w:sz w:val="24"/>
              </w:rPr>
            </w:pPr>
            <w:hyperlink w:anchor="Seif2" w:tooltip="דיני ראיות" w:history="1">
              <w:r>
                <w:rPr>
                  <w:rStyle w:val="Hyperlink"/>
                </w:rPr>
                <w:t>Go</w:t>
              </w:r>
            </w:hyperlink>
          </w:p>
        </w:tc>
        <w:tc>
          <w:tcPr>
            <w:tcW w:w="5669" w:type="dxa"/>
          </w:tcPr>
          <w:p w14:paraId="3BAD7F2C" w14:textId="77777777" w:rsidR="007A1F57" w:rsidRDefault="007A1F57">
            <w:pPr>
              <w:spacing w:line="240" w:lineRule="auto"/>
              <w:rPr>
                <w:sz w:val="24"/>
                <w:rtl/>
              </w:rPr>
            </w:pPr>
            <w:r>
              <w:rPr>
                <w:sz w:val="24"/>
                <w:rtl/>
              </w:rPr>
              <w:t>דיני ראיות</w:t>
            </w:r>
          </w:p>
        </w:tc>
        <w:tc>
          <w:tcPr>
            <w:tcW w:w="1247" w:type="dxa"/>
          </w:tcPr>
          <w:p w14:paraId="09F484F1" w14:textId="77777777" w:rsidR="007A1F57" w:rsidRDefault="007A1F57">
            <w:pPr>
              <w:spacing w:line="240" w:lineRule="auto"/>
              <w:rPr>
                <w:sz w:val="24"/>
              </w:rPr>
            </w:pPr>
            <w:r>
              <w:rPr>
                <w:sz w:val="24"/>
                <w:rtl/>
              </w:rPr>
              <w:t xml:space="preserve">סעיף 3 </w:t>
            </w:r>
          </w:p>
        </w:tc>
      </w:tr>
      <w:tr w:rsidR="007A1F57" w14:paraId="6613C00D" w14:textId="77777777">
        <w:tblPrEx>
          <w:tblCellMar>
            <w:top w:w="0" w:type="dxa"/>
            <w:bottom w:w="0" w:type="dxa"/>
          </w:tblCellMar>
        </w:tblPrEx>
        <w:tc>
          <w:tcPr>
            <w:tcW w:w="850" w:type="dxa"/>
          </w:tcPr>
          <w:p w14:paraId="0EDA7CB9" w14:textId="77777777" w:rsidR="007A1F57" w:rsidRDefault="007A1F5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87358">
              <w:rPr>
                <w:noProof/>
                <w:sz w:val="24"/>
                <w:rtl/>
              </w:rPr>
              <w:t>2</w:t>
            </w:r>
            <w:r>
              <w:rPr>
                <w:sz w:val="24"/>
                <w:rtl/>
              </w:rPr>
              <w:fldChar w:fldCharType="end"/>
            </w:r>
          </w:p>
        </w:tc>
        <w:tc>
          <w:tcPr>
            <w:tcW w:w="567" w:type="dxa"/>
          </w:tcPr>
          <w:p w14:paraId="6EEF90BB" w14:textId="77777777" w:rsidR="007A1F57" w:rsidRDefault="007A1F57">
            <w:pPr>
              <w:spacing w:line="240" w:lineRule="auto"/>
              <w:rPr>
                <w:sz w:val="24"/>
              </w:rPr>
            </w:pPr>
            <w:hyperlink w:anchor="Seif3" w:tooltip="אישור מסמך" w:history="1">
              <w:r>
                <w:rPr>
                  <w:rStyle w:val="Hyperlink"/>
                </w:rPr>
                <w:t>Go</w:t>
              </w:r>
            </w:hyperlink>
          </w:p>
        </w:tc>
        <w:tc>
          <w:tcPr>
            <w:tcW w:w="5669" w:type="dxa"/>
          </w:tcPr>
          <w:p w14:paraId="779059BB" w14:textId="77777777" w:rsidR="007A1F57" w:rsidRDefault="007A1F57">
            <w:pPr>
              <w:spacing w:line="240" w:lineRule="auto"/>
              <w:rPr>
                <w:sz w:val="24"/>
                <w:rtl/>
              </w:rPr>
            </w:pPr>
            <w:r>
              <w:rPr>
                <w:sz w:val="24"/>
                <w:rtl/>
              </w:rPr>
              <w:t>אישור מסמך</w:t>
            </w:r>
          </w:p>
        </w:tc>
        <w:tc>
          <w:tcPr>
            <w:tcW w:w="1247" w:type="dxa"/>
          </w:tcPr>
          <w:p w14:paraId="77CF4840" w14:textId="77777777" w:rsidR="007A1F57" w:rsidRDefault="007A1F57">
            <w:pPr>
              <w:spacing w:line="240" w:lineRule="auto"/>
              <w:rPr>
                <w:sz w:val="24"/>
              </w:rPr>
            </w:pPr>
            <w:r>
              <w:rPr>
                <w:sz w:val="24"/>
                <w:rtl/>
              </w:rPr>
              <w:t xml:space="preserve">סעיף 4 </w:t>
            </w:r>
          </w:p>
        </w:tc>
      </w:tr>
      <w:tr w:rsidR="007A1F57" w14:paraId="3CE85204" w14:textId="77777777">
        <w:tblPrEx>
          <w:tblCellMar>
            <w:top w:w="0" w:type="dxa"/>
            <w:bottom w:w="0" w:type="dxa"/>
          </w:tblCellMar>
        </w:tblPrEx>
        <w:tc>
          <w:tcPr>
            <w:tcW w:w="850" w:type="dxa"/>
          </w:tcPr>
          <w:p w14:paraId="1EBB95DB" w14:textId="77777777" w:rsidR="007A1F57" w:rsidRDefault="007A1F5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87358">
              <w:rPr>
                <w:noProof/>
                <w:sz w:val="24"/>
                <w:rtl/>
              </w:rPr>
              <w:t>3</w:t>
            </w:r>
            <w:r>
              <w:rPr>
                <w:sz w:val="24"/>
                <w:rtl/>
              </w:rPr>
              <w:fldChar w:fldCharType="end"/>
            </w:r>
          </w:p>
        </w:tc>
        <w:tc>
          <w:tcPr>
            <w:tcW w:w="567" w:type="dxa"/>
          </w:tcPr>
          <w:p w14:paraId="1D70B1F3" w14:textId="77777777" w:rsidR="007A1F57" w:rsidRDefault="007A1F57">
            <w:pPr>
              <w:spacing w:line="240" w:lineRule="auto"/>
              <w:rPr>
                <w:sz w:val="24"/>
              </w:rPr>
            </w:pPr>
            <w:hyperlink w:anchor="Seif4" w:tooltip="מסמך נפסד" w:history="1">
              <w:r>
                <w:rPr>
                  <w:rStyle w:val="Hyperlink"/>
                </w:rPr>
                <w:t>Go</w:t>
              </w:r>
            </w:hyperlink>
          </w:p>
        </w:tc>
        <w:tc>
          <w:tcPr>
            <w:tcW w:w="5669" w:type="dxa"/>
          </w:tcPr>
          <w:p w14:paraId="07678462" w14:textId="77777777" w:rsidR="007A1F57" w:rsidRDefault="007A1F57">
            <w:pPr>
              <w:spacing w:line="240" w:lineRule="auto"/>
              <w:rPr>
                <w:sz w:val="24"/>
                <w:rtl/>
              </w:rPr>
            </w:pPr>
            <w:r>
              <w:rPr>
                <w:sz w:val="24"/>
                <w:rtl/>
              </w:rPr>
              <w:t>מסמך נפסד</w:t>
            </w:r>
          </w:p>
        </w:tc>
        <w:tc>
          <w:tcPr>
            <w:tcW w:w="1247" w:type="dxa"/>
          </w:tcPr>
          <w:p w14:paraId="294E538F" w14:textId="77777777" w:rsidR="007A1F57" w:rsidRDefault="007A1F57">
            <w:pPr>
              <w:spacing w:line="240" w:lineRule="auto"/>
              <w:rPr>
                <w:sz w:val="24"/>
              </w:rPr>
            </w:pPr>
            <w:r>
              <w:rPr>
                <w:sz w:val="24"/>
                <w:rtl/>
              </w:rPr>
              <w:t xml:space="preserve">סעיף 5 </w:t>
            </w:r>
          </w:p>
        </w:tc>
      </w:tr>
      <w:tr w:rsidR="007A1F57" w14:paraId="6FCE8203" w14:textId="77777777">
        <w:tblPrEx>
          <w:tblCellMar>
            <w:top w:w="0" w:type="dxa"/>
            <w:bottom w:w="0" w:type="dxa"/>
          </w:tblCellMar>
        </w:tblPrEx>
        <w:tc>
          <w:tcPr>
            <w:tcW w:w="850" w:type="dxa"/>
          </w:tcPr>
          <w:p w14:paraId="379F3EB7" w14:textId="77777777" w:rsidR="007A1F57" w:rsidRDefault="007A1F5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87358">
              <w:rPr>
                <w:noProof/>
                <w:sz w:val="24"/>
                <w:rtl/>
              </w:rPr>
              <w:t>3</w:t>
            </w:r>
            <w:r>
              <w:rPr>
                <w:sz w:val="24"/>
                <w:rtl/>
              </w:rPr>
              <w:fldChar w:fldCharType="end"/>
            </w:r>
          </w:p>
        </w:tc>
        <w:tc>
          <w:tcPr>
            <w:tcW w:w="567" w:type="dxa"/>
          </w:tcPr>
          <w:p w14:paraId="7335D575" w14:textId="77777777" w:rsidR="007A1F57" w:rsidRDefault="007A1F57">
            <w:pPr>
              <w:spacing w:line="240" w:lineRule="auto"/>
              <w:rPr>
                <w:sz w:val="24"/>
              </w:rPr>
            </w:pPr>
            <w:hyperlink w:anchor="Seif5" w:tooltip="ביצוע ותקנות" w:history="1">
              <w:r>
                <w:rPr>
                  <w:rStyle w:val="Hyperlink"/>
                </w:rPr>
                <w:t>Go</w:t>
              </w:r>
            </w:hyperlink>
          </w:p>
        </w:tc>
        <w:tc>
          <w:tcPr>
            <w:tcW w:w="5669" w:type="dxa"/>
          </w:tcPr>
          <w:p w14:paraId="734AE7AE" w14:textId="77777777" w:rsidR="007A1F57" w:rsidRDefault="007A1F57">
            <w:pPr>
              <w:spacing w:line="240" w:lineRule="auto"/>
              <w:rPr>
                <w:sz w:val="24"/>
                <w:rtl/>
              </w:rPr>
            </w:pPr>
            <w:r>
              <w:rPr>
                <w:sz w:val="24"/>
                <w:rtl/>
              </w:rPr>
              <w:t>ביצוע ותקנות</w:t>
            </w:r>
          </w:p>
        </w:tc>
        <w:tc>
          <w:tcPr>
            <w:tcW w:w="1247" w:type="dxa"/>
          </w:tcPr>
          <w:p w14:paraId="1BA6F9EC" w14:textId="77777777" w:rsidR="007A1F57" w:rsidRDefault="007A1F57">
            <w:pPr>
              <w:spacing w:line="240" w:lineRule="auto"/>
              <w:rPr>
                <w:sz w:val="24"/>
              </w:rPr>
            </w:pPr>
            <w:r>
              <w:rPr>
                <w:sz w:val="24"/>
                <w:rtl/>
              </w:rPr>
              <w:t xml:space="preserve">סעיף 6 </w:t>
            </w:r>
          </w:p>
        </w:tc>
      </w:tr>
    </w:tbl>
    <w:p w14:paraId="605E9E88" w14:textId="77777777" w:rsidR="007A1F57" w:rsidRDefault="007A1F57">
      <w:pPr>
        <w:pStyle w:val="big-header"/>
        <w:ind w:left="0" w:right="1134"/>
        <w:rPr>
          <w:rFonts w:cs="FrankRuehl"/>
          <w:sz w:val="32"/>
          <w:rtl/>
        </w:rPr>
      </w:pPr>
    </w:p>
    <w:p w14:paraId="28F4A18C" w14:textId="77777777" w:rsidR="007A1F57" w:rsidRDefault="007A1F57" w:rsidP="006073B2">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בדבר חידוש מסמכים של איגוד, תש"י</w:t>
      </w:r>
      <w:r w:rsidR="00F87358">
        <w:rPr>
          <w:rFonts w:cs="FrankRuehl" w:hint="cs"/>
          <w:sz w:val="32"/>
          <w:rtl/>
        </w:rPr>
        <w:t>-</w:t>
      </w:r>
      <w:r>
        <w:rPr>
          <w:rFonts w:cs="FrankRuehl"/>
          <w:sz w:val="32"/>
          <w:rtl/>
        </w:rPr>
        <w:t>1950</w:t>
      </w:r>
      <w:r w:rsidR="00F87358">
        <w:rPr>
          <w:rStyle w:val="a6"/>
          <w:rFonts w:cs="FrankRuehl"/>
          <w:sz w:val="32"/>
          <w:rtl/>
        </w:rPr>
        <w:footnoteReference w:customMarkFollows="1" w:id="1"/>
        <w:t>*</w:t>
      </w:r>
    </w:p>
    <w:p w14:paraId="4BE63F0A" w14:textId="77777777" w:rsidR="007A1F57" w:rsidRDefault="007A1F57">
      <w:pPr>
        <w:pStyle w:val="P00"/>
        <w:spacing w:before="72"/>
        <w:ind w:left="0" w:right="1134"/>
        <w:rPr>
          <w:rStyle w:val="default"/>
          <w:rFonts w:cs="FrankRuehl" w:hint="cs"/>
          <w:rtl/>
        </w:rPr>
      </w:pPr>
      <w:bookmarkStart w:id="0" w:name="Seif0"/>
      <w:bookmarkEnd w:id="0"/>
      <w:r>
        <w:rPr>
          <w:lang w:val="he-IL"/>
        </w:rPr>
        <w:pict w14:anchorId="71679B41">
          <v:rect id="_x0000_s1026" style="position:absolute;left:0;text-align:left;margin-left:464.5pt;margin-top:8.05pt;width:75.05pt;height:12.8pt;z-index:251655168" o:allowincell="f" filled="f" stroked="f" strokecolor="lime" strokeweight=".25pt">
            <v:textbox inset="0,0,0,0">
              <w:txbxContent>
                <w:p w14:paraId="6C79C780" w14:textId="77777777" w:rsidR="007A1F57" w:rsidRDefault="007A1F57">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F87358">
        <w:rPr>
          <w:rStyle w:val="default"/>
          <w:rFonts w:cs="FrankRuehl"/>
          <w:rtl/>
        </w:rPr>
        <w:t>–</w:t>
      </w:r>
    </w:p>
    <w:p w14:paraId="5B0D51E6" w14:textId="77777777" w:rsidR="007A1F57" w:rsidRDefault="007A1F57">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ושם" פירושו </w:t>
      </w:r>
      <w:r w:rsidR="00F87358">
        <w:rPr>
          <w:rStyle w:val="default"/>
          <w:rFonts w:cs="FrankRuehl"/>
          <w:rtl/>
        </w:rPr>
        <w:t>–</w:t>
      </w:r>
    </w:p>
    <w:p w14:paraId="290BDAA5" w14:textId="77777777" w:rsidR="007A1F57" w:rsidRDefault="007A1F57" w:rsidP="00F87358">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חברה </w:t>
      </w:r>
      <w:r w:rsidR="00F87358">
        <w:rPr>
          <w:rStyle w:val="default"/>
          <w:rFonts w:cs="FrankRuehl" w:hint="cs"/>
          <w:rtl/>
        </w:rPr>
        <w:t>-</w:t>
      </w:r>
      <w:r>
        <w:rPr>
          <w:rStyle w:val="default"/>
          <w:rFonts w:cs="FrankRuehl"/>
          <w:rtl/>
        </w:rPr>
        <w:t xml:space="preserve"> </w:t>
      </w:r>
      <w:r>
        <w:rPr>
          <w:rStyle w:val="default"/>
          <w:rFonts w:cs="FrankRuehl" w:hint="cs"/>
          <w:rtl/>
        </w:rPr>
        <w:t>רושם החברות כמשמעותו בסעיף 2 לפקודת החברות;</w:t>
      </w:r>
    </w:p>
    <w:p w14:paraId="46CFA99B" w14:textId="77777777" w:rsidR="007A1F57" w:rsidRDefault="007A1F57" w:rsidP="00F87358">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שותפות </w:t>
      </w:r>
      <w:r w:rsidR="00F87358">
        <w:rPr>
          <w:rStyle w:val="default"/>
          <w:rFonts w:cs="FrankRuehl" w:hint="cs"/>
          <w:rtl/>
        </w:rPr>
        <w:t>-</w:t>
      </w:r>
      <w:r>
        <w:rPr>
          <w:rStyle w:val="default"/>
          <w:rFonts w:cs="FrankRuehl"/>
          <w:rtl/>
        </w:rPr>
        <w:t xml:space="preserve"> </w:t>
      </w:r>
      <w:r>
        <w:rPr>
          <w:rStyle w:val="default"/>
          <w:rFonts w:cs="FrankRuehl" w:hint="cs"/>
          <w:rtl/>
        </w:rPr>
        <w:t>רושם כמשמעותו בסעיף 2 לפקודת השותפויות;</w:t>
      </w:r>
    </w:p>
    <w:p w14:paraId="27AA8BF5" w14:textId="77777777" w:rsidR="007A1F57" w:rsidRDefault="007A1F57" w:rsidP="00F87358">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גבי אגודה שיתופית </w:t>
      </w:r>
      <w:r w:rsidR="00F87358">
        <w:rPr>
          <w:rStyle w:val="default"/>
          <w:rFonts w:cs="FrankRuehl" w:hint="cs"/>
          <w:rtl/>
        </w:rPr>
        <w:t>-</w:t>
      </w:r>
      <w:r>
        <w:rPr>
          <w:rStyle w:val="default"/>
          <w:rFonts w:cs="FrankRuehl"/>
          <w:rtl/>
        </w:rPr>
        <w:t xml:space="preserve"> </w:t>
      </w:r>
      <w:r>
        <w:rPr>
          <w:rStyle w:val="default"/>
          <w:rFonts w:cs="FrankRuehl" w:hint="cs"/>
          <w:rtl/>
        </w:rPr>
        <w:t>רושם כ</w:t>
      </w:r>
      <w:r>
        <w:rPr>
          <w:rStyle w:val="default"/>
          <w:rFonts w:cs="FrankRuehl"/>
          <w:rtl/>
        </w:rPr>
        <w:t>מש</w:t>
      </w:r>
      <w:r>
        <w:rPr>
          <w:rStyle w:val="default"/>
          <w:rFonts w:cs="FrankRuehl" w:hint="cs"/>
          <w:rtl/>
        </w:rPr>
        <w:t>מעותו בסעיף 2 לפקודת האגודות השיתופיות.</w:t>
      </w:r>
    </w:p>
    <w:p w14:paraId="54C7F804" w14:textId="77777777" w:rsidR="007A1F57" w:rsidRDefault="007A1F57">
      <w:pPr>
        <w:pStyle w:val="P11"/>
        <w:spacing w:before="72"/>
        <w:ind w:left="624" w:right="1134"/>
        <w:rPr>
          <w:rStyle w:val="default"/>
          <w:rFonts w:cs="FrankRuehl" w:hint="cs"/>
          <w:rtl/>
        </w:rPr>
      </w:pPr>
      <w:r>
        <w:rPr>
          <w:rStyle w:val="default"/>
          <w:rFonts w:cs="FrankRuehl" w:hint="cs"/>
          <w:rtl/>
        </w:rPr>
        <w:t>"</w:t>
      </w:r>
      <w:r>
        <w:rPr>
          <w:rStyle w:val="default"/>
          <w:rFonts w:cs="FrankRuehl"/>
          <w:rtl/>
        </w:rPr>
        <w:t>א</w:t>
      </w:r>
      <w:r>
        <w:rPr>
          <w:rStyle w:val="default"/>
          <w:rFonts w:cs="FrankRuehl" w:hint="cs"/>
          <w:rtl/>
        </w:rPr>
        <w:t xml:space="preserve">יגוד" פירושו </w:t>
      </w:r>
      <w:r w:rsidR="00F87358">
        <w:rPr>
          <w:rStyle w:val="default"/>
          <w:rFonts w:cs="FrankRuehl"/>
          <w:rtl/>
        </w:rPr>
        <w:t>–</w:t>
      </w:r>
    </w:p>
    <w:p w14:paraId="16828C45" w14:textId="77777777" w:rsidR="007A1F57" w:rsidRDefault="007A1F57">
      <w:pPr>
        <w:pStyle w:val="P11"/>
        <w:spacing w:before="72"/>
        <w:ind w:left="624"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כמשמעותה בסעיף 2 לפקודת החברות;</w:t>
      </w:r>
    </w:p>
    <w:p w14:paraId="294BEC3D" w14:textId="77777777" w:rsidR="007A1F57" w:rsidRDefault="007A1F57">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ותפות כמשמעותה בסעיף 2 לפקודת השותפויות;</w:t>
      </w:r>
    </w:p>
    <w:p w14:paraId="60B2AA56" w14:textId="77777777" w:rsidR="007A1F57" w:rsidRDefault="007A1F57">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גודה שיתופית כמשמעות אגודה רשומה </w:t>
      </w:r>
      <w:r>
        <w:rPr>
          <w:rStyle w:val="default"/>
          <w:rFonts w:cs="FrankRuehl"/>
          <w:rtl/>
        </w:rPr>
        <w:t>ב</w:t>
      </w:r>
      <w:r>
        <w:rPr>
          <w:rStyle w:val="default"/>
          <w:rFonts w:cs="FrankRuehl" w:hint="cs"/>
          <w:rtl/>
        </w:rPr>
        <w:t>סעיף 2 לפקודת האגודות השיתופיות.</w:t>
      </w:r>
    </w:p>
    <w:p w14:paraId="413D9EB4" w14:textId="77777777" w:rsidR="007A1F57" w:rsidRDefault="007A1F57">
      <w:pPr>
        <w:pStyle w:val="P11"/>
        <w:spacing w:before="72"/>
        <w:ind w:left="624" w:right="1134"/>
        <w:rPr>
          <w:rStyle w:val="default"/>
          <w:rFonts w:cs="FrankRuehl"/>
          <w:rtl/>
        </w:rPr>
      </w:pPr>
      <w:r>
        <w:rPr>
          <w:rStyle w:val="default"/>
          <w:rFonts w:cs="FrankRuehl" w:hint="cs"/>
          <w:rtl/>
        </w:rPr>
        <w:t>ה</w:t>
      </w:r>
      <w:r>
        <w:rPr>
          <w:rStyle w:val="default"/>
          <w:rFonts w:cs="FrankRuehl"/>
          <w:rtl/>
        </w:rPr>
        <w:t>כ</w:t>
      </w:r>
      <w:r>
        <w:rPr>
          <w:rStyle w:val="default"/>
          <w:rFonts w:cs="FrankRuehl" w:hint="cs"/>
          <w:rtl/>
        </w:rPr>
        <w:t>ל לפי הענין.</w:t>
      </w:r>
    </w:p>
    <w:p w14:paraId="73FE23B9" w14:textId="77777777" w:rsidR="007A1F57" w:rsidRDefault="007A1F57" w:rsidP="00F8735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סמך" פירושו </w:t>
      </w:r>
      <w:r w:rsidR="00F87358">
        <w:rPr>
          <w:rStyle w:val="default"/>
          <w:rFonts w:cs="FrankRuehl" w:hint="cs"/>
          <w:rtl/>
        </w:rPr>
        <w:t>-</w:t>
      </w:r>
      <w:r>
        <w:rPr>
          <w:rStyle w:val="default"/>
          <w:rFonts w:cs="FrankRuehl"/>
          <w:rtl/>
        </w:rPr>
        <w:t xml:space="preserve"> </w:t>
      </w:r>
      <w:r>
        <w:rPr>
          <w:rStyle w:val="default"/>
          <w:rFonts w:cs="FrankRuehl" w:hint="cs"/>
          <w:rtl/>
        </w:rPr>
        <w:t>כל כתב</w:t>
      </w:r>
      <w:r>
        <w:rPr>
          <w:rStyle w:val="default"/>
          <w:rFonts w:cs="FrankRuehl"/>
          <w:rtl/>
        </w:rPr>
        <w:t xml:space="preserve"> ה</w:t>
      </w:r>
      <w:r>
        <w:rPr>
          <w:rStyle w:val="default"/>
          <w:rFonts w:cs="FrankRuehl" w:hint="cs"/>
          <w:rtl/>
        </w:rPr>
        <w:t>נוגע לאיגוד, שהוגש לרושם על ידי האיגוד או על ידי האחראי לאיגוד, או בקשר עם רישום האיגוד או עם רישום משכנתה או שעבוד על נכסי האיגוד, וכן כתב שנשלח מאת הרושם לאיגוד או לאחראי לאיגוד או</w:t>
      </w:r>
      <w:r>
        <w:rPr>
          <w:rStyle w:val="default"/>
          <w:rFonts w:cs="FrankRuehl"/>
          <w:rtl/>
        </w:rPr>
        <w:t xml:space="preserve"> </w:t>
      </w:r>
      <w:r>
        <w:rPr>
          <w:rStyle w:val="default"/>
          <w:rFonts w:cs="FrankRuehl" w:hint="cs"/>
          <w:rtl/>
        </w:rPr>
        <w:t>העתק ממנו.</w:t>
      </w:r>
    </w:p>
    <w:p w14:paraId="77AD6338" w14:textId="77777777" w:rsidR="007A1F57" w:rsidRDefault="007A1F57" w:rsidP="00F8735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סמך נפסד" פירושו </w:t>
      </w:r>
      <w:r w:rsidR="00F87358">
        <w:rPr>
          <w:rStyle w:val="default"/>
          <w:rFonts w:cs="FrankRuehl" w:hint="cs"/>
          <w:rtl/>
        </w:rPr>
        <w:t>-</w:t>
      </w:r>
      <w:r>
        <w:rPr>
          <w:rStyle w:val="default"/>
          <w:rFonts w:cs="FrankRuehl"/>
          <w:rtl/>
        </w:rPr>
        <w:t xml:space="preserve"> </w:t>
      </w:r>
      <w:r>
        <w:rPr>
          <w:rStyle w:val="default"/>
          <w:rFonts w:cs="FrankRuehl" w:hint="cs"/>
          <w:rtl/>
        </w:rPr>
        <w:t>מסמך שאבד או נשחת במשרד הרושם עד שאינו</w:t>
      </w:r>
      <w:r>
        <w:rPr>
          <w:rStyle w:val="default"/>
          <w:rFonts w:cs="FrankRuehl"/>
          <w:rtl/>
        </w:rPr>
        <w:t xml:space="preserve"> נ</w:t>
      </w:r>
      <w:r>
        <w:rPr>
          <w:rStyle w:val="default"/>
          <w:rFonts w:cs="FrankRuehl" w:hint="cs"/>
          <w:rtl/>
        </w:rPr>
        <w:t>יתן לקריאה שלימה ושקיומו לפני שנפסד הוכח בדרך המניחה את דעתו של הרושם.</w:t>
      </w:r>
    </w:p>
    <w:p w14:paraId="51C454A7" w14:textId="77777777" w:rsidR="007A1F57" w:rsidRDefault="007A1F57">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חראי לאיגוד" פירושו </w:t>
      </w:r>
      <w:r w:rsidR="00F87358">
        <w:rPr>
          <w:rStyle w:val="default"/>
          <w:rFonts w:cs="FrankRuehl"/>
          <w:rtl/>
        </w:rPr>
        <w:t>–</w:t>
      </w:r>
    </w:p>
    <w:p w14:paraId="73F06780" w14:textId="77777777" w:rsidR="007A1F57" w:rsidRDefault="007A1F57" w:rsidP="00F87358">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חברה </w:t>
      </w:r>
      <w:r w:rsidR="00F87358">
        <w:rPr>
          <w:rStyle w:val="default"/>
          <w:rFonts w:cs="FrankRuehl" w:hint="cs"/>
          <w:rtl/>
        </w:rPr>
        <w:t>-</w:t>
      </w:r>
      <w:r>
        <w:rPr>
          <w:rStyle w:val="default"/>
          <w:rFonts w:cs="FrankRuehl"/>
          <w:rtl/>
        </w:rPr>
        <w:t xml:space="preserve"> </w:t>
      </w:r>
      <w:r>
        <w:rPr>
          <w:rStyle w:val="default"/>
          <w:rFonts w:cs="FrankRuehl" w:hint="cs"/>
          <w:rtl/>
        </w:rPr>
        <w:t>כל אחד ממנהליה, מפרקה או מקבל נכסיה;</w:t>
      </w:r>
    </w:p>
    <w:p w14:paraId="68BF9BB9" w14:textId="77777777" w:rsidR="007A1F57" w:rsidRDefault="007A1F57" w:rsidP="00F87358">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גבי שותפות </w:t>
      </w:r>
      <w:r w:rsidR="00F87358">
        <w:rPr>
          <w:rStyle w:val="default"/>
          <w:rFonts w:cs="FrankRuehl" w:hint="cs"/>
          <w:rtl/>
        </w:rPr>
        <w:t>-</w:t>
      </w:r>
      <w:r>
        <w:rPr>
          <w:rStyle w:val="default"/>
          <w:rFonts w:cs="FrankRuehl"/>
          <w:rtl/>
        </w:rPr>
        <w:t xml:space="preserve"> </w:t>
      </w:r>
      <w:r>
        <w:rPr>
          <w:rStyle w:val="default"/>
          <w:rFonts w:cs="FrankRuehl" w:hint="cs"/>
          <w:rtl/>
        </w:rPr>
        <w:t>כל אחד משותפיה, מנהל עסקיה שנתמנה על ידי בית המשפט או מקבל נכסיה.</w:t>
      </w:r>
    </w:p>
    <w:p w14:paraId="19C5FCB9" w14:textId="77777777" w:rsidR="007A1F57" w:rsidRDefault="007A1F57">
      <w:pPr>
        <w:pStyle w:val="P00"/>
        <w:spacing w:before="72"/>
        <w:ind w:left="0" w:right="1134"/>
        <w:rPr>
          <w:rStyle w:val="default"/>
          <w:rFonts w:cs="FrankRuehl" w:hint="cs"/>
          <w:rtl/>
        </w:rPr>
      </w:pPr>
      <w:bookmarkStart w:id="1" w:name="Seif1"/>
      <w:bookmarkEnd w:id="1"/>
      <w:r>
        <w:rPr>
          <w:lang w:val="he-IL"/>
        </w:rPr>
        <w:pict w14:anchorId="2EBC07DF">
          <v:rect id="_x0000_s1027" style="position:absolute;left:0;text-align:left;margin-left:464.5pt;margin-top:8.05pt;width:75.05pt;height:13.9pt;z-index:251656192" o:allowincell="f" filled="f" stroked="f" strokecolor="lime" strokeweight=".25pt">
            <v:textbox inset="0,0,0,0">
              <w:txbxContent>
                <w:p w14:paraId="49B61A3E" w14:textId="77777777" w:rsidR="007A1F57" w:rsidRDefault="007A1F57">
                  <w:pPr>
                    <w:spacing w:line="160" w:lineRule="exact"/>
                    <w:jc w:val="left"/>
                    <w:rPr>
                      <w:rFonts w:cs="Miriam"/>
                      <w:noProof/>
                      <w:sz w:val="18"/>
                      <w:szCs w:val="18"/>
                      <w:rtl/>
                    </w:rPr>
                  </w:pPr>
                  <w:r>
                    <w:rPr>
                      <w:rFonts w:cs="Miriam"/>
                      <w:sz w:val="18"/>
                      <w:szCs w:val="18"/>
                      <w:rtl/>
                    </w:rPr>
                    <w:t>סמ</w:t>
                  </w:r>
                  <w:r>
                    <w:rPr>
                      <w:rFonts w:cs="Miriam" w:hint="cs"/>
                      <w:sz w:val="18"/>
                      <w:szCs w:val="18"/>
                      <w:rtl/>
                    </w:rPr>
                    <w:t>כות הרושם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פסד מסמך לפני שנכנס חוק זה לתקפו, רשאי הרושם לדרוש מהאיגוד, שאותו מסמך נוגע לו, ומהאחראי לאיגוד </w:t>
      </w:r>
      <w:r w:rsidR="00F87358">
        <w:rPr>
          <w:rStyle w:val="default"/>
          <w:rFonts w:cs="FrankRuehl"/>
          <w:rtl/>
        </w:rPr>
        <w:t>–</w:t>
      </w:r>
    </w:p>
    <w:p w14:paraId="5B7D09FD" w14:textId="77777777" w:rsidR="007A1F57" w:rsidRDefault="007A1F5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המציא לו, תוך שלושים יום מיום שנמסרה דרישה כאמור, העתק מאותו מסמ</w:t>
      </w:r>
      <w:r>
        <w:rPr>
          <w:rStyle w:val="default"/>
          <w:rFonts w:cs="FrankRuehl"/>
          <w:rtl/>
        </w:rPr>
        <w:t xml:space="preserve">ך, </w:t>
      </w:r>
      <w:r>
        <w:rPr>
          <w:rStyle w:val="default"/>
          <w:rFonts w:cs="FrankRuehl" w:hint="cs"/>
          <w:rtl/>
        </w:rPr>
        <w:t>מאושר לפי סעיף 4;</w:t>
      </w:r>
    </w:p>
    <w:p w14:paraId="66F5255F" w14:textId="77777777" w:rsidR="007A1F57" w:rsidRDefault="007A1F5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הראות לו, במועד שיקבע, כל נייר ומסמך של האיגוד הנוגע לאותו ענין, או לאפשר לאדם, שהורשה לכך על ידיו, לעיין בניירות ובמסמכים כאלה,</w:t>
      </w:r>
    </w:p>
    <w:p w14:paraId="65A78E04" w14:textId="77777777" w:rsidR="007A1F57" w:rsidRDefault="007A1F57">
      <w:pPr>
        <w:pStyle w:val="P22"/>
        <w:spacing w:before="72"/>
        <w:ind w:left="1021"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ם חייבים למלא</w:t>
      </w:r>
      <w:r>
        <w:rPr>
          <w:rStyle w:val="default"/>
          <w:rFonts w:cs="FrankRuehl"/>
          <w:rtl/>
        </w:rPr>
        <w:t xml:space="preserve"> </w:t>
      </w:r>
      <w:r>
        <w:rPr>
          <w:rStyle w:val="default"/>
          <w:rFonts w:cs="FrankRuehl" w:hint="cs"/>
          <w:rtl/>
        </w:rPr>
        <w:t>אחרי הדרישה.</w:t>
      </w:r>
    </w:p>
    <w:p w14:paraId="68002DDB" w14:textId="77777777" w:rsidR="007A1F57" w:rsidRDefault="007A1F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עובר על סעיף זה, דינו קנס עד לעשרים וחמש לירות לכל יום של אי-מילוי</w:t>
      </w:r>
      <w:r>
        <w:rPr>
          <w:rStyle w:val="default"/>
          <w:rFonts w:cs="FrankRuehl"/>
          <w:rtl/>
        </w:rPr>
        <w:t xml:space="preserve"> ה</w:t>
      </w:r>
      <w:r>
        <w:rPr>
          <w:rStyle w:val="default"/>
          <w:rFonts w:cs="FrankRuehl" w:hint="cs"/>
          <w:rtl/>
        </w:rPr>
        <w:t>דרישה, או מאסר עד לחודש ימים, או שני הענשים כאחד.</w:t>
      </w:r>
    </w:p>
    <w:p w14:paraId="69EC14CE" w14:textId="77777777" w:rsidR="007A1F57" w:rsidRDefault="007A1F57">
      <w:pPr>
        <w:pStyle w:val="P00"/>
        <w:spacing w:before="72"/>
        <w:ind w:left="0" w:right="1134"/>
        <w:rPr>
          <w:rStyle w:val="default"/>
          <w:rFonts w:cs="FrankRuehl"/>
          <w:rtl/>
        </w:rPr>
      </w:pPr>
      <w:bookmarkStart w:id="2" w:name="Seif2"/>
      <w:bookmarkEnd w:id="2"/>
      <w:r>
        <w:rPr>
          <w:lang w:val="he-IL"/>
        </w:rPr>
        <w:pict w14:anchorId="7E86C834">
          <v:rect id="_x0000_s1028" style="position:absolute;left:0;text-align:left;margin-left:464.5pt;margin-top:8.05pt;width:75.05pt;height:13.65pt;z-index:251657216" o:allowincell="f" filled="f" stroked="f" strokecolor="lime" strokeweight=".25pt">
            <v:textbox inset="0,0,0,0">
              <w:txbxContent>
                <w:p w14:paraId="738D553D" w14:textId="77777777" w:rsidR="007A1F57" w:rsidRDefault="007A1F57">
                  <w:pPr>
                    <w:spacing w:line="160" w:lineRule="exact"/>
                    <w:jc w:val="left"/>
                    <w:rPr>
                      <w:rFonts w:cs="Miriam"/>
                      <w:noProof/>
                      <w:sz w:val="18"/>
                      <w:szCs w:val="18"/>
                      <w:rtl/>
                    </w:rPr>
                  </w:pPr>
                  <w:r>
                    <w:rPr>
                      <w:rFonts w:cs="Miriam"/>
                      <w:sz w:val="18"/>
                      <w:szCs w:val="18"/>
                      <w:rtl/>
                    </w:rPr>
                    <w:t>די</w:t>
                  </w:r>
                  <w:r>
                    <w:rPr>
                      <w:rFonts w:cs="Miriam" w:hint="cs"/>
                      <w:sz w:val="18"/>
                      <w:szCs w:val="18"/>
                      <w:rtl/>
                    </w:rPr>
                    <w:t>ני ראיות</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שור בכתב של הרושם המעיד שמסמך פלוני נפסד ישמש ראיה חותכת על כך.</w:t>
      </w:r>
    </w:p>
    <w:p w14:paraId="20E71268" w14:textId="77777777" w:rsidR="007A1F57" w:rsidRDefault="007A1F57">
      <w:pPr>
        <w:pStyle w:val="P00"/>
        <w:spacing w:before="72"/>
        <w:ind w:left="0" w:right="1134"/>
        <w:rPr>
          <w:rStyle w:val="default"/>
          <w:rFonts w:cs="FrankRuehl" w:hint="cs"/>
          <w:rtl/>
        </w:rPr>
      </w:pPr>
      <w:bookmarkStart w:id="3" w:name="Seif3"/>
      <w:bookmarkEnd w:id="3"/>
      <w:r>
        <w:rPr>
          <w:lang w:val="he-IL"/>
        </w:rPr>
        <w:pict w14:anchorId="13BB7D10">
          <v:rect id="_x0000_s1029" style="position:absolute;left:0;text-align:left;margin-left:464.5pt;margin-top:8.05pt;width:75.05pt;height:16.15pt;z-index:251658240" o:allowincell="f" filled="f" stroked="f" strokecolor="lime" strokeweight=".25pt">
            <v:textbox inset="0,0,0,0">
              <w:txbxContent>
                <w:p w14:paraId="35599370" w14:textId="77777777" w:rsidR="007A1F57" w:rsidRDefault="007A1F57">
                  <w:pPr>
                    <w:spacing w:line="160" w:lineRule="exact"/>
                    <w:jc w:val="left"/>
                    <w:rPr>
                      <w:rFonts w:cs="Miriam"/>
                      <w:noProof/>
                      <w:sz w:val="18"/>
                      <w:szCs w:val="18"/>
                      <w:rtl/>
                    </w:rPr>
                  </w:pPr>
                  <w:r>
                    <w:rPr>
                      <w:rFonts w:cs="Miriam"/>
                      <w:sz w:val="18"/>
                      <w:szCs w:val="18"/>
                      <w:rtl/>
                    </w:rPr>
                    <w:t>אי</w:t>
                  </w:r>
                  <w:r>
                    <w:rPr>
                      <w:rFonts w:cs="Miriam" w:hint="cs"/>
                      <w:sz w:val="18"/>
                      <w:szCs w:val="18"/>
                      <w:rtl/>
                    </w:rPr>
                    <w:t>שור מסמך</w:t>
                  </w:r>
                </w:p>
              </w:txbxContent>
            </v:textbox>
            <w10:anchorlock/>
          </v:rect>
        </w:pict>
      </w:r>
      <w:r>
        <w:rPr>
          <w:rStyle w:val="big-number"/>
          <w:rFonts w:cs="Miriam"/>
          <w:rtl/>
        </w:rPr>
        <w:t>4.</w:t>
      </w:r>
      <w:r>
        <w:rPr>
          <w:rStyle w:val="big-number"/>
          <w:rFonts w:cs="Miriam"/>
          <w:rtl/>
        </w:rPr>
        <w:tab/>
      </w:r>
      <w:r>
        <w:rPr>
          <w:rStyle w:val="default"/>
          <w:rFonts w:cs="FrankRuehl"/>
          <w:rtl/>
        </w:rPr>
        <w:t>אי</w:t>
      </w:r>
      <w:r>
        <w:rPr>
          <w:rStyle w:val="default"/>
          <w:rFonts w:cs="FrankRuehl" w:hint="cs"/>
          <w:rtl/>
        </w:rPr>
        <w:t xml:space="preserve">שור של העתק מסמך יהיה </w:t>
      </w:r>
      <w:r w:rsidR="00F87358">
        <w:rPr>
          <w:rStyle w:val="default"/>
          <w:rFonts w:cs="FrankRuehl"/>
          <w:rtl/>
        </w:rPr>
        <w:t>–</w:t>
      </w:r>
    </w:p>
    <w:p w14:paraId="5BB9E503" w14:textId="77777777" w:rsidR="007A1F57" w:rsidRDefault="007A1F57">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ידי האחראי לאיגוד, וכן</w:t>
      </w:r>
    </w:p>
    <w:p w14:paraId="05939E01" w14:textId="77777777" w:rsidR="007A1F57" w:rsidRDefault="007A1F57">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ידי רואה חשבונות מוסמך שטיפל במסמך הנפסד במילוי תפקידו, או</w:t>
      </w:r>
    </w:p>
    <w:p w14:paraId="0B212DC9" w14:textId="77777777" w:rsidR="007A1F57" w:rsidRDefault="007A1F57">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ידי עו</w:t>
      </w:r>
      <w:r>
        <w:rPr>
          <w:rStyle w:val="default"/>
          <w:rFonts w:cs="FrankRuehl"/>
          <w:rtl/>
        </w:rPr>
        <w:t>רך</w:t>
      </w:r>
      <w:r>
        <w:rPr>
          <w:rStyle w:val="default"/>
          <w:rFonts w:cs="FrankRuehl" w:hint="cs"/>
          <w:rtl/>
        </w:rPr>
        <w:t xml:space="preserve"> דין שטיפל בענין הנוגע למסמך הנפסד,</w:t>
      </w:r>
    </w:p>
    <w:p w14:paraId="12E62BF3" w14:textId="77777777" w:rsidR="007A1F57" w:rsidRDefault="007A1F57">
      <w:pPr>
        <w:pStyle w:val="P00"/>
        <w:spacing w:before="72"/>
        <w:ind w:left="0" w:right="1134"/>
        <w:rPr>
          <w:rStyle w:val="default"/>
          <w:rFonts w:cs="FrankRuehl"/>
          <w:rtl/>
        </w:rPr>
      </w:pPr>
      <w:r>
        <w:rPr>
          <w:rFonts w:cs="FrankRuehl"/>
          <w:sz w:val="26"/>
          <w:rtl/>
        </w:rPr>
        <w:tab/>
      </w:r>
      <w:r>
        <w:rPr>
          <w:rStyle w:val="default"/>
          <w:rFonts w:cs="FrankRuehl"/>
          <w:rtl/>
        </w:rPr>
        <w:t>או</w:t>
      </w:r>
    </w:p>
    <w:p w14:paraId="2330B809" w14:textId="77777777" w:rsidR="007A1F57" w:rsidRDefault="007A1F5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דרך אחרת המניחה את דעתו של הרושם.</w:t>
      </w:r>
    </w:p>
    <w:p w14:paraId="1F10F1EF" w14:textId="77777777" w:rsidR="007A1F57" w:rsidRDefault="007A1F57" w:rsidP="00F87358">
      <w:pPr>
        <w:pStyle w:val="P00"/>
        <w:spacing w:before="72"/>
        <w:ind w:left="0" w:right="1134"/>
        <w:rPr>
          <w:rStyle w:val="default"/>
          <w:rFonts w:cs="FrankRuehl"/>
          <w:rtl/>
        </w:rPr>
      </w:pPr>
      <w:bookmarkStart w:id="4" w:name="Seif4"/>
      <w:bookmarkEnd w:id="4"/>
      <w:r>
        <w:rPr>
          <w:lang w:val="he-IL"/>
        </w:rPr>
        <w:pict w14:anchorId="1AB98031">
          <v:rect id="_x0000_s1030" style="position:absolute;left:0;text-align:left;margin-left:464.5pt;margin-top:8.05pt;width:75.05pt;height:15pt;z-index:251659264" o:allowincell="f" filled="f" stroked="f" strokecolor="lime" strokeweight=".25pt">
            <v:textbox inset="0,0,0,0">
              <w:txbxContent>
                <w:p w14:paraId="093D1AB7" w14:textId="77777777" w:rsidR="007A1F57" w:rsidRDefault="007A1F57">
                  <w:pPr>
                    <w:spacing w:line="160" w:lineRule="exact"/>
                    <w:jc w:val="left"/>
                    <w:rPr>
                      <w:rFonts w:cs="Miriam"/>
                      <w:noProof/>
                      <w:sz w:val="18"/>
                      <w:szCs w:val="18"/>
                      <w:rtl/>
                    </w:rPr>
                  </w:pPr>
                  <w:r>
                    <w:rPr>
                      <w:rFonts w:cs="Miriam"/>
                      <w:sz w:val="18"/>
                      <w:szCs w:val="18"/>
                      <w:rtl/>
                    </w:rPr>
                    <w:t>מס</w:t>
                  </w:r>
                  <w:r>
                    <w:rPr>
                      <w:rFonts w:cs="Miriam" w:hint="cs"/>
                      <w:sz w:val="18"/>
                      <w:szCs w:val="18"/>
                      <w:rtl/>
                    </w:rPr>
                    <w:t>מך נפסד</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עתק מאושר של מסמך שהומצא כאמור ושנבדק ונתקבל על ידי הרושם </w:t>
      </w:r>
      <w:r w:rsidR="00F87358">
        <w:rPr>
          <w:rStyle w:val="default"/>
          <w:rFonts w:cs="FrankRuehl" w:hint="cs"/>
          <w:rtl/>
        </w:rPr>
        <w:t>-</w:t>
      </w:r>
      <w:r>
        <w:rPr>
          <w:rStyle w:val="default"/>
          <w:rFonts w:cs="FrankRuehl"/>
          <w:rtl/>
        </w:rPr>
        <w:t xml:space="preserve"> </w:t>
      </w:r>
      <w:r>
        <w:rPr>
          <w:rStyle w:val="default"/>
          <w:rFonts w:cs="FrankRuehl" w:hint="cs"/>
          <w:rtl/>
        </w:rPr>
        <w:t>ינהג בו הרושם כבמסמך שנפסד, אולם בהעתק שממנו יציין הרושם שהוא העתק מהעתק מאושר שנתקבל כאמור.</w:t>
      </w:r>
    </w:p>
    <w:p w14:paraId="681E2E4C" w14:textId="77777777" w:rsidR="007A1F57" w:rsidRDefault="007A1F57">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 </w:t>
      </w:r>
      <w:r>
        <w:rPr>
          <w:rStyle w:val="default"/>
          <w:rFonts w:cs="FrankRuehl"/>
          <w:rtl/>
        </w:rPr>
        <w:t>פע</w:t>
      </w:r>
      <w:r>
        <w:rPr>
          <w:rStyle w:val="default"/>
          <w:rFonts w:cs="FrankRuehl" w:hint="cs"/>
          <w:rtl/>
        </w:rPr>
        <w:t>ולה משפטית יראו את ההעתק המאושר שנתקבל על ידי הרושם כראיה לכאורה לתכנו של המסמך הנפסד.</w:t>
      </w:r>
    </w:p>
    <w:p w14:paraId="68E2F698" w14:textId="77777777" w:rsidR="007A1F57" w:rsidRDefault="007A1F57">
      <w:pPr>
        <w:pStyle w:val="P00"/>
        <w:spacing w:before="72"/>
        <w:ind w:left="0" w:right="1134"/>
        <w:rPr>
          <w:rStyle w:val="default"/>
          <w:rFonts w:cs="FrankRuehl"/>
          <w:rtl/>
        </w:rPr>
      </w:pPr>
      <w:bookmarkStart w:id="5" w:name="Seif5"/>
      <w:bookmarkEnd w:id="5"/>
      <w:r>
        <w:rPr>
          <w:lang w:val="he-IL"/>
        </w:rPr>
        <w:pict w14:anchorId="5977A62D">
          <v:rect id="_x0000_s1031" style="position:absolute;left:0;text-align:left;margin-left:464.5pt;margin-top:8.05pt;width:75.05pt;height:12.3pt;z-index:251660288" o:allowincell="f" filled="f" stroked="f" strokecolor="lime" strokeweight=".25pt">
            <v:textbox inset="0,0,0,0">
              <w:txbxContent>
                <w:p w14:paraId="30C692F6" w14:textId="77777777" w:rsidR="007A1F57" w:rsidRDefault="007A1F5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6.</w:t>
      </w:r>
      <w:r>
        <w:rPr>
          <w:rStyle w:val="big-number"/>
          <w:rFonts w:cs="Miriam"/>
          <w:rtl/>
        </w:rPr>
        <w:tab/>
      </w:r>
      <w:r>
        <w:rPr>
          <w:rStyle w:val="default"/>
          <w:rFonts w:cs="FrankRuehl"/>
          <w:rtl/>
        </w:rPr>
        <w:t>שר</w:t>
      </w:r>
      <w:r>
        <w:rPr>
          <w:rStyle w:val="default"/>
          <w:rFonts w:cs="FrankRuehl" w:hint="cs"/>
          <w:rtl/>
        </w:rPr>
        <w:t xml:space="preserve"> המשפטים ממונה על ביצו</w:t>
      </w:r>
      <w:r>
        <w:rPr>
          <w:rStyle w:val="default"/>
          <w:rFonts w:cs="FrankRuehl"/>
          <w:rtl/>
        </w:rPr>
        <w:t>ע</w:t>
      </w:r>
      <w:r>
        <w:rPr>
          <w:rStyle w:val="default"/>
          <w:rFonts w:cs="FrankRuehl" w:hint="cs"/>
          <w:rtl/>
        </w:rPr>
        <w:t xml:space="preserve"> חוק זה והוא רשאי להתקין תקנות בכל ענין הנוגע לביצועו.</w:t>
      </w:r>
    </w:p>
    <w:p w14:paraId="661B0F04" w14:textId="77777777" w:rsidR="007A1F57" w:rsidRDefault="007A1F57">
      <w:pPr>
        <w:pStyle w:val="P00"/>
        <w:spacing w:before="72"/>
        <w:ind w:left="0" w:right="1134"/>
        <w:rPr>
          <w:rStyle w:val="default"/>
          <w:rFonts w:cs="FrankRuehl" w:hint="cs"/>
          <w:rtl/>
        </w:rPr>
      </w:pPr>
    </w:p>
    <w:p w14:paraId="371BF893" w14:textId="77777777" w:rsidR="00F87358" w:rsidRDefault="00F87358">
      <w:pPr>
        <w:pStyle w:val="P00"/>
        <w:spacing w:before="72"/>
        <w:ind w:left="0" w:right="1134"/>
        <w:rPr>
          <w:rStyle w:val="default"/>
          <w:rFonts w:cs="FrankRuehl" w:hint="cs"/>
          <w:rtl/>
        </w:rPr>
      </w:pPr>
    </w:p>
    <w:p w14:paraId="471BFD5D" w14:textId="77777777" w:rsidR="007A1F57" w:rsidRPr="00F87358" w:rsidRDefault="007A1F57" w:rsidP="00F87358">
      <w:pPr>
        <w:pStyle w:val="sig-1"/>
        <w:widowControl/>
        <w:spacing w:before="72"/>
        <w:ind w:left="0" w:right="1134"/>
        <w:rPr>
          <w:rFonts w:cs="FrankRuehl"/>
          <w:sz w:val="26"/>
          <w:szCs w:val="26"/>
          <w:rtl/>
        </w:rPr>
      </w:pPr>
      <w:r w:rsidRPr="00F87358">
        <w:rPr>
          <w:rFonts w:cs="FrankRuehl"/>
          <w:sz w:val="26"/>
          <w:szCs w:val="26"/>
          <w:rtl/>
        </w:rPr>
        <w:tab/>
        <w:t>ח</w:t>
      </w:r>
      <w:r w:rsidRPr="00F87358">
        <w:rPr>
          <w:rFonts w:cs="FrankRuehl" w:hint="cs"/>
          <w:sz w:val="26"/>
          <w:szCs w:val="26"/>
          <w:rtl/>
        </w:rPr>
        <w:t>יים וייצמן</w:t>
      </w:r>
      <w:r w:rsidRPr="00F87358">
        <w:rPr>
          <w:rFonts w:cs="FrankRuehl"/>
          <w:sz w:val="26"/>
          <w:szCs w:val="26"/>
          <w:rtl/>
        </w:rPr>
        <w:tab/>
        <w:t>ד</w:t>
      </w:r>
      <w:r w:rsidRPr="00F87358">
        <w:rPr>
          <w:rFonts w:cs="FrankRuehl" w:hint="cs"/>
          <w:sz w:val="26"/>
          <w:szCs w:val="26"/>
          <w:rtl/>
        </w:rPr>
        <w:t>וד בן-גוריון</w:t>
      </w:r>
      <w:r w:rsidRPr="00F87358">
        <w:rPr>
          <w:rFonts w:cs="FrankRuehl"/>
          <w:sz w:val="26"/>
          <w:szCs w:val="26"/>
          <w:rtl/>
        </w:rPr>
        <w:tab/>
        <w:t>פ</w:t>
      </w:r>
      <w:r w:rsidRPr="00F87358">
        <w:rPr>
          <w:rFonts w:cs="FrankRuehl" w:hint="cs"/>
          <w:sz w:val="26"/>
          <w:szCs w:val="26"/>
          <w:rtl/>
        </w:rPr>
        <w:t>נחס רוזן</w:t>
      </w:r>
    </w:p>
    <w:p w14:paraId="17D3AA16" w14:textId="77777777" w:rsidR="007A1F57" w:rsidRDefault="007A1F57">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14:paraId="2E30C48B" w14:textId="77777777" w:rsidR="007A1F57" w:rsidRPr="00F87358" w:rsidRDefault="007A1F57" w:rsidP="00F87358">
      <w:pPr>
        <w:pStyle w:val="P00"/>
        <w:spacing w:before="72"/>
        <w:ind w:left="0" w:right="1134"/>
        <w:rPr>
          <w:rStyle w:val="default"/>
          <w:rFonts w:cs="FrankRuehl" w:hint="cs"/>
          <w:rtl/>
        </w:rPr>
      </w:pPr>
    </w:p>
    <w:p w14:paraId="1FF0C4F7" w14:textId="77777777" w:rsidR="00F87358" w:rsidRPr="00F87358" w:rsidRDefault="00F87358" w:rsidP="00F87358">
      <w:pPr>
        <w:pStyle w:val="P00"/>
        <w:spacing w:before="72"/>
        <w:ind w:left="0" w:right="1134"/>
        <w:rPr>
          <w:rStyle w:val="default"/>
          <w:rFonts w:cs="FrankRuehl" w:hint="cs"/>
          <w:rtl/>
        </w:rPr>
      </w:pPr>
    </w:p>
    <w:p w14:paraId="72C1019B" w14:textId="77777777" w:rsidR="00F87358" w:rsidRPr="00F87358" w:rsidRDefault="00F87358" w:rsidP="00F87358">
      <w:pPr>
        <w:pStyle w:val="P00"/>
        <w:spacing w:before="72"/>
        <w:ind w:left="0" w:right="1134"/>
        <w:rPr>
          <w:rStyle w:val="default"/>
          <w:rFonts w:cs="FrankRuehl"/>
          <w:rtl/>
        </w:rPr>
      </w:pPr>
    </w:p>
    <w:sectPr w:rsidR="00F87358" w:rsidRPr="00F8735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9DD26" w14:textId="77777777" w:rsidR="003E4E52" w:rsidRDefault="003E4E52">
      <w:pPr>
        <w:spacing w:line="240" w:lineRule="auto"/>
      </w:pPr>
      <w:r>
        <w:separator/>
      </w:r>
    </w:p>
  </w:endnote>
  <w:endnote w:type="continuationSeparator" w:id="0">
    <w:p w14:paraId="5A35029F" w14:textId="77777777" w:rsidR="003E4E52" w:rsidRDefault="003E4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4F77" w14:textId="77777777" w:rsidR="007A1F57" w:rsidRDefault="007A1F5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B3709C" w14:textId="77777777" w:rsidR="007A1F57" w:rsidRDefault="007A1F5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3F3C520" w14:textId="77777777" w:rsidR="007A1F57" w:rsidRDefault="007A1F5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7358">
      <w:rPr>
        <w:rFonts w:cs="TopType Jerushalmi"/>
        <w:noProof/>
        <w:color w:val="000000"/>
        <w:sz w:val="14"/>
        <w:szCs w:val="14"/>
      </w:rPr>
      <w:t>D:\Yael\hakika\Revadim\149_001.doc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FD4A" w14:textId="77777777" w:rsidR="007A1F57" w:rsidRDefault="007A1F5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7450">
      <w:rPr>
        <w:rFonts w:hAnsi="FrankRuehl" w:cs="FrankRuehl"/>
        <w:noProof/>
        <w:sz w:val="24"/>
        <w:szCs w:val="24"/>
        <w:rtl/>
      </w:rPr>
      <w:t>2</w:t>
    </w:r>
    <w:r>
      <w:rPr>
        <w:rFonts w:hAnsi="FrankRuehl" w:cs="FrankRuehl"/>
        <w:sz w:val="24"/>
        <w:szCs w:val="24"/>
        <w:rtl/>
      </w:rPr>
      <w:fldChar w:fldCharType="end"/>
    </w:r>
  </w:p>
  <w:p w14:paraId="495FD2FA" w14:textId="77777777" w:rsidR="007A1F57" w:rsidRDefault="007A1F5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2DAB84" w14:textId="77777777" w:rsidR="007A1F57" w:rsidRDefault="007A1F5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7358">
      <w:rPr>
        <w:rFonts w:cs="TopType Jerushalmi"/>
        <w:noProof/>
        <w:color w:val="000000"/>
        <w:sz w:val="14"/>
        <w:szCs w:val="14"/>
      </w:rPr>
      <w:t>D:\Yael\hakika\Revadim\149_001.doc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E609" w14:textId="77777777" w:rsidR="003E4E52" w:rsidRDefault="003E4E52" w:rsidP="00F87358">
      <w:pPr>
        <w:spacing w:before="60" w:line="240" w:lineRule="auto"/>
        <w:ind w:right="1134"/>
      </w:pPr>
      <w:r>
        <w:separator/>
      </w:r>
    </w:p>
  </w:footnote>
  <w:footnote w:type="continuationSeparator" w:id="0">
    <w:p w14:paraId="39DBE4C8" w14:textId="77777777" w:rsidR="003E4E52" w:rsidRDefault="003E4E52">
      <w:pPr>
        <w:spacing w:line="240" w:lineRule="auto"/>
      </w:pPr>
      <w:r>
        <w:continuationSeparator/>
      </w:r>
    </w:p>
  </w:footnote>
  <w:footnote w:id="1">
    <w:p w14:paraId="2F45A678" w14:textId="77777777" w:rsidR="00F87358" w:rsidRPr="00F87358" w:rsidRDefault="00F87358" w:rsidP="00F873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87358">
        <w:rPr>
          <w:rFonts w:cs="FrankRuehl"/>
          <w:rtl/>
        </w:rPr>
        <w:t xml:space="preserve">* </w:t>
      </w:r>
      <w:r>
        <w:rPr>
          <w:rFonts w:cs="FrankRuehl"/>
          <w:rtl/>
        </w:rPr>
        <w:t>פו</w:t>
      </w:r>
      <w:r>
        <w:rPr>
          <w:rFonts w:cs="FrankRuehl" w:hint="cs"/>
          <w:rtl/>
        </w:rPr>
        <w:t>ר</w:t>
      </w:r>
      <w:r>
        <w:rPr>
          <w:rFonts w:cs="FrankRuehl"/>
          <w:rtl/>
        </w:rPr>
        <w:t>סם</w:t>
      </w:r>
      <w:r>
        <w:rPr>
          <w:rFonts w:cs="FrankRuehl" w:hint="cs"/>
          <w:rtl/>
        </w:rPr>
        <w:t xml:space="preserve"> </w:t>
      </w:r>
      <w:hyperlink r:id="rId1" w:history="1">
        <w:r w:rsidRPr="00D71431">
          <w:rPr>
            <w:rStyle w:val="Hyperlink"/>
            <w:rFonts w:cs="FrankRuehl" w:hint="cs"/>
            <w:rtl/>
          </w:rPr>
          <w:t>ס"ח תש"י מס' 37</w:t>
        </w:r>
      </w:hyperlink>
      <w:r>
        <w:rPr>
          <w:rFonts w:cs="FrankRuehl" w:hint="cs"/>
          <w:rtl/>
        </w:rPr>
        <w:t xml:space="preserve"> מיום 20.3.1950 עמ' 102.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3D04" w14:textId="77777777" w:rsidR="007A1F57" w:rsidRDefault="007A1F5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בדבר חידוש מסמכים של איגוד, תש"י–1950</w:t>
    </w:r>
  </w:p>
  <w:p w14:paraId="7409A129" w14:textId="77777777" w:rsidR="007A1F57" w:rsidRDefault="007A1F5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789283" w14:textId="77777777" w:rsidR="007A1F57" w:rsidRDefault="007A1F5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1E1E" w14:textId="77777777" w:rsidR="007A1F57" w:rsidRDefault="007A1F57" w:rsidP="00F8735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בדבר חידוש מסמכים של איגוד, תש"י</w:t>
    </w:r>
    <w:r w:rsidR="00F87358">
      <w:rPr>
        <w:rFonts w:hAnsi="FrankRuehl" w:cs="FrankRuehl" w:hint="cs"/>
        <w:color w:val="000000"/>
        <w:sz w:val="28"/>
        <w:szCs w:val="28"/>
        <w:rtl/>
      </w:rPr>
      <w:t>-</w:t>
    </w:r>
    <w:r>
      <w:rPr>
        <w:rFonts w:hAnsi="FrankRuehl" w:cs="FrankRuehl"/>
        <w:color w:val="000000"/>
        <w:sz w:val="28"/>
        <w:szCs w:val="28"/>
        <w:rtl/>
      </w:rPr>
      <w:t>1950</w:t>
    </w:r>
  </w:p>
  <w:p w14:paraId="0E0C2DCF" w14:textId="77777777" w:rsidR="007A1F57" w:rsidRDefault="007A1F5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460790" w14:textId="77777777" w:rsidR="007A1F57" w:rsidRDefault="007A1F5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2B4F"/>
    <w:rsid w:val="000164BB"/>
    <w:rsid w:val="00267450"/>
    <w:rsid w:val="003E4E52"/>
    <w:rsid w:val="00472B4F"/>
    <w:rsid w:val="006073B2"/>
    <w:rsid w:val="006A08D1"/>
    <w:rsid w:val="006D0790"/>
    <w:rsid w:val="007A1F57"/>
    <w:rsid w:val="00D71431"/>
    <w:rsid w:val="00F873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4FA7DDB"/>
  <w15:chartTrackingRefBased/>
  <w15:docId w15:val="{0736673A-5B27-4BA3-A33A-09D327B6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F87358"/>
    <w:rPr>
      <w:sz w:val="20"/>
      <w:szCs w:val="20"/>
    </w:rPr>
  </w:style>
  <w:style w:type="character" w:styleId="a6">
    <w:name w:val="footnote reference"/>
    <w:basedOn w:val="a0"/>
    <w:semiHidden/>
    <w:rsid w:val="00F873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4/LAW-00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149</vt:lpstr>
    </vt:vector>
  </TitlesOfParts>
  <Company/>
  <LinksUpToDate>false</LinksUpToDate>
  <CharactersWithSpaces>2794</CharactersWithSpaces>
  <SharedDoc>false</SharedDoc>
  <HLinks>
    <vt:vector size="42"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8126478</vt:i4>
      </vt:variant>
      <vt:variant>
        <vt:i4>0</vt:i4>
      </vt:variant>
      <vt:variant>
        <vt:i4>0</vt:i4>
      </vt:variant>
      <vt:variant>
        <vt:i4>5</vt:i4>
      </vt:variant>
      <vt:variant>
        <vt:lpwstr>http://www.nevo.co.il/Law_word/law14/LAW-0037.pdf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149</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0149</vt:lpwstr>
  </property>
  <property fmtid="{D5CDD505-2E9C-101B-9397-08002B2CF9AE}" pid="3" name="CHNAME">
    <vt:lpwstr>חידוש מסמכים של איגוד</vt:lpwstr>
  </property>
  <property fmtid="{D5CDD505-2E9C-101B-9397-08002B2CF9AE}" pid="4" name="LAWNAME">
    <vt:lpwstr>חוק בדבר חידוש מסמכים של איגוד, תש"י-1950</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איגוד</vt:lpwstr>
  </property>
  <property fmtid="{D5CDD505-2E9C-101B-9397-08002B2CF9AE}" pid="10" name="NOSE41">
    <vt:lpwstr>חידוש מסמכים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