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CE3" w:rsidRDefault="009D4CE3" w:rsidP="0036161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בדבר מניעתו וענישתו של הפשע השמדת עם, תש"י</w:t>
      </w:r>
      <w:r w:rsidR="0036161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1950</w:t>
      </w:r>
    </w:p>
    <w:p w:rsidR="00AB36B2" w:rsidRPr="00AB36B2" w:rsidRDefault="00AB36B2" w:rsidP="00AB36B2">
      <w:pPr>
        <w:spacing w:line="320" w:lineRule="auto"/>
        <w:jc w:val="left"/>
        <w:rPr>
          <w:rFonts w:cs="FrankRuehl"/>
          <w:szCs w:val="26"/>
          <w:rtl/>
        </w:rPr>
      </w:pPr>
    </w:p>
    <w:p w:rsidR="00AB36B2" w:rsidRDefault="00AB36B2" w:rsidP="00AB36B2">
      <w:pPr>
        <w:spacing w:line="320" w:lineRule="auto"/>
        <w:jc w:val="left"/>
        <w:rPr>
          <w:rtl/>
        </w:rPr>
      </w:pPr>
    </w:p>
    <w:p w:rsidR="00AB36B2" w:rsidRPr="00AB36B2" w:rsidRDefault="00AB36B2" w:rsidP="00AB36B2">
      <w:pPr>
        <w:spacing w:line="320" w:lineRule="auto"/>
        <w:jc w:val="left"/>
        <w:rPr>
          <w:rFonts w:cs="Miriam"/>
          <w:szCs w:val="22"/>
          <w:rtl/>
        </w:rPr>
      </w:pPr>
      <w:r w:rsidRPr="00AB36B2">
        <w:rPr>
          <w:rFonts w:cs="Miriam"/>
          <w:szCs w:val="22"/>
          <w:rtl/>
        </w:rPr>
        <w:t>עונשין ומשפט פלילי</w:t>
      </w:r>
      <w:r w:rsidRPr="00AB36B2">
        <w:rPr>
          <w:rFonts w:cs="FrankRuehl"/>
          <w:szCs w:val="26"/>
          <w:rtl/>
        </w:rPr>
        <w:t xml:space="preserve"> – עבירות</w:t>
      </w:r>
    </w:p>
    <w:p w:rsidR="009D4CE3" w:rsidRDefault="009D4CE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D4C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hyperlink w:anchor="Seif0" w:tooltip="השמדת עם — פיר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4CE3" w:rsidRDefault="009D4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השמדת עם — פירוש</w:t>
            </w:r>
          </w:p>
        </w:tc>
        <w:tc>
          <w:tcPr>
            <w:tcW w:w="124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D4C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hyperlink w:anchor="Seif1" w:tooltip="עונש על השמדת ע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4CE3" w:rsidRDefault="009D4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 על השמדת עם</w:t>
            </w:r>
          </w:p>
        </w:tc>
        <w:tc>
          <w:tcPr>
            <w:tcW w:w="124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D4C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hyperlink w:anchor="Seif2" w:tooltip="קשר, הסתה ונסיון להשמדת עם, והשתתפות 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4CE3" w:rsidRDefault="009D4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קשר, הסתה ונסיון להשמדת עם, והשתתפות בה</w:t>
            </w:r>
          </w:p>
        </w:tc>
        <w:tc>
          <w:tcPr>
            <w:tcW w:w="124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D4C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hyperlink w:anchor="Seif3" w:tooltip="אחריות על השמדת ע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4CE3" w:rsidRDefault="009D4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אחריות על השמדת עם</w:t>
            </w:r>
          </w:p>
        </w:tc>
        <w:tc>
          <w:tcPr>
            <w:tcW w:w="124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D4C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hyperlink w:anchor="Seif4" w:tooltip="מקום הפש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4CE3" w:rsidRDefault="009D4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הפשע</w:t>
            </w:r>
          </w:p>
        </w:tc>
        <w:tc>
          <w:tcPr>
            <w:tcW w:w="124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D4C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hyperlink w:anchor="Seif5" w:tooltip="תפקיד משפטי, הכרח, צורך וצידוק אינם הג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4CE3" w:rsidRDefault="009D4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 משפטי, הכרח, צורך וצידוק אינם הגנה</w:t>
            </w:r>
          </w:p>
        </w:tc>
        <w:tc>
          <w:tcPr>
            <w:tcW w:w="124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D4C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61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hyperlink w:anchor="Seif6" w:tooltip="תחולת החוק הפלילי הכל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4CE3" w:rsidRDefault="009D4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החוק הפלילי הכללי</w:t>
            </w:r>
          </w:p>
        </w:tc>
        <w:tc>
          <w:tcPr>
            <w:tcW w:w="124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D4C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hyperlink w:anchor="Seif7" w:tooltip="הס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4CE3" w:rsidRDefault="009D4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הסגרה</w:t>
            </w:r>
          </w:p>
        </w:tc>
        <w:tc>
          <w:tcPr>
            <w:tcW w:w="124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D4C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hyperlink w:anchor="Seif8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4CE3" w:rsidRDefault="009D4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D4CE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6161A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hyperlink w:anchor="Seif9" w:tooltip="תוקף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4CE3" w:rsidRDefault="009D4CE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החוק</w:t>
            </w:r>
          </w:p>
        </w:tc>
        <w:tc>
          <w:tcPr>
            <w:tcW w:w="1247" w:type="dxa"/>
          </w:tcPr>
          <w:p w:rsidR="009D4CE3" w:rsidRDefault="009D4CE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:rsidR="009D4CE3" w:rsidRDefault="009D4CE3">
      <w:pPr>
        <w:pStyle w:val="big-header"/>
        <w:ind w:left="0" w:right="1134"/>
        <w:rPr>
          <w:rFonts w:cs="FrankRuehl"/>
          <w:sz w:val="32"/>
          <w:rtl/>
        </w:rPr>
      </w:pPr>
    </w:p>
    <w:p w:rsidR="009D4CE3" w:rsidRDefault="009D4CE3" w:rsidP="00AB36B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בדבר מניעתו וענישתו של הפשע השמדת עם, תש"י</w:t>
      </w:r>
      <w:r w:rsidR="0036161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</w:t>
      </w:r>
      <w:r>
        <w:rPr>
          <w:rFonts w:cs="FrankRuehl" w:hint="cs"/>
          <w:sz w:val="32"/>
          <w:rtl/>
        </w:rPr>
        <w:t>950</w:t>
      </w:r>
      <w:r w:rsidR="0036161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D4CE3" w:rsidRDefault="009D4CE3" w:rsidP="003616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8.4pt;z-index:251653120" o:allowincell="f" filled="f" stroked="f" strokecolor="lime" strokeweight=".25pt">
            <v:textbox inset="0,0,0,0">
              <w:txbxContent>
                <w:p w:rsidR="009D4CE3" w:rsidRDefault="009D4CE3" w:rsidP="0036161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"ה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שמדת עם" </w:t>
                  </w:r>
                  <w:r w:rsidR="0036161A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פירוש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חוק זה "השמדת עם" פירושה </w:t>
      </w:r>
      <w:r w:rsidR="00361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אחד המעשים המפורטים להלן שנעשה בכוונה להשמיד, השמדה גמורה או חלקית, קיבוץ לאומי, אתני, גזעי או דתי (להלן </w:t>
      </w:r>
      <w:r w:rsidR="00361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>קיבוץ"), באשר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וא קיבוץ כזה.</w:t>
      </w:r>
    </w:p>
    <w:p w:rsidR="009D4CE3" w:rsidRDefault="009D4C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לה המעשים:</w:t>
      </w:r>
    </w:p>
    <w:p w:rsidR="009D4CE3" w:rsidRDefault="009D4CE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ריגת אנשים הנמנים עם הקיבוץ;</w:t>
      </w:r>
    </w:p>
    <w:p w:rsidR="009D4CE3" w:rsidRDefault="009D4CE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רימת נזק חמור, בגוף או בנפש, לאנשים הנמנים עם הקיבוץ;</w:t>
      </w:r>
    </w:p>
    <w:p w:rsidR="009D4CE3" w:rsidRDefault="009D4CE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עמדת הקיבוץ בתנאי-חיים שיש בהם כדי להביא להשמדתו הגופנית, כולו או מקצתו;</w:t>
      </w:r>
    </w:p>
    <w:p w:rsidR="009D4CE3" w:rsidRDefault="009D4CE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ביעת אמצעים שכוונתם למנוע את הילודה בקיבוץ;</w:t>
      </w:r>
    </w:p>
    <w:p w:rsidR="009D4CE3" w:rsidRDefault="009D4CE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>ת ילדי הקיבוץ לקיבוץ אחר בדרך כפייה.</w:t>
      </w:r>
    </w:p>
    <w:p w:rsidR="009D4CE3" w:rsidRDefault="009D4CE3" w:rsidP="003616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סעיף קטן (א), "ילד" פירושו </w:t>
      </w:r>
      <w:r w:rsidR="00361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שלא מלאו לו שמונה עשרה שנה.</w:t>
      </w:r>
    </w:p>
    <w:p w:rsidR="009D4CE3" w:rsidRDefault="009D4CE3" w:rsidP="003616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9D4CE3" w:rsidRDefault="009D4CE3" w:rsidP="0036161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 על</w:t>
                  </w:r>
                  <w:r w:rsidR="0036161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מדת עם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 xml:space="preserve">שם בהשמדת עם, דינו </w:t>
      </w:r>
      <w:r w:rsidR="00361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מיתה; אך אם עשה את המעשה, המהווה את העבירה, בנסיבות אשר, אלמלא סעיף 6, היו פוטרות אותו מאחריות פלילית או היו משמשות עילה למ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 xml:space="preserve">לת העבירה, והוא עשה כמיטב יכלתו כדי להקל את חומרת התוצאות שנגרמו על ידי המעשה, יהיה דינו </w:t>
      </w:r>
      <w:r w:rsidR="00361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לתקופה של לא פחות מעשר שנים.</w:t>
      </w:r>
    </w:p>
    <w:p w:rsidR="009D4CE3" w:rsidRDefault="009D4C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30.55pt;z-index:251655168" o:allowincell="f" filled="f" stroked="f" strokecolor="lime" strokeweight=".25pt">
            <v:textbox inset="0,0,0,0">
              <w:txbxContent>
                <w:p w:rsidR="009D4CE3" w:rsidRDefault="009D4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ר, הסתה ונסיון להשמדת עם, והשתת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אשם באחד המעשים המפורטים להלן, דינו כדין האשם בהשמדת עם. ואלה המעשים:</w:t>
      </w:r>
    </w:p>
    <w:p w:rsidR="009D4CE3" w:rsidRDefault="009D4CE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שר לבצע השמדת עם;</w:t>
      </w:r>
    </w:p>
    <w:p w:rsidR="009D4CE3" w:rsidRDefault="009D4CE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סתה לבצע השמדת עם;</w:t>
      </w:r>
    </w:p>
    <w:p w:rsidR="009D4CE3" w:rsidRDefault="009D4CE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סיון לבצע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השמדת עם;</w:t>
      </w:r>
    </w:p>
    <w:p w:rsidR="009D4CE3" w:rsidRDefault="009D4CE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שתתפות בהשמדת עם.</w:t>
      </w:r>
    </w:p>
    <w:p w:rsidR="009D4CE3" w:rsidRDefault="009D4C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מונחים "קשר</w:t>
      </w:r>
      <w:r>
        <w:rPr>
          <w:rStyle w:val="default"/>
          <w:rFonts w:cs="FrankRuehl"/>
          <w:rtl/>
        </w:rPr>
        <w:t>", "ה</w:t>
      </w:r>
      <w:r>
        <w:rPr>
          <w:rStyle w:val="default"/>
          <w:rFonts w:cs="FrankRuehl" w:hint="cs"/>
          <w:rtl/>
        </w:rPr>
        <w:t>סתה" ו"נסיון" שבסעיף קטן (א), יש לפרשם מתוך סמוכין להוראות פקודת החוק הפלילי, 1936.</w:t>
      </w:r>
    </w:p>
    <w:p w:rsidR="009D4CE3" w:rsidRDefault="009D4C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צורך סעיף קטן (א)(4), רואים אדם כמשתתף בהשמדת עם, אם רואים אותו כך על פי סעיף 23(1)(ב), (ג) או (ד) לפקודת החוק הפלילי, 1936.</w:t>
      </w:r>
    </w:p>
    <w:p w:rsidR="009D4CE3" w:rsidRDefault="009D4C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7.65pt;z-index:251656192" o:allowincell="f" filled="f" stroked="f" strokecolor="lime" strokeweight=".25pt">
            <v:textbox inset="0,0,0,0">
              <w:txbxContent>
                <w:p w:rsidR="009D4CE3" w:rsidRDefault="009D4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ריות על השמדת עם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הא</w:t>
      </w:r>
      <w:r>
        <w:rPr>
          <w:rStyle w:val="default"/>
          <w:rFonts w:cs="FrankRuehl" w:hint="cs"/>
          <w:rtl/>
        </w:rPr>
        <w:t>שם בעבירה לפי חוק זה יבוא על ע</w:t>
      </w:r>
      <w:r>
        <w:rPr>
          <w:rStyle w:val="default"/>
          <w:rFonts w:cs="FrankRuehl"/>
          <w:rtl/>
        </w:rPr>
        <w:t>נש</w:t>
      </w:r>
      <w:r>
        <w:rPr>
          <w:rStyle w:val="default"/>
          <w:rFonts w:cs="FrankRuehl" w:hint="cs"/>
          <w:rtl/>
        </w:rPr>
        <w:t>ו, בין שהוא מושל הנושא באחריות מכוח החוק, בין שהוא חבר של מוסד מחוקק, בין שהוא פקיד ציבור ובין שהוא אדם פרטי.</w:t>
      </w:r>
    </w:p>
    <w:p w:rsidR="009D4CE3" w:rsidRDefault="009D4C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2.7pt;z-index:251657216" o:allowincell="f" filled="f" stroked="f" strokecolor="lime" strokeweight=".25pt">
            <v:textbox inset="0,0,0,0">
              <w:txbxContent>
                <w:p w:rsidR="009D4CE3" w:rsidRDefault="009D4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הפשע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שעשה מחוץ לישראל מעשה שהוא עבירה לפי חוק זה, אפשר להביאו לדין ולהענישו בישראל, כאילו עשה את המעשה בישראל.</w:t>
      </w:r>
    </w:p>
    <w:p w:rsidR="009D4CE3" w:rsidRDefault="009D4C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24.6pt;z-index:251658240" o:allowincell="f" filled="f" stroked="f" strokecolor="lime" strokeweight=".25pt">
            <v:textbox inset="0,0,0,0">
              <w:txbxContent>
                <w:p w:rsidR="009D4CE3" w:rsidRDefault="009D4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 משפ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י, הכרח, צורך וצידוק אינם הגנה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הסעיפים 16, 17, 18 ו</w:t>
      </w:r>
      <w:r>
        <w:rPr>
          <w:rStyle w:val="default"/>
          <w:rFonts w:cs="FrankRuehl"/>
          <w:rtl/>
        </w:rPr>
        <w:t>-19 ל</w:t>
      </w:r>
      <w:r>
        <w:rPr>
          <w:rStyle w:val="default"/>
          <w:rFonts w:cs="FrankRuehl" w:hint="cs"/>
          <w:rtl/>
        </w:rPr>
        <w:t>פקודת החוק הפלילי, 1936, לא יחולו לגבי עבירות לפי חוק זה.</w:t>
      </w:r>
    </w:p>
    <w:p w:rsidR="009D4CE3" w:rsidRDefault="009D4C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9.65pt;z-index:251659264" o:allowincell="f" filled="f" stroked="f" strokecolor="lime" strokeweight=".25pt">
            <v:textbox inset="0,0,0,0">
              <w:txbxContent>
                <w:p w:rsidR="009D4CE3" w:rsidRDefault="009D4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החוק הפלילי הכללי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החלק הראשון של פקודת החוק הפלילי, יחולו לגבי עבירות לפי חוק זה, במידה שאין בחוק זה הוראה אחרת.</w:t>
      </w:r>
    </w:p>
    <w:p w:rsidR="009D4CE3" w:rsidRDefault="009D4C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4.75pt;z-index:251660288" o:allowincell="f" filled="f" stroked="f" strokecolor="lime" strokeweight=".25pt">
            <v:textbox inset="0,0,0,0">
              <w:txbxContent>
                <w:p w:rsidR="009D4CE3" w:rsidRDefault="009D4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בכל חוק אחר, בדיון בדבר הסגרתו של אדם שנאשם, או שנתחייב בדין, על השמדת </w:t>
      </w:r>
      <w:r>
        <w:rPr>
          <w:rStyle w:val="default"/>
          <w:rFonts w:cs="FrankRuehl"/>
          <w:rtl/>
        </w:rPr>
        <w:t>עם</w:t>
      </w:r>
      <w:r>
        <w:rPr>
          <w:rStyle w:val="default"/>
          <w:rFonts w:cs="FrankRuehl" w:hint="cs"/>
          <w:rtl/>
        </w:rPr>
        <w:t xml:space="preserve"> או על אחד המעשים המפורטים בסעיף 3(א), אין נזקקים לטענה שהעבירה שעליה הוא נאשם או נתחייב בדין היא עבירה בעלת אופי פוליטי.</w:t>
      </w:r>
    </w:p>
    <w:p w:rsidR="009D4CE3" w:rsidRDefault="009D4C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3.5pt;z-index:251661312" o:allowincell="f" filled="f" stroked="f" strokecolor="lime" strokeweight=".25pt">
            <v:textbox inset="0,0,0,0">
              <w:txbxContent>
                <w:p w:rsidR="009D4CE3" w:rsidRDefault="009D4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 ממונה על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צוע חוק זה.</w:t>
      </w:r>
    </w:p>
    <w:p w:rsidR="009D4CE3" w:rsidRDefault="009D4CE3" w:rsidP="0036161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lastRenderedPageBreak/>
        <w:pict>
          <v:rect id="_x0000_s1035" style="position:absolute;left:0;text-align:left;margin-left:464.5pt;margin-top:8.05pt;width:75.05pt;height:10.35pt;z-index:251662336" o:allowincell="f" filled="f" stroked="f" strokecolor="lime" strokeweight=".25pt">
            <v:textbox inset="0,0,0,0">
              <w:txbxContent>
                <w:p w:rsidR="009D4CE3" w:rsidRDefault="009D4CE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 xml:space="preserve">ק זה </w:t>
      </w:r>
      <w:r w:rsidR="00361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הבא בעקבות האמנה בדבר מניעתו וענישתו של הפשע השמדת עם, שנתקבלה על ידי עצרת האומו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המאוחדות ביום ז' בכסלו תש"ט (9 בדצמבר 1948), נחתמה מטעם מדינת ישראל, ובהתאם להחלטת הכנסת נתאשרה על ידי מדינת-ישראל, </w:t>
      </w:r>
      <w:r w:rsidR="0036161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ייכנס לתקפו ביום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רסומו ברשומות, ויעמוד בתקפו, בין שהאמנה תיכנס לתקפה או תעמוד בתקפה ובין אם לאו.</w:t>
      </w:r>
    </w:p>
    <w:p w:rsidR="009D4CE3" w:rsidRDefault="009D4CE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6161A" w:rsidRDefault="003616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6161A" w:rsidRPr="0036161A" w:rsidRDefault="0036161A" w:rsidP="0036161A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36161A">
        <w:rPr>
          <w:rFonts w:cs="FrankRuehl"/>
          <w:sz w:val="26"/>
          <w:szCs w:val="26"/>
          <w:rtl/>
        </w:rPr>
        <w:tab/>
      </w:r>
      <w:r w:rsidRPr="0036161A">
        <w:rPr>
          <w:rFonts w:cs="FrankRuehl"/>
          <w:sz w:val="26"/>
          <w:szCs w:val="26"/>
          <w:rtl/>
        </w:rPr>
        <w:tab/>
        <w:t>ד</w:t>
      </w:r>
      <w:r w:rsidRPr="0036161A">
        <w:rPr>
          <w:rFonts w:cs="FrankRuehl" w:hint="cs"/>
          <w:sz w:val="26"/>
          <w:szCs w:val="26"/>
          <w:rtl/>
        </w:rPr>
        <w:t>וד בן-גוריון</w:t>
      </w:r>
      <w:r w:rsidRPr="0036161A">
        <w:rPr>
          <w:rFonts w:cs="FrankRuehl"/>
          <w:sz w:val="26"/>
          <w:szCs w:val="26"/>
          <w:rtl/>
        </w:rPr>
        <w:tab/>
        <w:t>פ</w:t>
      </w:r>
      <w:r w:rsidRPr="0036161A">
        <w:rPr>
          <w:rFonts w:cs="FrankRuehl" w:hint="cs"/>
          <w:sz w:val="26"/>
          <w:szCs w:val="26"/>
          <w:rtl/>
        </w:rPr>
        <w:t>נחס רוזן</w:t>
      </w:r>
    </w:p>
    <w:p w:rsidR="0036161A" w:rsidRDefault="0036161A" w:rsidP="0036161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9D4CE3" w:rsidRPr="0036161A" w:rsidRDefault="009D4CE3" w:rsidP="0036161A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36161A">
        <w:rPr>
          <w:rFonts w:cs="FrankRuehl"/>
          <w:sz w:val="26"/>
          <w:szCs w:val="26"/>
          <w:rtl/>
        </w:rPr>
        <w:tab/>
        <w:t>ח</w:t>
      </w:r>
      <w:r w:rsidRPr="0036161A">
        <w:rPr>
          <w:rFonts w:cs="FrankRuehl" w:hint="cs"/>
          <w:sz w:val="26"/>
          <w:szCs w:val="26"/>
          <w:rtl/>
        </w:rPr>
        <w:t>יים ווייצמן</w:t>
      </w:r>
    </w:p>
    <w:p w:rsidR="009D4CE3" w:rsidRDefault="009D4CE3" w:rsidP="0036161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9D4CE3" w:rsidRPr="0036161A" w:rsidRDefault="009D4CE3" w:rsidP="003616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6161A" w:rsidRPr="0036161A" w:rsidRDefault="0036161A" w:rsidP="003616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6161A" w:rsidRPr="0036161A" w:rsidRDefault="0036161A" w:rsidP="0036161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6161A" w:rsidRPr="0036161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68A6" w:rsidRDefault="00CB68A6">
      <w:pPr>
        <w:spacing w:line="240" w:lineRule="auto"/>
      </w:pPr>
      <w:r>
        <w:separator/>
      </w:r>
    </w:p>
  </w:endnote>
  <w:endnote w:type="continuationSeparator" w:id="0">
    <w:p w:rsidR="00CB68A6" w:rsidRDefault="00CB6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CE3" w:rsidRDefault="009D4C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D4CE3" w:rsidRDefault="009D4C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D4CE3" w:rsidRDefault="009D4C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161A">
      <w:rPr>
        <w:rFonts w:cs="TopType Jerushalmi"/>
        <w:noProof/>
        <w:color w:val="000000"/>
        <w:sz w:val="14"/>
        <w:szCs w:val="14"/>
      </w:rPr>
      <w:t>D:\Yael\hakika\Revadim</w:t>
    </w:r>
    <w:r w:rsidR="0036161A">
      <w:rPr>
        <w:rFonts w:cs="TopType Jerushalmi"/>
        <w:noProof/>
        <w:color w:val="000000"/>
        <w:sz w:val="14"/>
        <w:szCs w:val="14"/>
        <w:rtl/>
      </w:rPr>
      <w:t>\קישורים1907\249_001.</w:t>
    </w:r>
    <w:r w:rsidR="0036161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CE3" w:rsidRDefault="009D4CE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B36B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D4CE3" w:rsidRDefault="009D4CE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D4CE3" w:rsidRDefault="009D4CE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161A">
      <w:rPr>
        <w:rFonts w:cs="TopType Jerushalmi"/>
        <w:noProof/>
        <w:color w:val="000000"/>
        <w:sz w:val="14"/>
        <w:szCs w:val="14"/>
      </w:rPr>
      <w:t>D:\Yael\hakika\Revadim</w:t>
    </w:r>
    <w:r w:rsidR="0036161A">
      <w:rPr>
        <w:rFonts w:cs="TopType Jerushalmi"/>
        <w:noProof/>
        <w:color w:val="000000"/>
        <w:sz w:val="14"/>
        <w:szCs w:val="14"/>
        <w:rtl/>
      </w:rPr>
      <w:t>\קישורים1907\249_001.</w:t>
    </w:r>
    <w:r w:rsidR="0036161A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68A6" w:rsidRDefault="00CB68A6" w:rsidP="0036161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B68A6" w:rsidRDefault="00CB68A6">
      <w:pPr>
        <w:spacing w:line="240" w:lineRule="auto"/>
      </w:pPr>
      <w:r>
        <w:continuationSeparator/>
      </w:r>
    </w:p>
  </w:footnote>
  <w:footnote w:id="1">
    <w:p w:rsidR="0036161A" w:rsidRDefault="0036161A" w:rsidP="003616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36161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B1B36">
          <w:rPr>
            <w:rStyle w:val="Hyperlink"/>
            <w:rFonts w:cs="FrankRuehl" w:hint="cs"/>
            <w:rtl/>
          </w:rPr>
          <w:t>ס"ח תש"י מס' 42</w:t>
        </w:r>
      </w:hyperlink>
      <w:r>
        <w:rPr>
          <w:rFonts w:cs="FrankRuehl" w:hint="cs"/>
          <w:rtl/>
        </w:rPr>
        <w:t xml:space="preserve"> מיום 7.4.1950 עמ' 137 (</w:t>
      </w:r>
      <w:hyperlink r:id="rId2" w:history="1">
        <w:r w:rsidRPr="0036161A">
          <w:rPr>
            <w:rStyle w:val="Hyperlink"/>
            <w:rFonts w:cs="FrankRuehl" w:hint="cs"/>
            <w:rtl/>
          </w:rPr>
          <w:t>ה"ח תש"י מס' 27</w:t>
        </w:r>
      </w:hyperlink>
      <w:r>
        <w:rPr>
          <w:rFonts w:cs="FrankRuehl" w:hint="cs"/>
          <w:rtl/>
        </w:rPr>
        <w:t xml:space="preserve"> עמ' 37).</w:t>
      </w:r>
    </w:p>
    <w:p w:rsidR="0036161A" w:rsidRPr="0036161A" w:rsidRDefault="0036161A" w:rsidP="003616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/>
          <w:rtl/>
        </w:rPr>
        <w:t>לפ</w:t>
      </w:r>
      <w:r>
        <w:rPr>
          <w:rFonts w:cs="FrankRuehl" w:hint="cs"/>
          <w:rtl/>
        </w:rPr>
        <w:t>י חוק ביטול התישנות בפשעים נגד האנושות, תשכ"ו-</w:t>
      </w:r>
      <w:r>
        <w:rPr>
          <w:rFonts w:cs="FrankRuehl"/>
          <w:rtl/>
        </w:rPr>
        <w:t xml:space="preserve">1966, </w:t>
      </w:r>
      <w:r>
        <w:rPr>
          <w:rFonts w:cs="FrankRuehl" w:hint="cs"/>
          <w:rtl/>
        </w:rPr>
        <w:t>אין התישנות לגבי עבירות לפי חוק זה.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CE3" w:rsidRDefault="009D4CE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בדבר מניעתו וענישתו של הפשע השמדת עם, תש"י–1950</w:t>
    </w:r>
  </w:p>
  <w:p w:rsidR="009D4CE3" w:rsidRDefault="009D4C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D4CE3" w:rsidRDefault="009D4C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CE3" w:rsidRDefault="009D4CE3" w:rsidP="0036161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בדבר מניעתו וענישתו של הפשע השמדת עם, תש"י</w:t>
    </w:r>
    <w:r w:rsidR="0036161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1950</w:t>
    </w:r>
  </w:p>
  <w:p w:rsidR="009D4CE3" w:rsidRDefault="009D4C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D4CE3" w:rsidRDefault="009D4CE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1B36"/>
    <w:rsid w:val="0036161A"/>
    <w:rsid w:val="004F52BE"/>
    <w:rsid w:val="00746E40"/>
    <w:rsid w:val="009D4CE3"/>
    <w:rsid w:val="00AB36B2"/>
    <w:rsid w:val="00CB68A6"/>
    <w:rsid w:val="00E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5D6D1B2-4C26-46FB-82E4-CEFFBB36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36161A"/>
    <w:rPr>
      <w:sz w:val="20"/>
      <w:szCs w:val="20"/>
    </w:rPr>
  </w:style>
  <w:style w:type="character" w:styleId="a6">
    <w:name w:val="footnote reference"/>
    <w:basedOn w:val="a0"/>
    <w:semiHidden/>
    <w:rsid w:val="003616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027.pdf" TargetMode="External"/><Relationship Id="rId1" Type="http://schemas.openxmlformats.org/officeDocument/2006/relationships/hyperlink" Target="http://www.nevo.co.il/Law_word/law14/LAW-004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249</vt:lpstr>
    </vt:vector>
  </TitlesOfParts>
  <Company/>
  <LinksUpToDate>false</LinksUpToDate>
  <CharactersWithSpaces>3475</CharactersWithSpaces>
  <SharedDoc>false</SharedDoc>
  <HLinks>
    <vt:vector size="72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917631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http://www.nevo.co.il/Law_word/law17/PROP-0027.pdf</vt:lpwstr>
      </vt:variant>
      <vt:variant>
        <vt:lpwstr/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http://www.nevo.co.il/Law_word/law14/LAW-0042.pdf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249</dc:title>
  <dc:subject/>
  <dc:creator>Shimon Doodkin</dc:creator>
  <cp:keywords/>
  <dc:description/>
  <cp:lastModifiedBy>Shimon Doodkin</cp:lastModifiedBy>
  <cp:revision>2</cp:revision>
  <dcterms:created xsi:type="dcterms:W3CDTF">2023-06-05T18:57:00Z</dcterms:created>
  <dcterms:modified xsi:type="dcterms:W3CDTF">2023-06-05T18:57:00Z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0249</vt:lpwstr>
  </property>
  <property fmtid="{D5CDD505-2E9C-101B-9397-08002B2CF9AE}" pid="3" name="CHNAME">
    <vt:lpwstr>מניעתו וענישתו של הפשע השמדת עם</vt:lpwstr>
  </property>
  <property fmtid="{D5CDD505-2E9C-101B-9397-08002B2CF9AE}" pid="4" name="LAWNAME">
    <vt:lpwstr>חוק בדבר מניעתו וענישתו של הפשע השמדת עם, תש"י-1950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עבירות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