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46C1" w14:textId="77777777" w:rsidR="002F2C68" w:rsidRDefault="002F2C68">
      <w:pPr>
        <w:pStyle w:val="big-header"/>
        <w:ind w:left="0" w:right="1134"/>
      </w:pPr>
      <w:r>
        <w:rPr>
          <w:rFonts w:hint="cs"/>
          <w:rtl/>
        </w:rPr>
        <w:t>חוק בתי יד לבנים, תשס"ז-2007</w:t>
      </w:r>
    </w:p>
    <w:p w14:paraId="2AEB3587" w14:textId="77777777" w:rsidR="00BC7CB5" w:rsidRDefault="00BC7CB5" w:rsidP="00BC7CB5">
      <w:pPr>
        <w:spacing w:line="320" w:lineRule="auto"/>
        <w:jc w:val="left"/>
        <w:rPr>
          <w:rtl/>
        </w:rPr>
      </w:pPr>
    </w:p>
    <w:p w14:paraId="1C714699" w14:textId="77777777" w:rsidR="00BC7CB5" w:rsidRDefault="00BC7CB5" w:rsidP="00BC7CB5">
      <w:pPr>
        <w:spacing w:line="320" w:lineRule="auto"/>
        <w:jc w:val="left"/>
        <w:rPr>
          <w:rFonts w:cs="FrankRuehl"/>
          <w:szCs w:val="26"/>
          <w:rtl/>
        </w:rPr>
      </w:pPr>
      <w:r w:rsidRPr="00BC7CB5">
        <w:rPr>
          <w:rFonts w:cs="Miriam"/>
          <w:szCs w:val="22"/>
          <w:rtl/>
        </w:rPr>
        <w:t>רשויות ומשפט מנהלי</w:t>
      </w:r>
      <w:r w:rsidRPr="00BC7CB5">
        <w:rPr>
          <w:rFonts w:cs="FrankRuehl"/>
          <w:szCs w:val="26"/>
          <w:rtl/>
        </w:rPr>
        <w:t xml:space="preserve"> – תרבות, פנאי ומועדים – מוסדות  – הנצחה</w:t>
      </w:r>
    </w:p>
    <w:p w14:paraId="40AE2B28" w14:textId="77777777" w:rsidR="00BC7CB5" w:rsidRPr="00BC7CB5" w:rsidRDefault="00BC7CB5" w:rsidP="00BC7CB5">
      <w:pPr>
        <w:spacing w:line="320" w:lineRule="auto"/>
        <w:jc w:val="left"/>
        <w:rPr>
          <w:rFonts w:cs="Miriam"/>
          <w:szCs w:val="22"/>
          <w:rtl/>
        </w:rPr>
      </w:pPr>
      <w:r w:rsidRPr="00BC7CB5">
        <w:rPr>
          <w:rFonts w:cs="Miriam"/>
          <w:szCs w:val="22"/>
          <w:rtl/>
        </w:rPr>
        <w:t>רשויות ומשפט מנהלי</w:t>
      </w:r>
      <w:r w:rsidRPr="00BC7CB5">
        <w:rPr>
          <w:rFonts w:cs="FrankRuehl"/>
          <w:szCs w:val="26"/>
          <w:rtl/>
        </w:rPr>
        <w:t xml:space="preserve"> – תרבות, פנאי ומועדים – הנצחה</w:t>
      </w:r>
    </w:p>
    <w:p w14:paraId="74BA739F" w14:textId="77777777" w:rsidR="002F2C68" w:rsidRDefault="002F2C68">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F2C68" w14:paraId="7B3F2AB4" w14:textId="77777777">
        <w:tblPrEx>
          <w:tblCellMar>
            <w:top w:w="0" w:type="dxa"/>
            <w:bottom w:w="0" w:type="dxa"/>
          </w:tblCellMar>
        </w:tblPrEx>
        <w:trPr>
          <w:jc w:val="right"/>
        </w:trPr>
        <w:tc>
          <w:tcPr>
            <w:tcW w:w="850" w:type="dxa"/>
          </w:tcPr>
          <w:p w14:paraId="2FF28FA7"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77DBAEF" w14:textId="77777777" w:rsidR="002F2C68" w:rsidRDefault="002F2C68">
            <w:pPr>
              <w:spacing w:line="240" w:lineRule="auto"/>
              <w:jc w:val="left"/>
              <w:rPr>
                <w:rFonts w:cs="Frankruhel" w:hint="cs"/>
                <w:sz w:val="24"/>
              </w:rPr>
            </w:pPr>
            <w:hyperlink w:anchor="Seif0" w:tooltip="מטרה" w:history="1">
              <w:r>
                <w:rPr>
                  <w:rStyle w:val="Hyperlink"/>
                </w:rPr>
                <w:t>Go</w:t>
              </w:r>
            </w:hyperlink>
          </w:p>
        </w:tc>
        <w:tc>
          <w:tcPr>
            <w:tcW w:w="5669" w:type="dxa"/>
          </w:tcPr>
          <w:p w14:paraId="7D791E50" w14:textId="77777777" w:rsidR="002F2C68" w:rsidRDefault="002F2C68">
            <w:pPr>
              <w:spacing w:line="240" w:lineRule="auto"/>
              <w:jc w:val="left"/>
              <w:rPr>
                <w:rFonts w:cs="Frankruhel"/>
                <w:sz w:val="24"/>
                <w:rtl/>
              </w:rPr>
            </w:pPr>
            <w:r>
              <w:rPr>
                <w:rFonts w:cs="Frankruhel"/>
                <w:sz w:val="24"/>
                <w:rtl/>
              </w:rPr>
              <w:t>מטרה</w:t>
            </w:r>
          </w:p>
        </w:tc>
        <w:tc>
          <w:tcPr>
            <w:tcW w:w="1247" w:type="dxa"/>
          </w:tcPr>
          <w:p w14:paraId="2A8CEBCF" w14:textId="77777777" w:rsidR="002F2C68" w:rsidRDefault="002F2C68">
            <w:pPr>
              <w:spacing w:line="240" w:lineRule="auto"/>
              <w:jc w:val="left"/>
              <w:rPr>
                <w:rFonts w:cs="Frankruhel" w:hint="cs"/>
                <w:sz w:val="24"/>
              </w:rPr>
            </w:pPr>
            <w:r>
              <w:rPr>
                <w:rFonts w:cs="Frankruhel"/>
                <w:sz w:val="24"/>
                <w:rtl/>
              </w:rPr>
              <w:t xml:space="preserve">סעיף 1 </w:t>
            </w:r>
          </w:p>
        </w:tc>
      </w:tr>
      <w:tr w:rsidR="002F2C68" w14:paraId="26344E7A" w14:textId="77777777">
        <w:tblPrEx>
          <w:tblCellMar>
            <w:top w:w="0" w:type="dxa"/>
            <w:bottom w:w="0" w:type="dxa"/>
          </w:tblCellMar>
        </w:tblPrEx>
        <w:trPr>
          <w:jc w:val="right"/>
        </w:trPr>
        <w:tc>
          <w:tcPr>
            <w:tcW w:w="850" w:type="dxa"/>
          </w:tcPr>
          <w:p w14:paraId="415638AC"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3C8ECF0" w14:textId="77777777" w:rsidR="002F2C68" w:rsidRDefault="002F2C68">
            <w:pPr>
              <w:spacing w:line="240" w:lineRule="auto"/>
              <w:jc w:val="left"/>
              <w:rPr>
                <w:rFonts w:cs="Frankruhel" w:hint="cs"/>
                <w:sz w:val="24"/>
              </w:rPr>
            </w:pPr>
            <w:hyperlink w:anchor="Seif1" w:tooltip="הקמת בית יד לבנים מקומי והפעילויות בו" w:history="1">
              <w:r>
                <w:rPr>
                  <w:rStyle w:val="Hyperlink"/>
                </w:rPr>
                <w:t>Go</w:t>
              </w:r>
            </w:hyperlink>
          </w:p>
        </w:tc>
        <w:tc>
          <w:tcPr>
            <w:tcW w:w="5669" w:type="dxa"/>
          </w:tcPr>
          <w:p w14:paraId="6E366D7B" w14:textId="77777777" w:rsidR="002F2C68" w:rsidRDefault="002F2C68">
            <w:pPr>
              <w:spacing w:line="240" w:lineRule="auto"/>
              <w:jc w:val="left"/>
              <w:rPr>
                <w:rFonts w:cs="Frankruhel"/>
                <w:sz w:val="24"/>
                <w:rtl/>
              </w:rPr>
            </w:pPr>
            <w:r>
              <w:rPr>
                <w:rFonts w:cs="Frankruhel"/>
                <w:sz w:val="24"/>
                <w:rtl/>
              </w:rPr>
              <w:t>הקמת בית יד לבנים מקומי והפעילויות בו</w:t>
            </w:r>
          </w:p>
        </w:tc>
        <w:tc>
          <w:tcPr>
            <w:tcW w:w="1247" w:type="dxa"/>
          </w:tcPr>
          <w:p w14:paraId="3912EDA9" w14:textId="77777777" w:rsidR="002F2C68" w:rsidRDefault="002F2C68">
            <w:pPr>
              <w:spacing w:line="240" w:lineRule="auto"/>
              <w:jc w:val="left"/>
              <w:rPr>
                <w:rFonts w:cs="Frankruhel" w:hint="cs"/>
                <w:sz w:val="24"/>
              </w:rPr>
            </w:pPr>
            <w:r>
              <w:rPr>
                <w:rFonts w:cs="Frankruhel"/>
                <w:sz w:val="24"/>
                <w:rtl/>
              </w:rPr>
              <w:t xml:space="preserve">סעיף 2 </w:t>
            </w:r>
          </w:p>
        </w:tc>
      </w:tr>
      <w:tr w:rsidR="002F2C68" w14:paraId="340DCA43" w14:textId="77777777">
        <w:tblPrEx>
          <w:tblCellMar>
            <w:top w:w="0" w:type="dxa"/>
            <w:bottom w:w="0" w:type="dxa"/>
          </w:tblCellMar>
        </w:tblPrEx>
        <w:trPr>
          <w:jc w:val="right"/>
        </w:trPr>
        <w:tc>
          <w:tcPr>
            <w:tcW w:w="850" w:type="dxa"/>
          </w:tcPr>
          <w:p w14:paraId="3FB36F3E"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1BF7DF4" w14:textId="77777777" w:rsidR="002F2C68" w:rsidRDefault="002F2C68">
            <w:pPr>
              <w:spacing w:line="240" w:lineRule="auto"/>
              <w:jc w:val="left"/>
              <w:rPr>
                <w:rFonts w:cs="Frankruhel" w:hint="cs"/>
                <w:sz w:val="24"/>
              </w:rPr>
            </w:pPr>
            <w:hyperlink w:anchor="Seif2" w:tooltip="הוועד המנהל" w:history="1">
              <w:r>
                <w:rPr>
                  <w:rStyle w:val="Hyperlink"/>
                </w:rPr>
                <w:t>Go</w:t>
              </w:r>
            </w:hyperlink>
          </w:p>
        </w:tc>
        <w:tc>
          <w:tcPr>
            <w:tcW w:w="5669" w:type="dxa"/>
          </w:tcPr>
          <w:p w14:paraId="0A4FF114" w14:textId="77777777" w:rsidR="002F2C68" w:rsidRDefault="002F2C68">
            <w:pPr>
              <w:spacing w:line="240" w:lineRule="auto"/>
              <w:jc w:val="left"/>
              <w:rPr>
                <w:rFonts w:cs="Frankruhel"/>
                <w:sz w:val="24"/>
                <w:rtl/>
              </w:rPr>
            </w:pPr>
            <w:r>
              <w:rPr>
                <w:rFonts w:cs="Frankruhel"/>
                <w:sz w:val="24"/>
                <w:rtl/>
              </w:rPr>
              <w:t>הוועד המנהל</w:t>
            </w:r>
          </w:p>
        </w:tc>
        <w:tc>
          <w:tcPr>
            <w:tcW w:w="1247" w:type="dxa"/>
          </w:tcPr>
          <w:p w14:paraId="37E05446" w14:textId="77777777" w:rsidR="002F2C68" w:rsidRDefault="002F2C68">
            <w:pPr>
              <w:spacing w:line="240" w:lineRule="auto"/>
              <w:jc w:val="left"/>
              <w:rPr>
                <w:rFonts w:cs="Frankruhel" w:hint="cs"/>
                <w:sz w:val="24"/>
              </w:rPr>
            </w:pPr>
            <w:r>
              <w:rPr>
                <w:rFonts w:cs="Frankruhel"/>
                <w:sz w:val="24"/>
                <w:rtl/>
              </w:rPr>
              <w:t xml:space="preserve">סעיף 3 </w:t>
            </w:r>
          </w:p>
        </w:tc>
      </w:tr>
      <w:tr w:rsidR="002F2C68" w14:paraId="166F4C20" w14:textId="77777777">
        <w:tblPrEx>
          <w:tblCellMar>
            <w:top w:w="0" w:type="dxa"/>
            <w:bottom w:w="0" w:type="dxa"/>
          </w:tblCellMar>
        </w:tblPrEx>
        <w:trPr>
          <w:jc w:val="right"/>
        </w:trPr>
        <w:tc>
          <w:tcPr>
            <w:tcW w:w="850" w:type="dxa"/>
          </w:tcPr>
          <w:p w14:paraId="10153519"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8A2C1DF" w14:textId="77777777" w:rsidR="002F2C68" w:rsidRDefault="002F2C68">
            <w:pPr>
              <w:spacing w:line="240" w:lineRule="auto"/>
              <w:jc w:val="left"/>
              <w:rPr>
                <w:rFonts w:cs="Frankruhel" w:hint="cs"/>
                <w:sz w:val="24"/>
              </w:rPr>
            </w:pPr>
            <w:hyperlink w:anchor="Seif3" w:tooltip="ניגוד עניינים" w:history="1">
              <w:r>
                <w:rPr>
                  <w:rStyle w:val="Hyperlink"/>
                </w:rPr>
                <w:t>Go</w:t>
              </w:r>
            </w:hyperlink>
          </w:p>
        </w:tc>
        <w:tc>
          <w:tcPr>
            <w:tcW w:w="5669" w:type="dxa"/>
          </w:tcPr>
          <w:p w14:paraId="36F44DEC" w14:textId="77777777" w:rsidR="002F2C68" w:rsidRDefault="002F2C68">
            <w:pPr>
              <w:spacing w:line="240" w:lineRule="auto"/>
              <w:jc w:val="left"/>
              <w:rPr>
                <w:rFonts w:cs="Frankruhel"/>
                <w:sz w:val="24"/>
                <w:rtl/>
              </w:rPr>
            </w:pPr>
            <w:r>
              <w:rPr>
                <w:rFonts w:cs="Frankruhel"/>
                <w:sz w:val="24"/>
                <w:rtl/>
              </w:rPr>
              <w:t>ניגוד עניינים</w:t>
            </w:r>
          </w:p>
        </w:tc>
        <w:tc>
          <w:tcPr>
            <w:tcW w:w="1247" w:type="dxa"/>
          </w:tcPr>
          <w:p w14:paraId="555E1C44" w14:textId="77777777" w:rsidR="002F2C68" w:rsidRDefault="002F2C68">
            <w:pPr>
              <w:spacing w:line="240" w:lineRule="auto"/>
              <w:jc w:val="left"/>
              <w:rPr>
                <w:rFonts w:cs="Frankruhel" w:hint="cs"/>
                <w:sz w:val="24"/>
              </w:rPr>
            </w:pPr>
            <w:r>
              <w:rPr>
                <w:rFonts w:cs="Frankruhel"/>
                <w:sz w:val="24"/>
                <w:rtl/>
              </w:rPr>
              <w:t xml:space="preserve">סעיף 4 </w:t>
            </w:r>
          </w:p>
        </w:tc>
      </w:tr>
      <w:tr w:rsidR="002F2C68" w14:paraId="1EE4CCBF" w14:textId="77777777">
        <w:tblPrEx>
          <w:tblCellMar>
            <w:top w:w="0" w:type="dxa"/>
            <w:bottom w:w="0" w:type="dxa"/>
          </w:tblCellMar>
        </w:tblPrEx>
        <w:trPr>
          <w:jc w:val="right"/>
        </w:trPr>
        <w:tc>
          <w:tcPr>
            <w:tcW w:w="850" w:type="dxa"/>
          </w:tcPr>
          <w:p w14:paraId="46C81EEC"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6571F86" w14:textId="77777777" w:rsidR="002F2C68" w:rsidRDefault="002F2C68">
            <w:pPr>
              <w:spacing w:line="240" w:lineRule="auto"/>
              <w:jc w:val="left"/>
              <w:rPr>
                <w:rFonts w:cs="Frankruhel" w:hint="cs"/>
                <w:sz w:val="24"/>
              </w:rPr>
            </w:pPr>
            <w:hyperlink w:anchor="Seif4" w:tooltip="תכנית עבודה שנתית" w:history="1">
              <w:r>
                <w:rPr>
                  <w:rStyle w:val="Hyperlink"/>
                </w:rPr>
                <w:t>Go</w:t>
              </w:r>
            </w:hyperlink>
          </w:p>
        </w:tc>
        <w:tc>
          <w:tcPr>
            <w:tcW w:w="5669" w:type="dxa"/>
          </w:tcPr>
          <w:p w14:paraId="57611EB6" w14:textId="77777777" w:rsidR="002F2C68" w:rsidRDefault="002F2C68">
            <w:pPr>
              <w:spacing w:line="240" w:lineRule="auto"/>
              <w:jc w:val="left"/>
              <w:rPr>
                <w:rFonts w:cs="Frankruhel"/>
                <w:sz w:val="24"/>
                <w:rtl/>
              </w:rPr>
            </w:pPr>
            <w:r>
              <w:rPr>
                <w:rFonts w:cs="Frankruhel"/>
                <w:sz w:val="24"/>
                <w:rtl/>
              </w:rPr>
              <w:t>תכנית עבודה שנתית</w:t>
            </w:r>
          </w:p>
        </w:tc>
        <w:tc>
          <w:tcPr>
            <w:tcW w:w="1247" w:type="dxa"/>
          </w:tcPr>
          <w:p w14:paraId="43E40D73" w14:textId="77777777" w:rsidR="002F2C68" w:rsidRDefault="002F2C68">
            <w:pPr>
              <w:spacing w:line="240" w:lineRule="auto"/>
              <w:jc w:val="left"/>
              <w:rPr>
                <w:rFonts w:cs="Frankruhel" w:hint="cs"/>
                <w:sz w:val="24"/>
              </w:rPr>
            </w:pPr>
            <w:r>
              <w:rPr>
                <w:rFonts w:cs="Frankruhel"/>
                <w:sz w:val="24"/>
                <w:rtl/>
              </w:rPr>
              <w:t xml:space="preserve">סעיף 5 </w:t>
            </w:r>
          </w:p>
        </w:tc>
      </w:tr>
      <w:tr w:rsidR="002F2C68" w14:paraId="7A559C7C" w14:textId="77777777">
        <w:tblPrEx>
          <w:tblCellMar>
            <w:top w:w="0" w:type="dxa"/>
            <w:bottom w:w="0" w:type="dxa"/>
          </w:tblCellMar>
        </w:tblPrEx>
        <w:trPr>
          <w:jc w:val="right"/>
        </w:trPr>
        <w:tc>
          <w:tcPr>
            <w:tcW w:w="850" w:type="dxa"/>
          </w:tcPr>
          <w:p w14:paraId="4A8F784E"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D0715A9" w14:textId="77777777" w:rsidR="002F2C68" w:rsidRDefault="002F2C68">
            <w:pPr>
              <w:spacing w:line="240" w:lineRule="auto"/>
              <w:jc w:val="left"/>
              <w:rPr>
                <w:rFonts w:cs="Frankruhel" w:hint="cs"/>
                <w:sz w:val="24"/>
              </w:rPr>
            </w:pPr>
            <w:hyperlink w:anchor="Seif5" w:tooltip="סיוע הרשות המקומית" w:history="1">
              <w:r>
                <w:rPr>
                  <w:rStyle w:val="Hyperlink"/>
                </w:rPr>
                <w:t>Go</w:t>
              </w:r>
            </w:hyperlink>
          </w:p>
        </w:tc>
        <w:tc>
          <w:tcPr>
            <w:tcW w:w="5669" w:type="dxa"/>
          </w:tcPr>
          <w:p w14:paraId="13D6DF9F" w14:textId="77777777" w:rsidR="002F2C68" w:rsidRDefault="002F2C68">
            <w:pPr>
              <w:spacing w:line="240" w:lineRule="auto"/>
              <w:jc w:val="left"/>
              <w:rPr>
                <w:rFonts w:cs="Frankruhel"/>
                <w:sz w:val="24"/>
                <w:rtl/>
              </w:rPr>
            </w:pPr>
            <w:r>
              <w:rPr>
                <w:rFonts w:cs="Frankruhel"/>
                <w:sz w:val="24"/>
                <w:rtl/>
              </w:rPr>
              <w:t>סיוע הרשות המקומית</w:t>
            </w:r>
          </w:p>
        </w:tc>
        <w:tc>
          <w:tcPr>
            <w:tcW w:w="1247" w:type="dxa"/>
          </w:tcPr>
          <w:p w14:paraId="354D878B" w14:textId="77777777" w:rsidR="002F2C68" w:rsidRDefault="002F2C68">
            <w:pPr>
              <w:spacing w:line="240" w:lineRule="auto"/>
              <w:jc w:val="left"/>
              <w:rPr>
                <w:rFonts w:cs="Frankruhel" w:hint="cs"/>
                <w:sz w:val="24"/>
              </w:rPr>
            </w:pPr>
            <w:r>
              <w:rPr>
                <w:rFonts w:cs="Frankruhel"/>
                <w:sz w:val="24"/>
                <w:rtl/>
              </w:rPr>
              <w:t xml:space="preserve">סעיף 6 </w:t>
            </w:r>
          </w:p>
        </w:tc>
      </w:tr>
      <w:tr w:rsidR="002F2C68" w14:paraId="02C962D9" w14:textId="77777777">
        <w:tblPrEx>
          <w:tblCellMar>
            <w:top w:w="0" w:type="dxa"/>
            <w:bottom w:w="0" w:type="dxa"/>
          </w:tblCellMar>
        </w:tblPrEx>
        <w:trPr>
          <w:jc w:val="right"/>
        </w:trPr>
        <w:tc>
          <w:tcPr>
            <w:tcW w:w="850" w:type="dxa"/>
          </w:tcPr>
          <w:p w14:paraId="41613BB4"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A3C4F91" w14:textId="77777777" w:rsidR="002F2C68" w:rsidRDefault="002F2C68">
            <w:pPr>
              <w:spacing w:line="240" w:lineRule="auto"/>
              <w:jc w:val="left"/>
              <w:rPr>
                <w:rFonts w:cs="Frankruhel" w:hint="cs"/>
                <w:sz w:val="24"/>
              </w:rPr>
            </w:pPr>
            <w:hyperlink w:anchor="Seif6" w:tooltip="ביצוע ותקנות" w:history="1">
              <w:r>
                <w:rPr>
                  <w:rStyle w:val="Hyperlink"/>
                </w:rPr>
                <w:t>Go</w:t>
              </w:r>
            </w:hyperlink>
          </w:p>
        </w:tc>
        <w:tc>
          <w:tcPr>
            <w:tcW w:w="5669" w:type="dxa"/>
          </w:tcPr>
          <w:p w14:paraId="06C54C17" w14:textId="77777777" w:rsidR="002F2C68" w:rsidRDefault="002F2C68">
            <w:pPr>
              <w:spacing w:line="240" w:lineRule="auto"/>
              <w:jc w:val="left"/>
              <w:rPr>
                <w:rFonts w:cs="Frankruhel"/>
                <w:sz w:val="24"/>
                <w:rtl/>
              </w:rPr>
            </w:pPr>
            <w:r>
              <w:rPr>
                <w:rFonts w:cs="Frankruhel"/>
                <w:sz w:val="24"/>
                <w:rtl/>
              </w:rPr>
              <w:t>ביצוע ותקנות</w:t>
            </w:r>
          </w:p>
        </w:tc>
        <w:tc>
          <w:tcPr>
            <w:tcW w:w="1247" w:type="dxa"/>
          </w:tcPr>
          <w:p w14:paraId="5A04BCBC" w14:textId="77777777" w:rsidR="002F2C68" w:rsidRDefault="002F2C68">
            <w:pPr>
              <w:spacing w:line="240" w:lineRule="auto"/>
              <w:jc w:val="left"/>
              <w:rPr>
                <w:rFonts w:cs="Frankruhel" w:hint="cs"/>
                <w:sz w:val="24"/>
              </w:rPr>
            </w:pPr>
            <w:r>
              <w:rPr>
                <w:rFonts w:cs="Frankruhel"/>
                <w:sz w:val="24"/>
                <w:rtl/>
              </w:rPr>
              <w:t xml:space="preserve">סעיף 7 </w:t>
            </w:r>
          </w:p>
        </w:tc>
      </w:tr>
      <w:tr w:rsidR="002F2C68" w14:paraId="49790762" w14:textId="77777777">
        <w:tblPrEx>
          <w:tblCellMar>
            <w:top w:w="0" w:type="dxa"/>
            <w:bottom w:w="0" w:type="dxa"/>
          </w:tblCellMar>
        </w:tblPrEx>
        <w:trPr>
          <w:jc w:val="right"/>
        </w:trPr>
        <w:tc>
          <w:tcPr>
            <w:tcW w:w="850" w:type="dxa"/>
          </w:tcPr>
          <w:p w14:paraId="02E1DD8D"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DFD1EFA" w14:textId="77777777" w:rsidR="002F2C68" w:rsidRDefault="002F2C68">
            <w:pPr>
              <w:spacing w:line="240" w:lineRule="auto"/>
              <w:jc w:val="left"/>
              <w:rPr>
                <w:rFonts w:cs="Frankruhel" w:hint="cs"/>
                <w:sz w:val="24"/>
              </w:rPr>
            </w:pPr>
            <w:hyperlink w:anchor="Seif7" w:tooltip="סייג לתחולה" w:history="1">
              <w:r>
                <w:rPr>
                  <w:rStyle w:val="Hyperlink"/>
                </w:rPr>
                <w:t>Go</w:t>
              </w:r>
            </w:hyperlink>
          </w:p>
        </w:tc>
        <w:tc>
          <w:tcPr>
            <w:tcW w:w="5669" w:type="dxa"/>
          </w:tcPr>
          <w:p w14:paraId="629A227F" w14:textId="77777777" w:rsidR="002F2C68" w:rsidRDefault="002F2C68">
            <w:pPr>
              <w:spacing w:line="240" w:lineRule="auto"/>
              <w:jc w:val="left"/>
              <w:rPr>
                <w:rFonts w:cs="Frankruhel"/>
                <w:sz w:val="24"/>
                <w:rtl/>
              </w:rPr>
            </w:pPr>
            <w:r>
              <w:rPr>
                <w:rFonts w:cs="Frankruhel"/>
                <w:sz w:val="24"/>
                <w:rtl/>
              </w:rPr>
              <w:t>סייג לתחולה</w:t>
            </w:r>
          </w:p>
        </w:tc>
        <w:tc>
          <w:tcPr>
            <w:tcW w:w="1247" w:type="dxa"/>
          </w:tcPr>
          <w:p w14:paraId="4E2A57D9" w14:textId="77777777" w:rsidR="002F2C68" w:rsidRDefault="002F2C68">
            <w:pPr>
              <w:spacing w:line="240" w:lineRule="auto"/>
              <w:jc w:val="left"/>
              <w:rPr>
                <w:rFonts w:cs="Frankruhel" w:hint="cs"/>
                <w:sz w:val="24"/>
              </w:rPr>
            </w:pPr>
            <w:r>
              <w:rPr>
                <w:rFonts w:cs="Frankruhel"/>
                <w:sz w:val="24"/>
                <w:rtl/>
              </w:rPr>
              <w:t xml:space="preserve">סעיף 8 </w:t>
            </w:r>
          </w:p>
        </w:tc>
      </w:tr>
      <w:tr w:rsidR="002F2C68" w14:paraId="59B73D44" w14:textId="77777777">
        <w:tblPrEx>
          <w:tblCellMar>
            <w:top w:w="0" w:type="dxa"/>
            <w:bottom w:w="0" w:type="dxa"/>
          </w:tblCellMar>
        </w:tblPrEx>
        <w:trPr>
          <w:jc w:val="right"/>
        </w:trPr>
        <w:tc>
          <w:tcPr>
            <w:tcW w:w="850" w:type="dxa"/>
          </w:tcPr>
          <w:p w14:paraId="431D157D" w14:textId="77777777" w:rsidR="002F2C68" w:rsidRDefault="002F2C68">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DCE42E9" w14:textId="77777777" w:rsidR="002F2C68" w:rsidRDefault="002F2C68">
            <w:pPr>
              <w:spacing w:line="240" w:lineRule="auto"/>
              <w:jc w:val="left"/>
              <w:rPr>
                <w:rFonts w:cs="Frankruhel" w:hint="cs"/>
                <w:sz w:val="24"/>
              </w:rPr>
            </w:pPr>
            <w:hyperlink w:anchor="Seif8" w:tooltip="הוראת מעבר" w:history="1">
              <w:r>
                <w:rPr>
                  <w:rStyle w:val="Hyperlink"/>
                </w:rPr>
                <w:t>Go</w:t>
              </w:r>
            </w:hyperlink>
          </w:p>
        </w:tc>
        <w:tc>
          <w:tcPr>
            <w:tcW w:w="5669" w:type="dxa"/>
          </w:tcPr>
          <w:p w14:paraId="7CE9D110" w14:textId="77777777" w:rsidR="002F2C68" w:rsidRDefault="002F2C68">
            <w:pPr>
              <w:spacing w:line="240" w:lineRule="auto"/>
              <w:jc w:val="left"/>
              <w:rPr>
                <w:rFonts w:cs="Frankruhel"/>
                <w:sz w:val="24"/>
                <w:rtl/>
              </w:rPr>
            </w:pPr>
            <w:r>
              <w:rPr>
                <w:rFonts w:cs="Frankruhel"/>
                <w:sz w:val="24"/>
                <w:rtl/>
              </w:rPr>
              <w:t>הוראת מעבר</w:t>
            </w:r>
          </w:p>
        </w:tc>
        <w:tc>
          <w:tcPr>
            <w:tcW w:w="1247" w:type="dxa"/>
          </w:tcPr>
          <w:p w14:paraId="31064CA6" w14:textId="77777777" w:rsidR="002F2C68" w:rsidRDefault="002F2C68">
            <w:pPr>
              <w:spacing w:line="240" w:lineRule="auto"/>
              <w:jc w:val="left"/>
              <w:rPr>
                <w:rFonts w:cs="Frankruhel" w:hint="cs"/>
                <w:sz w:val="24"/>
              </w:rPr>
            </w:pPr>
            <w:r>
              <w:rPr>
                <w:rFonts w:cs="Frankruhel"/>
                <w:sz w:val="24"/>
                <w:rtl/>
              </w:rPr>
              <w:t xml:space="preserve">סעיף 9 </w:t>
            </w:r>
          </w:p>
        </w:tc>
      </w:tr>
    </w:tbl>
    <w:p w14:paraId="65B6460C" w14:textId="77777777" w:rsidR="002F2C68" w:rsidRDefault="002F2C68">
      <w:pPr>
        <w:pStyle w:val="P00"/>
        <w:spacing w:before="72"/>
        <w:ind w:left="0" w:right="1134"/>
        <w:rPr>
          <w:rFonts w:hint="cs"/>
          <w:rtl/>
        </w:rPr>
      </w:pPr>
    </w:p>
    <w:p w14:paraId="1CAA2D3A" w14:textId="77777777" w:rsidR="002F2C68" w:rsidRDefault="002F2C68" w:rsidP="00BC7CB5">
      <w:pPr>
        <w:pStyle w:val="big-header"/>
        <w:ind w:left="0" w:right="1134"/>
        <w:rPr>
          <w:rStyle w:val="default"/>
          <w:rFonts w:cs="FrankRuehl"/>
          <w:rtl/>
        </w:rPr>
      </w:pPr>
      <w:r>
        <w:rPr>
          <w:rtl/>
        </w:rPr>
        <w:br w:type="page"/>
      </w:r>
      <w:r>
        <w:rPr>
          <w:rFonts w:hint="cs"/>
          <w:rtl/>
        </w:rPr>
        <w:lastRenderedPageBreak/>
        <w:t>חוק בתי יד לבנים, תשס"ז-2007</w:t>
      </w:r>
      <w:r>
        <w:rPr>
          <w:rStyle w:val="default"/>
          <w:sz w:val="22"/>
          <w:szCs w:val="22"/>
          <w:rtl/>
        </w:rPr>
        <w:footnoteReference w:customMarkFollows="1" w:id="1"/>
        <w:t>*</w:t>
      </w:r>
    </w:p>
    <w:p w14:paraId="4795CF01" w14:textId="77777777" w:rsidR="002F2C68" w:rsidRDefault="002F2C68">
      <w:pPr>
        <w:pStyle w:val="P00"/>
        <w:spacing w:before="72"/>
        <w:ind w:left="0" w:right="1134"/>
        <w:rPr>
          <w:rStyle w:val="default"/>
          <w:rFonts w:cs="FrankRuehl" w:hint="cs"/>
          <w:rtl/>
        </w:rPr>
      </w:pPr>
      <w:bookmarkStart w:id="0" w:name="Seif0"/>
      <w:bookmarkEnd w:id="0"/>
      <w:r>
        <w:rPr>
          <w:lang w:val="he-IL"/>
        </w:rPr>
        <w:pict w14:anchorId="2448A059">
          <v:rect id="_x0000_s1026" style="position:absolute;left:0;text-align:left;margin-left:464.5pt;margin-top:8.05pt;width:75.05pt;height:12.4pt;z-index:251653632" o:allowincell="f" filled="f" stroked="f" strokecolor="lime" strokeweight=".25pt">
            <v:textbox style="mso-next-textbox:#_x0000_s1026" inset="0,0,0,0">
              <w:txbxContent>
                <w:p w14:paraId="4F08693D" w14:textId="77777777" w:rsidR="002F2C68" w:rsidRDefault="002F2C68">
                  <w:pPr>
                    <w:spacing w:line="160" w:lineRule="exact"/>
                    <w:jc w:val="left"/>
                    <w:rPr>
                      <w:rFonts w:cs="Miriam" w:hint="cs"/>
                      <w:szCs w:val="18"/>
                      <w:rtl/>
                    </w:rPr>
                  </w:pPr>
                  <w:r>
                    <w:rPr>
                      <w:rFonts w:cs="Miriam" w:hint="cs"/>
                      <w:szCs w:val="18"/>
                      <w:rtl/>
                    </w:rPr>
                    <w:t>מטרה</w:t>
                  </w:r>
                </w:p>
              </w:txbxContent>
            </v:textbox>
            <w10:anchorlock/>
          </v:rect>
        </w:pict>
      </w:r>
      <w:r>
        <w:rPr>
          <w:rStyle w:val="big-number"/>
          <w:rtl/>
        </w:rPr>
        <w:t>1</w:t>
      </w:r>
      <w:r>
        <w:rPr>
          <w:rStyle w:val="default"/>
          <w:rFonts w:cs="FrankRuehl"/>
          <w:rtl/>
        </w:rPr>
        <w:t>.</w:t>
      </w:r>
      <w:r>
        <w:rPr>
          <w:rStyle w:val="default"/>
          <w:rFonts w:cs="FrankRuehl"/>
          <w:rtl/>
        </w:rPr>
        <w:tab/>
        <w:t>מטרתו של חוק זה להסדיר את אופן ניהולם של בתי יד לבנים ברשויות המקומיות כמקומות להנצחת חללי מערכות ישראל וכמרכזים חינוכיים לערכי מורשת קרב, גבורה והתנדבות</w:t>
      </w:r>
      <w:r>
        <w:rPr>
          <w:rStyle w:val="default"/>
          <w:rFonts w:cs="FrankRuehl" w:hint="cs"/>
          <w:rtl/>
        </w:rPr>
        <w:t>.</w:t>
      </w:r>
    </w:p>
    <w:p w14:paraId="59333766" w14:textId="77777777" w:rsidR="002F2C68" w:rsidRDefault="002F2C68">
      <w:pPr>
        <w:pStyle w:val="P00"/>
        <w:spacing w:before="72"/>
        <w:ind w:left="0" w:right="1134"/>
        <w:rPr>
          <w:rStyle w:val="default"/>
          <w:rFonts w:cs="FrankRuehl" w:hint="cs"/>
          <w:rtl/>
        </w:rPr>
      </w:pPr>
      <w:bookmarkStart w:id="1" w:name="Seif1"/>
      <w:bookmarkEnd w:id="1"/>
      <w:r>
        <w:rPr>
          <w:lang w:val="he-IL"/>
        </w:rPr>
        <w:pict w14:anchorId="113C4C5A">
          <v:rect id="_x0000_s1027" style="position:absolute;left:0;text-align:left;margin-left:464.5pt;margin-top:8.05pt;width:75.05pt;height:21.1pt;z-index:251654656" o:allowincell="f" filled="f" stroked="f" strokecolor="lime" strokeweight=".25pt">
            <v:textbox style="mso-next-textbox:#_x0000_s1027" inset="0,0,0,0">
              <w:txbxContent>
                <w:p w14:paraId="4E877810" w14:textId="77777777" w:rsidR="002F2C68" w:rsidRDefault="002F2C68">
                  <w:pPr>
                    <w:spacing w:line="160" w:lineRule="exact"/>
                    <w:jc w:val="left"/>
                    <w:rPr>
                      <w:rFonts w:cs="Miriam" w:hint="cs"/>
                      <w:szCs w:val="18"/>
                      <w:rtl/>
                    </w:rPr>
                  </w:pPr>
                  <w:r>
                    <w:rPr>
                      <w:rFonts w:cs="Miriam" w:hint="cs"/>
                      <w:szCs w:val="18"/>
                      <w:rtl/>
                    </w:rPr>
                    <w:t>הקמת בית יד לבנים מקומי והפעילויות בו</w:t>
                  </w:r>
                </w:p>
              </w:txbxContent>
            </v:textbox>
            <w10:anchorlock/>
          </v:rect>
        </w:pict>
      </w:r>
      <w:r>
        <w:rPr>
          <w:rStyle w:val="big-number"/>
          <w:rtl/>
        </w:rPr>
        <w:t>2</w:t>
      </w:r>
      <w:r>
        <w:rPr>
          <w:rStyle w:val="default"/>
          <w:rFonts w:cs="FrankRuehl"/>
          <w:rtl/>
        </w:rPr>
        <w:t>.</w:t>
      </w:r>
      <w:r>
        <w:rPr>
          <w:rStyle w:val="default"/>
          <w:rFonts w:cs="FrankRuehl"/>
          <w:rtl/>
        </w:rPr>
        <w:tab/>
        <w:t>במסגרת סמכויותיה, רשאית רשות מקומית להקים בתחומה בית יד לבנים (להלן –</w:t>
      </w:r>
      <w:r>
        <w:rPr>
          <w:rStyle w:val="default"/>
          <w:rFonts w:cs="FrankRuehl" w:hint="cs"/>
          <w:rtl/>
        </w:rPr>
        <w:t xml:space="preserve"> </w:t>
      </w:r>
      <w:r>
        <w:rPr>
          <w:rStyle w:val="default"/>
          <w:rFonts w:cs="FrankRuehl"/>
          <w:rtl/>
        </w:rPr>
        <w:t>בית והפעילויות בויד לבנים מקומי), שיתקיימו בו פעילויות אלה:</w:t>
      </w:r>
    </w:p>
    <w:p w14:paraId="1CE11C53" w14:textId="77777777" w:rsidR="002F2C68" w:rsidRDefault="002F2C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הנצחת חללי מערכות ישראל, שימור ותיעוד זכרם;</w:t>
      </w:r>
    </w:p>
    <w:p w14:paraId="03084E95" w14:textId="77777777" w:rsidR="002F2C68" w:rsidRDefault="002F2C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חינוך לערכי מורשת קרב, גבורה והתנדבות בקרב בני הנוער והקהילה;</w:t>
      </w:r>
    </w:p>
    <w:p w14:paraId="70BB66F8" w14:textId="77777777" w:rsidR="002F2C68" w:rsidRDefault="002F2C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פעילות תרבותית הולמת</w:t>
      </w:r>
      <w:r>
        <w:rPr>
          <w:rStyle w:val="default"/>
          <w:rFonts w:cs="FrankRuehl" w:hint="cs"/>
          <w:rtl/>
        </w:rPr>
        <w:t>.</w:t>
      </w:r>
    </w:p>
    <w:p w14:paraId="606A24D1" w14:textId="77777777" w:rsidR="002F2C68" w:rsidRDefault="002F2C68">
      <w:pPr>
        <w:pStyle w:val="P00"/>
        <w:spacing w:before="72"/>
        <w:ind w:left="0" w:right="1134"/>
        <w:rPr>
          <w:rStyle w:val="default"/>
          <w:rFonts w:cs="FrankRuehl" w:hint="cs"/>
          <w:rtl/>
        </w:rPr>
      </w:pPr>
      <w:bookmarkStart w:id="2" w:name="Seif2"/>
      <w:bookmarkEnd w:id="2"/>
      <w:r>
        <w:rPr>
          <w:lang w:val="he-IL"/>
        </w:rPr>
        <w:pict w14:anchorId="5149E040">
          <v:rect id="_x0000_s1273" style="position:absolute;left:0;text-align:left;margin-left:464.5pt;margin-top:8.05pt;width:75.05pt;height:14.55pt;z-index:251655680" o:allowincell="f" filled="f" stroked="f" strokecolor="lime" strokeweight=".25pt">
            <v:textbox style="mso-next-textbox:#_x0000_s1273" inset="0,0,0,0">
              <w:txbxContent>
                <w:p w14:paraId="14203E7B" w14:textId="77777777" w:rsidR="002F2C68" w:rsidRDefault="002F2C68">
                  <w:pPr>
                    <w:spacing w:line="160" w:lineRule="exact"/>
                    <w:jc w:val="left"/>
                    <w:rPr>
                      <w:rFonts w:cs="Miriam" w:hint="cs"/>
                      <w:szCs w:val="18"/>
                      <w:rtl/>
                    </w:rPr>
                  </w:pPr>
                  <w:r>
                    <w:rPr>
                      <w:rFonts w:cs="Miriam" w:hint="cs"/>
                      <w:szCs w:val="18"/>
                      <w:rtl/>
                    </w:rPr>
                    <w:t>הוועד המנהל</w:t>
                  </w:r>
                </w:p>
              </w:txbxContent>
            </v:textbox>
            <w10:anchorlock/>
          </v:rect>
        </w:pict>
      </w:r>
      <w:r>
        <w:rPr>
          <w:rStyle w:val="big-number"/>
          <w:rFonts w:hint="cs"/>
          <w:rtl/>
        </w:rPr>
        <w:t>3</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בית יד לבנים מקומי ינוהל בידי ועד מנהל ואלה חבריו:</w:t>
      </w:r>
    </w:p>
    <w:p w14:paraId="631345E8" w14:textId="77777777" w:rsidR="002F2C68" w:rsidRDefault="002F2C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שלושה עובדי הרשות המקומית, בעלי רקע או ניסיון מתאימים, שימנה</w:t>
      </w:r>
      <w:r>
        <w:rPr>
          <w:rStyle w:val="default"/>
          <w:rFonts w:cs="FrankRuehl" w:hint="cs"/>
          <w:rtl/>
        </w:rPr>
        <w:t xml:space="preserve"> </w:t>
      </w:r>
      <w:r>
        <w:rPr>
          <w:rStyle w:val="default"/>
          <w:rFonts w:cs="FrankRuehl"/>
          <w:rtl/>
        </w:rPr>
        <w:t>ראש הרשות המקומית ואחד מהם יהיה היושב ראש;</w:t>
      </w:r>
    </w:p>
    <w:p w14:paraId="756DC944" w14:textId="77777777" w:rsidR="002F2C68" w:rsidRDefault="002F2C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שלושה נציגי ארגון המשפחות השכולות –</w:t>
      </w:r>
      <w:r>
        <w:rPr>
          <w:rStyle w:val="default"/>
          <w:rFonts w:cs="FrankRuehl" w:hint="cs"/>
          <w:rtl/>
        </w:rPr>
        <w:t xml:space="preserve"> </w:t>
      </w:r>
      <w:r>
        <w:rPr>
          <w:rStyle w:val="default"/>
          <w:rFonts w:cs="FrankRuehl"/>
          <w:rtl/>
        </w:rPr>
        <w:t>יד לבנים, שהם תושבי הרשות</w:t>
      </w:r>
      <w:r>
        <w:rPr>
          <w:rStyle w:val="default"/>
          <w:rFonts w:cs="FrankRuehl" w:hint="cs"/>
          <w:rtl/>
        </w:rPr>
        <w:t xml:space="preserve"> </w:t>
      </w:r>
      <w:r>
        <w:rPr>
          <w:rStyle w:val="default"/>
          <w:rFonts w:cs="FrankRuehl"/>
          <w:rtl/>
        </w:rPr>
        <w:t>המקומית, כפי שיקבע הארגון;</w:t>
      </w:r>
    </w:p>
    <w:p w14:paraId="0FCF3CCD" w14:textId="77777777" w:rsidR="002F2C68" w:rsidRDefault="002F2C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נציג ארגון אלמנות ויתומי צה"ל, שהוא תושב הרשות המקומית, כפי</w:t>
      </w:r>
      <w:r>
        <w:rPr>
          <w:rStyle w:val="default"/>
          <w:rFonts w:cs="FrankRuehl" w:hint="cs"/>
          <w:rtl/>
        </w:rPr>
        <w:t xml:space="preserve"> </w:t>
      </w:r>
      <w:r>
        <w:rPr>
          <w:rStyle w:val="default"/>
          <w:rFonts w:cs="FrankRuehl"/>
          <w:rtl/>
        </w:rPr>
        <w:t>שיקבע הארגון</w:t>
      </w:r>
      <w:r>
        <w:rPr>
          <w:rStyle w:val="default"/>
          <w:rFonts w:cs="FrankRuehl" w:hint="cs"/>
          <w:rtl/>
        </w:rPr>
        <w:t>.</w:t>
      </w:r>
    </w:p>
    <w:p w14:paraId="1C5C4B22" w14:textId="77777777" w:rsidR="002F2C68" w:rsidRDefault="002F2C6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חבר הוועד המנהל יתמנה לתקופה של חמש שנים</w:t>
      </w:r>
      <w:r>
        <w:rPr>
          <w:rStyle w:val="default"/>
          <w:rFonts w:cs="FrankRuehl" w:hint="cs"/>
          <w:rtl/>
        </w:rPr>
        <w:t>.</w:t>
      </w:r>
    </w:p>
    <w:p w14:paraId="1BBB15D8" w14:textId="77777777" w:rsidR="002F2C68" w:rsidRDefault="002F2C6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חבר הוועד המנהל לא יקבל שכר בעד שירותיו ולא יהיה זכאי לגמול או להחזר</w:t>
      </w:r>
      <w:r>
        <w:rPr>
          <w:rStyle w:val="default"/>
          <w:rFonts w:cs="FrankRuehl" w:hint="cs"/>
          <w:rtl/>
        </w:rPr>
        <w:t xml:space="preserve"> </w:t>
      </w:r>
      <w:r>
        <w:rPr>
          <w:rStyle w:val="default"/>
          <w:rFonts w:cs="FrankRuehl"/>
          <w:rtl/>
        </w:rPr>
        <w:t>הוצאות בעבור השתתפות בישיבות הוועד המנהל</w:t>
      </w:r>
      <w:r>
        <w:rPr>
          <w:rStyle w:val="default"/>
          <w:rFonts w:cs="FrankRuehl" w:hint="cs"/>
          <w:rtl/>
        </w:rPr>
        <w:t>.</w:t>
      </w:r>
    </w:p>
    <w:p w14:paraId="7341C5AC" w14:textId="77777777" w:rsidR="002F2C68" w:rsidRDefault="002F2C68">
      <w:pPr>
        <w:pStyle w:val="P00"/>
        <w:spacing w:before="72"/>
        <w:ind w:left="0" w:right="1134"/>
        <w:rPr>
          <w:rStyle w:val="default"/>
          <w:rFonts w:cs="FrankRuehl" w:hint="cs"/>
          <w:rtl/>
        </w:rPr>
      </w:pPr>
      <w:bookmarkStart w:id="3" w:name="Seif3"/>
      <w:bookmarkEnd w:id="3"/>
      <w:r>
        <w:rPr>
          <w:lang w:val="he-IL"/>
        </w:rPr>
        <w:pict w14:anchorId="1A2CE300">
          <v:rect id="_x0000_s1274" style="position:absolute;left:0;text-align:left;margin-left:464.5pt;margin-top:8.05pt;width:75.05pt;height:14.05pt;z-index:251656704" o:allowincell="f" filled="f" stroked="f" strokecolor="lime" strokeweight=".25pt">
            <v:textbox style="mso-next-textbox:#_x0000_s1274" inset="0,0,0,0">
              <w:txbxContent>
                <w:p w14:paraId="7540882F" w14:textId="77777777" w:rsidR="002F2C68" w:rsidRDefault="002F2C68">
                  <w:pPr>
                    <w:spacing w:line="160" w:lineRule="exact"/>
                    <w:jc w:val="left"/>
                    <w:rPr>
                      <w:rFonts w:cs="Miriam" w:hint="cs"/>
                      <w:szCs w:val="18"/>
                      <w:rtl/>
                    </w:rPr>
                  </w:pPr>
                  <w:r>
                    <w:rPr>
                      <w:rFonts w:cs="Miriam" w:hint="cs"/>
                      <w:szCs w:val="18"/>
                      <w:rtl/>
                    </w:rPr>
                    <w:t>ניגוד עניינים</w:t>
                  </w:r>
                </w:p>
              </w:txbxContent>
            </v:textbox>
            <w10:anchorlock/>
          </v:rect>
        </w:pict>
      </w:r>
      <w:r>
        <w:rPr>
          <w:rStyle w:val="big-number"/>
          <w:rFonts w:hint="cs"/>
          <w:rtl/>
        </w:rPr>
        <w:t>4</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לא יתמנה ולא יכהן כחבר הוועד המנהל מי שעלול להימצא, במישרין או בעקיפין, באופן תדיר, במצב של ניגוד עניינים בין תפקידו כחבר הוועד המנהל לבין עניין אחר או תפקיד אחר שלו</w:t>
      </w:r>
      <w:r>
        <w:rPr>
          <w:rStyle w:val="default"/>
          <w:rFonts w:cs="FrankRuehl" w:hint="cs"/>
          <w:rtl/>
        </w:rPr>
        <w:t>.</w:t>
      </w:r>
    </w:p>
    <w:p w14:paraId="3D495F41" w14:textId="77777777" w:rsidR="002F2C68" w:rsidRDefault="002F2C6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חבר הוועד המנהל יימנע מהשתתפות בדיון שמקיים הוועד, מהצבעה בישיבות</w:t>
      </w:r>
      <w:r>
        <w:rPr>
          <w:rStyle w:val="default"/>
          <w:rFonts w:cs="FrankRuehl" w:hint="cs"/>
          <w:rtl/>
        </w:rPr>
        <w:t xml:space="preserve"> </w:t>
      </w:r>
      <w:r>
        <w:rPr>
          <w:rStyle w:val="default"/>
          <w:rFonts w:cs="FrankRuehl"/>
          <w:rtl/>
        </w:rPr>
        <w:t>שהנושא הנדון בהן עלול לגרום לו להימצא, במישרין או בעקיפין, במצב של חשש לניגוד עניינים בין תפקידו כחבר הוועד המנהל לבין עניין אחר או תפקיד אחר שלו, ולא יטפל במסגרת מילוי תפקידו בוועד המנהל בנושא שעלול לגרום לו להימצא במצב כאמור גם מחוץ לישיבות הוועד המנהל; ואולם רשאי חבר הוועד המנהל להביא בחשבון גם את ענייניו של הגוף שהוא נציגו, ככל שהם קשורים לחוק זה, ולא יראו אותו כמצוי במצב של ניגוד עניינים בשל כך בלבד</w:t>
      </w:r>
      <w:r>
        <w:rPr>
          <w:rStyle w:val="default"/>
          <w:rFonts w:cs="FrankRuehl" w:hint="cs"/>
          <w:rtl/>
        </w:rPr>
        <w:t>.</w:t>
      </w:r>
    </w:p>
    <w:p w14:paraId="42D81F8C" w14:textId="77777777" w:rsidR="002F2C68" w:rsidRDefault="002F2C6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התברר לחבר הוועד המנהל, כי נושא הנדון בישיבה של הוועד המנהל או שהוא</w:t>
      </w:r>
      <w:r>
        <w:rPr>
          <w:rStyle w:val="default"/>
          <w:rFonts w:cs="FrankRuehl" w:hint="cs"/>
          <w:rtl/>
        </w:rPr>
        <w:t xml:space="preserve"> </w:t>
      </w:r>
      <w:r>
        <w:rPr>
          <w:rStyle w:val="default"/>
          <w:rFonts w:cs="FrankRuehl"/>
          <w:rtl/>
        </w:rPr>
        <w:t>הופקד על הטיפול בו עלול לגרום לו להימצא במצב של ניגוד עניינים כאמור בסעיף קטן (ב), יודיע על כך ליושב ראש הוועד</w:t>
      </w:r>
      <w:r>
        <w:rPr>
          <w:rStyle w:val="default"/>
          <w:rFonts w:cs="FrankRuehl" w:hint="cs"/>
          <w:rtl/>
        </w:rPr>
        <w:t>.</w:t>
      </w:r>
    </w:p>
    <w:p w14:paraId="783F1D04" w14:textId="77777777" w:rsidR="002F2C68" w:rsidRDefault="002F2C68">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 זה –</w:t>
      </w:r>
    </w:p>
    <w:p w14:paraId="28491685" w14:textId="77777777" w:rsidR="002F2C68" w:rsidRDefault="002F2C68">
      <w:pPr>
        <w:pStyle w:val="P00"/>
        <w:spacing w:before="72"/>
        <w:ind w:left="0" w:right="1134"/>
        <w:rPr>
          <w:rStyle w:val="default"/>
          <w:rFonts w:cs="FrankRuehl" w:hint="cs"/>
          <w:rtl/>
        </w:rPr>
      </w:pPr>
      <w:r>
        <w:rPr>
          <w:rStyle w:val="default"/>
          <w:rFonts w:cs="FrankRuehl" w:hint="cs"/>
          <w:rtl/>
        </w:rPr>
        <w:tab/>
      </w:r>
      <w:r>
        <w:rPr>
          <w:rStyle w:val="default"/>
          <w:rFonts w:cs="FrankRuehl"/>
          <w:rtl/>
        </w:rPr>
        <w:t>"עניין אחר"</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לרבות עניין של קרובו של חבר הוועד המנהל או עניין של גוף שחבר</w:t>
      </w:r>
      <w:r>
        <w:rPr>
          <w:rStyle w:val="default"/>
          <w:rFonts w:cs="FrankRuehl" w:hint="cs"/>
          <w:rtl/>
        </w:rPr>
        <w:t xml:space="preserve"> </w:t>
      </w:r>
      <w:r>
        <w:rPr>
          <w:rStyle w:val="default"/>
          <w:rFonts w:cs="FrankRuehl"/>
          <w:rtl/>
        </w:rPr>
        <w:t>הוועד או קרובו הם מנהלים או עובדים אחראים בו, או עניין של גוף שיש לכל אחד מהם חלק בהון המניות שלו, בזכות לקבל רווחים, בזכות למנות מנהל או בזכות ההצבעה;</w:t>
      </w:r>
    </w:p>
    <w:p w14:paraId="16F1ADBB" w14:textId="77777777" w:rsidR="002F2C68" w:rsidRDefault="002F2C68">
      <w:pPr>
        <w:pStyle w:val="P00"/>
        <w:spacing w:before="72"/>
        <w:ind w:left="0" w:right="1134"/>
        <w:rPr>
          <w:rStyle w:val="default"/>
          <w:rFonts w:cs="FrankRuehl" w:hint="cs"/>
          <w:rtl/>
        </w:rPr>
      </w:pPr>
      <w:r>
        <w:rPr>
          <w:rStyle w:val="default"/>
          <w:rFonts w:cs="FrankRuehl" w:hint="cs"/>
          <w:rtl/>
        </w:rPr>
        <w:tab/>
      </w:r>
      <w:r>
        <w:rPr>
          <w:rStyle w:val="default"/>
          <w:rFonts w:cs="FrankRuehl"/>
          <w:rtl/>
        </w:rPr>
        <w:t>"קרוב" –</w:t>
      </w:r>
      <w:r>
        <w:rPr>
          <w:rStyle w:val="default"/>
          <w:rFonts w:cs="FrankRuehl" w:hint="cs"/>
          <w:rtl/>
        </w:rPr>
        <w:t xml:space="preserve"> </w:t>
      </w:r>
      <w:r>
        <w:rPr>
          <w:rStyle w:val="default"/>
          <w:rFonts w:cs="FrankRuehl"/>
          <w:rtl/>
        </w:rPr>
        <w:t>בן זוג, הורה, צאצא, אח או אדם אחר שפרנסתו על חבר הוועד המנהל, ובן זוגו של כל אחד מהם</w:t>
      </w:r>
      <w:r>
        <w:rPr>
          <w:rStyle w:val="default"/>
          <w:rFonts w:cs="FrankRuehl" w:hint="cs"/>
          <w:rtl/>
        </w:rPr>
        <w:t>.</w:t>
      </w:r>
    </w:p>
    <w:p w14:paraId="50A2A85D" w14:textId="77777777" w:rsidR="002F2C68" w:rsidRDefault="002F2C68">
      <w:pPr>
        <w:pStyle w:val="P00"/>
        <w:spacing w:before="72"/>
        <w:ind w:left="0" w:right="1134"/>
        <w:rPr>
          <w:rStyle w:val="default"/>
          <w:rFonts w:cs="FrankRuehl" w:hint="cs"/>
          <w:rtl/>
        </w:rPr>
      </w:pPr>
      <w:bookmarkStart w:id="4" w:name="Seif4"/>
      <w:bookmarkEnd w:id="4"/>
      <w:r>
        <w:rPr>
          <w:lang w:val="he-IL"/>
        </w:rPr>
        <w:pict w14:anchorId="470D321E">
          <v:rect id="_x0000_s1275" style="position:absolute;left:0;text-align:left;margin-left:464.5pt;margin-top:8.05pt;width:75.05pt;height:11.7pt;z-index:251657728" o:allowincell="f" filled="f" stroked="f" strokecolor="lime" strokeweight=".25pt">
            <v:textbox style="mso-next-textbox:#_x0000_s1275" inset="0,0,0,0">
              <w:txbxContent>
                <w:p w14:paraId="51D7DAEE" w14:textId="77777777" w:rsidR="002F2C68" w:rsidRDefault="002F2C68">
                  <w:pPr>
                    <w:spacing w:line="160" w:lineRule="exact"/>
                    <w:jc w:val="left"/>
                    <w:rPr>
                      <w:rFonts w:cs="Miriam" w:hint="cs"/>
                      <w:szCs w:val="18"/>
                      <w:rtl/>
                    </w:rPr>
                  </w:pPr>
                  <w:r>
                    <w:rPr>
                      <w:rFonts w:cs="Miriam" w:hint="cs"/>
                      <w:szCs w:val="18"/>
                      <w:rtl/>
                    </w:rPr>
                    <w:t>תכנית עבודה שנתית</w:t>
                  </w:r>
                </w:p>
              </w:txbxContent>
            </v:textbox>
            <w10:anchorlock/>
          </v:rect>
        </w:pict>
      </w:r>
      <w:r>
        <w:rPr>
          <w:rStyle w:val="big-number"/>
          <w:rFonts w:hint="cs"/>
          <w:rtl/>
        </w:rPr>
        <w:t>5</w:t>
      </w:r>
      <w:r>
        <w:rPr>
          <w:rStyle w:val="default"/>
          <w:rFonts w:cs="FrankRuehl"/>
          <w:rtl/>
        </w:rPr>
        <w:t>.</w:t>
      </w:r>
      <w:r>
        <w:rPr>
          <w:rStyle w:val="default"/>
          <w:rFonts w:cs="FrankRuehl"/>
          <w:rtl/>
        </w:rPr>
        <w:tab/>
        <w:t>הוועד המנהל של בית יד לבנים מקומי יציג לפני מנהל מחלקת החינוך או התרבות ברשות המקומית, הצעת תכנית עבודה שנתית; תכנית העבודה השנתית של המחלקה תיקבע, בין השאר, בהתחשב בהצעה כאמור</w:t>
      </w:r>
      <w:r>
        <w:rPr>
          <w:rStyle w:val="default"/>
          <w:rFonts w:cs="FrankRuehl" w:hint="cs"/>
          <w:rtl/>
        </w:rPr>
        <w:t>.</w:t>
      </w:r>
    </w:p>
    <w:p w14:paraId="0B21D1ED" w14:textId="77777777" w:rsidR="002F2C68" w:rsidRDefault="002F2C68">
      <w:pPr>
        <w:pStyle w:val="P00"/>
        <w:spacing w:before="72"/>
        <w:ind w:left="0" w:right="1134"/>
        <w:rPr>
          <w:rStyle w:val="default"/>
          <w:rFonts w:cs="FrankRuehl" w:hint="cs"/>
          <w:rtl/>
        </w:rPr>
      </w:pPr>
      <w:bookmarkStart w:id="5" w:name="Seif5"/>
      <w:bookmarkEnd w:id="5"/>
      <w:r>
        <w:rPr>
          <w:lang w:val="he-IL"/>
        </w:rPr>
        <w:pict w14:anchorId="60488ECD">
          <v:rect id="_x0000_s1276" style="position:absolute;left:0;text-align:left;margin-left:464.5pt;margin-top:8.05pt;width:75.05pt;height:20.8pt;z-index:251658752" o:allowincell="f" filled="f" stroked="f" strokecolor="lime" strokeweight=".25pt">
            <v:textbox style="mso-next-textbox:#_x0000_s1276" inset="0,0,0,0">
              <w:txbxContent>
                <w:p w14:paraId="768D1B9F" w14:textId="77777777" w:rsidR="002F2C68" w:rsidRDefault="002F2C68">
                  <w:pPr>
                    <w:spacing w:line="160" w:lineRule="exact"/>
                    <w:jc w:val="left"/>
                    <w:rPr>
                      <w:rFonts w:cs="Miriam" w:hint="cs"/>
                      <w:szCs w:val="18"/>
                      <w:rtl/>
                    </w:rPr>
                  </w:pPr>
                  <w:r>
                    <w:rPr>
                      <w:rFonts w:cs="Miriam" w:hint="cs"/>
                      <w:szCs w:val="18"/>
                      <w:rtl/>
                    </w:rPr>
                    <w:t>סיוע הרשות המקומית</w:t>
                  </w:r>
                </w:p>
              </w:txbxContent>
            </v:textbox>
            <w10:anchorlock/>
          </v:rect>
        </w:pict>
      </w:r>
      <w:r>
        <w:rPr>
          <w:rStyle w:val="big-number"/>
          <w:rFonts w:hint="cs"/>
          <w:rtl/>
        </w:rPr>
        <w:t>6</w:t>
      </w:r>
      <w:r>
        <w:rPr>
          <w:rStyle w:val="default"/>
          <w:rFonts w:cs="FrankRuehl"/>
          <w:rtl/>
        </w:rPr>
        <w:t>.</w:t>
      </w:r>
      <w:r>
        <w:rPr>
          <w:rStyle w:val="default"/>
          <w:rFonts w:cs="FrankRuehl"/>
          <w:rtl/>
        </w:rPr>
        <w:tab/>
        <w:t xml:space="preserve">הרשות המקומית תסייע, במידת האפשר, במימון הוצאות קיומו, החזקתו, פיתוחו וניהול </w:t>
      </w:r>
      <w:r>
        <w:rPr>
          <w:rStyle w:val="default"/>
          <w:rFonts w:cs="FrankRuehl"/>
          <w:rtl/>
        </w:rPr>
        <w:lastRenderedPageBreak/>
        <w:t>פעולותיו של בית יד לבנים מקומי</w:t>
      </w:r>
      <w:r>
        <w:rPr>
          <w:rStyle w:val="default"/>
          <w:rFonts w:cs="FrankRuehl" w:hint="cs"/>
          <w:rtl/>
        </w:rPr>
        <w:t>.</w:t>
      </w:r>
    </w:p>
    <w:p w14:paraId="2B7F3848" w14:textId="77777777" w:rsidR="002F2C68" w:rsidRDefault="002F2C68">
      <w:pPr>
        <w:pStyle w:val="P00"/>
        <w:spacing w:before="72"/>
        <w:ind w:left="0" w:right="1134"/>
        <w:rPr>
          <w:rStyle w:val="default"/>
          <w:rFonts w:cs="FrankRuehl" w:hint="cs"/>
          <w:rtl/>
        </w:rPr>
      </w:pPr>
      <w:bookmarkStart w:id="6" w:name="Seif6"/>
      <w:bookmarkEnd w:id="6"/>
      <w:r>
        <w:rPr>
          <w:lang w:val="he-IL"/>
        </w:rPr>
        <w:pict w14:anchorId="5A9B2982">
          <v:rect id="_x0000_s1277" style="position:absolute;left:0;text-align:left;margin-left:464.5pt;margin-top:8.05pt;width:75.05pt;height:8.95pt;z-index:251659776" o:allowincell="f" filled="f" stroked="f" strokecolor="lime" strokeweight=".25pt">
            <v:textbox style="mso-next-textbox:#_x0000_s1277" inset="0,0,0,0">
              <w:txbxContent>
                <w:p w14:paraId="1BF17428" w14:textId="77777777" w:rsidR="002F2C68" w:rsidRDefault="002F2C68">
                  <w:pPr>
                    <w:spacing w:line="160" w:lineRule="exact"/>
                    <w:jc w:val="left"/>
                    <w:rPr>
                      <w:rFonts w:cs="Miriam" w:hint="cs"/>
                      <w:szCs w:val="18"/>
                      <w:rtl/>
                    </w:rPr>
                  </w:pPr>
                  <w:r>
                    <w:rPr>
                      <w:rFonts w:cs="Miriam" w:hint="cs"/>
                      <w:szCs w:val="18"/>
                      <w:rtl/>
                    </w:rPr>
                    <w:t>ביצוע ותקנות</w:t>
                  </w:r>
                </w:p>
              </w:txbxContent>
            </v:textbox>
            <w10:anchorlock/>
          </v:rect>
        </w:pict>
      </w:r>
      <w:r>
        <w:rPr>
          <w:rStyle w:val="big-number"/>
          <w:rFonts w:hint="cs"/>
          <w:rtl/>
        </w:rPr>
        <w:t>7</w:t>
      </w:r>
      <w:r>
        <w:rPr>
          <w:rStyle w:val="default"/>
          <w:rFonts w:cs="FrankRuehl"/>
          <w:rtl/>
        </w:rPr>
        <w:t>.</w:t>
      </w:r>
      <w:r>
        <w:rPr>
          <w:rStyle w:val="default"/>
          <w:rFonts w:cs="FrankRuehl"/>
          <w:rtl/>
        </w:rPr>
        <w:tab/>
        <w:t>שר הפנים ממונה על ביצוע חוק זה, והוא רשאי, לאחר התייעצות עם שר הביטחון, להתקין תקנות לביצועו</w:t>
      </w:r>
      <w:r>
        <w:rPr>
          <w:rStyle w:val="default"/>
          <w:rFonts w:cs="FrankRuehl" w:hint="cs"/>
          <w:rtl/>
        </w:rPr>
        <w:t>.</w:t>
      </w:r>
    </w:p>
    <w:p w14:paraId="4A9EEB10" w14:textId="77777777" w:rsidR="002F2C68" w:rsidRDefault="002F2C68">
      <w:pPr>
        <w:pStyle w:val="P00"/>
        <w:spacing w:before="72"/>
        <w:ind w:left="0" w:right="1134"/>
        <w:rPr>
          <w:rStyle w:val="default"/>
          <w:rFonts w:cs="FrankRuehl" w:hint="cs"/>
          <w:rtl/>
        </w:rPr>
      </w:pPr>
      <w:bookmarkStart w:id="7" w:name="Seif7"/>
      <w:bookmarkEnd w:id="7"/>
      <w:r>
        <w:rPr>
          <w:lang w:val="he-IL"/>
        </w:rPr>
        <w:pict w14:anchorId="0D9454AB">
          <v:rect id="_x0000_s1278" style="position:absolute;left:0;text-align:left;margin-left:464.5pt;margin-top:8.05pt;width:75.05pt;height:10.95pt;z-index:251660800" o:allowincell="f" filled="f" stroked="f" strokecolor="lime" strokeweight=".25pt">
            <v:textbox style="mso-next-textbox:#_x0000_s1278" inset="0,0,0,0">
              <w:txbxContent>
                <w:p w14:paraId="4DB0BBEB" w14:textId="77777777" w:rsidR="002F2C68" w:rsidRDefault="002F2C68">
                  <w:pPr>
                    <w:spacing w:line="160" w:lineRule="exact"/>
                    <w:jc w:val="left"/>
                    <w:rPr>
                      <w:rFonts w:cs="Miriam" w:hint="cs"/>
                      <w:szCs w:val="18"/>
                      <w:rtl/>
                    </w:rPr>
                  </w:pPr>
                  <w:r>
                    <w:rPr>
                      <w:rFonts w:cs="Miriam" w:hint="cs"/>
                      <w:szCs w:val="18"/>
                      <w:rtl/>
                    </w:rPr>
                    <w:t>סייג לתחולה</w:t>
                  </w:r>
                </w:p>
              </w:txbxContent>
            </v:textbox>
            <w10:anchorlock/>
          </v:rect>
        </w:pict>
      </w:r>
      <w:r>
        <w:rPr>
          <w:rStyle w:val="big-number"/>
          <w:rFonts w:hint="cs"/>
          <w:rtl/>
        </w:rPr>
        <w:t>8</w:t>
      </w:r>
      <w:r>
        <w:rPr>
          <w:rStyle w:val="default"/>
          <w:rFonts w:cs="FrankRuehl"/>
          <w:rtl/>
        </w:rPr>
        <w:t>.</w:t>
      </w:r>
      <w:r>
        <w:rPr>
          <w:rStyle w:val="default"/>
          <w:rFonts w:cs="FrankRuehl"/>
          <w:rtl/>
        </w:rPr>
        <w:tab/>
        <w:t>הוראות חוק זה לא יחולו על בית יד לבנים שאינו בית יד לבנים מקומי סייג לתחולה</w:t>
      </w:r>
      <w:r>
        <w:rPr>
          <w:rStyle w:val="default"/>
          <w:rFonts w:cs="FrankRuehl" w:hint="cs"/>
          <w:rtl/>
        </w:rPr>
        <w:t>.</w:t>
      </w:r>
    </w:p>
    <w:p w14:paraId="4DAC9489" w14:textId="77777777" w:rsidR="002F2C68" w:rsidRDefault="002F2C68">
      <w:pPr>
        <w:pStyle w:val="P00"/>
        <w:spacing w:before="72"/>
        <w:ind w:left="0" w:right="1134"/>
        <w:rPr>
          <w:rStyle w:val="default"/>
          <w:rFonts w:cs="FrankRuehl" w:hint="cs"/>
          <w:rtl/>
        </w:rPr>
      </w:pPr>
      <w:bookmarkStart w:id="8" w:name="Seif8"/>
      <w:bookmarkEnd w:id="8"/>
      <w:r>
        <w:rPr>
          <w:lang w:val="he-IL"/>
        </w:rPr>
        <w:pict w14:anchorId="0E80E1F1">
          <v:rect id="_x0000_s1291" style="position:absolute;left:0;text-align:left;margin-left:464.5pt;margin-top:8.05pt;width:75.05pt;height:10.95pt;z-index:251661824" o:allowincell="f" filled="f" stroked="f" strokecolor="lime" strokeweight=".25pt">
            <v:textbox style="mso-next-textbox:#_x0000_s1291" inset="0,0,0,0">
              <w:txbxContent>
                <w:p w14:paraId="7E9D1D97" w14:textId="77777777" w:rsidR="002F2C68" w:rsidRDefault="002F2C68">
                  <w:pPr>
                    <w:spacing w:line="160" w:lineRule="exact"/>
                    <w:jc w:val="left"/>
                    <w:rPr>
                      <w:rFonts w:cs="Miriam" w:hint="cs"/>
                      <w:szCs w:val="18"/>
                      <w:rtl/>
                    </w:rPr>
                  </w:pPr>
                  <w:r>
                    <w:rPr>
                      <w:rFonts w:cs="Miriam" w:hint="cs"/>
                      <w:szCs w:val="18"/>
                      <w:rtl/>
                    </w:rPr>
                    <w:t>הוראת מעבר</w:t>
                  </w:r>
                </w:p>
              </w:txbxContent>
            </v:textbox>
            <w10:anchorlock/>
          </v:rect>
        </w:pict>
      </w:r>
      <w:r>
        <w:rPr>
          <w:rStyle w:val="big-number"/>
          <w:rFonts w:hint="cs"/>
          <w:rtl/>
        </w:rPr>
        <w:t>9</w:t>
      </w:r>
      <w:r>
        <w:rPr>
          <w:rStyle w:val="default"/>
          <w:rFonts w:cs="FrankRuehl"/>
          <w:rtl/>
        </w:rPr>
        <w:t>.</w:t>
      </w:r>
      <w:r>
        <w:rPr>
          <w:rStyle w:val="default"/>
          <w:rFonts w:cs="FrankRuehl"/>
          <w:rtl/>
        </w:rPr>
        <w:tab/>
        <w:t>על בית יד לבנים מקומי שהיה קיים ערב תחילתו של חוק זה, יחולו הוראות חוק זה, ואולם חברי ועד מנהל או בעלי תפקיד דומה בבית יד לבנים כאמור יחדלו לכהן בתפקידם בתום שלושה חודשים מיום תחילתו של חוק זה</w:t>
      </w:r>
      <w:r>
        <w:rPr>
          <w:rStyle w:val="default"/>
          <w:rFonts w:cs="FrankRuehl" w:hint="cs"/>
          <w:rtl/>
        </w:rPr>
        <w:t>.</w:t>
      </w:r>
    </w:p>
    <w:p w14:paraId="70CB2FCC" w14:textId="77777777" w:rsidR="002F2C68" w:rsidRDefault="002F2C68">
      <w:pPr>
        <w:pStyle w:val="P00"/>
        <w:spacing w:before="72"/>
        <w:ind w:left="0" w:right="1134"/>
        <w:rPr>
          <w:rStyle w:val="default"/>
          <w:rFonts w:cs="FrankRuehl" w:hint="cs"/>
          <w:rtl/>
        </w:rPr>
      </w:pPr>
    </w:p>
    <w:p w14:paraId="3DF591C2" w14:textId="77777777" w:rsidR="002F2C68" w:rsidRDefault="002F2C68">
      <w:pPr>
        <w:pStyle w:val="P00"/>
        <w:spacing w:before="72"/>
        <w:ind w:left="0" w:right="1134"/>
        <w:rPr>
          <w:rtl/>
        </w:rPr>
      </w:pPr>
    </w:p>
    <w:p w14:paraId="10E581A4" w14:textId="77777777" w:rsidR="002F2C68" w:rsidRDefault="002F2C6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t>אהוד אולמרט</w:t>
      </w:r>
      <w:r>
        <w:rPr>
          <w:rFonts w:hint="cs"/>
          <w:rtl/>
        </w:rPr>
        <w:tab/>
      </w:r>
      <w:r>
        <w:rPr>
          <w:rFonts w:hint="cs"/>
          <w:rtl/>
        </w:rPr>
        <w:tab/>
        <w:t>מאיר שטרית</w:t>
      </w:r>
    </w:p>
    <w:p w14:paraId="4FAB32F7" w14:textId="77777777" w:rsidR="002F2C68" w:rsidRDefault="002F2C6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הפנים</w:t>
      </w:r>
    </w:p>
    <w:p w14:paraId="75CF0505" w14:textId="77777777" w:rsidR="002F2C68" w:rsidRDefault="002F2C6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t>שמעון פרס</w:t>
      </w:r>
      <w:r>
        <w:rPr>
          <w:rFonts w:hint="cs"/>
          <w:rtl/>
        </w:rPr>
        <w:tab/>
      </w:r>
      <w:r>
        <w:rPr>
          <w:rFonts w:hint="cs"/>
          <w:rtl/>
        </w:rPr>
        <w:tab/>
        <w:t>דליה איציק</w:t>
      </w:r>
    </w:p>
    <w:p w14:paraId="2200821C" w14:textId="77777777" w:rsidR="002F2C68" w:rsidRDefault="002F2C6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sz w:val="22"/>
          <w:szCs w:val="22"/>
          <w:rtl/>
        </w:rPr>
      </w:pPr>
      <w:r>
        <w:rPr>
          <w:rFonts w:hint="cs"/>
          <w:sz w:val="22"/>
          <w:szCs w:val="22"/>
          <w:rtl/>
        </w:rPr>
        <w:tab/>
        <w:t>נשיא המדינה</w:t>
      </w:r>
      <w:r>
        <w:rPr>
          <w:rFonts w:hint="cs"/>
          <w:sz w:val="22"/>
          <w:szCs w:val="22"/>
          <w:rtl/>
        </w:rPr>
        <w:tab/>
      </w:r>
      <w:r>
        <w:rPr>
          <w:rFonts w:hint="cs"/>
          <w:sz w:val="22"/>
          <w:szCs w:val="22"/>
          <w:rtl/>
        </w:rPr>
        <w:tab/>
        <w:t>יושבת ראש הכנסת</w:t>
      </w:r>
    </w:p>
    <w:p w14:paraId="088C383A" w14:textId="77777777" w:rsidR="002F2C68" w:rsidRDefault="002F2C68">
      <w:pPr>
        <w:pStyle w:val="P00"/>
        <w:spacing w:before="72"/>
        <w:ind w:left="0" w:right="1134"/>
        <w:rPr>
          <w:rFonts w:hint="cs"/>
          <w:rtl/>
        </w:rPr>
      </w:pPr>
    </w:p>
    <w:p w14:paraId="0655CA90" w14:textId="77777777" w:rsidR="002F2C68" w:rsidRDefault="002F2C68">
      <w:pPr>
        <w:pStyle w:val="P00"/>
        <w:spacing w:before="72"/>
        <w:ind w:left="0" w:right="1134"/>
        <w:rPr>
          <w:rFonts w:hint="cs"/>
          <w:rtl/>
        </w:rPr>
      </w:pPr>
    </w:p>
    <w:sectPr w:rsidR="002F2C68">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36FF" w14:textId="77777777" w:rsidR="002F2C68" w:rsidRDefault="002F2C68">
      <w:r>
        <w:separator/>
      </w:r>
    </w:p>
  </w:endnote>
  <w:endnote w:type="continuationSeparator" w:id="0">
    <w:p w14:paraId="70ABE12C" w14:textId="77777777" w:rsidR="002F2C68" w:rsidRDefault="002F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DBA2" w14:textId="77777777" w:rsidR="002F2C68" w:rsidRDefault="002F2C6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666AC66" w14:textId="77777777" w:rsidR="002F2C68" w:rsidRDefault="002F2C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F070A9" w14:textId="77777777" w:rsidR="002F2C68" w:rsidRDefault="002F2C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Z:\000000000000-law\yael\07-08-09\table\999_803.doc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2937" w14:textId="77777777" w:rsidR="002F2C68" w:rsidRDefault="002F2C6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C7CB5">
      <w:rPr>
        <w:rFonts w:hAnsi="FrankRuehl"/>
        <w:noProof/>
        <w:sz w:val="24"/>
        <w:szCs w:val="24"/>
        <w:rtl/>
      </w:rPr>
      <w:t>1</w:t>
    </w:r>
    <w:r>
      <w:rPr>
        <w:rFonts w:hAnsi="FrankRuehl"/>
        <w:sz w:val="24"/>
        <w:szCs w:val="24"/>
        <w:rtl/>
      </w:rPr>
      <w:fldChar w:fldCharType="end"/>
    </w:r>
  </w:p>
  <w:p w14:paraId="7DD7D0D5" w14:textId="77777777" w:rsidR="002F2C68" w:rsidRDefault="002F2C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7381E0" w14:textId="77777777" w:rsidR="002F2C68" w:rsidRDefault="002F2C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Z:\000000000000-law\yael\07-08-09\table\999_803.doc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8869" w14:textId="77777777" w:rsidR="002F2C68" w:rsidRDefault="002F2C68">
      <w:pPr>
        <w:spacing w:before="60" w:line="240" w:lineRule="auto"/>
        <w:ind w:right="1134"/>
      </w:pPr>
      <w:r>
        <w:separator/>
      </w:r>
    </w:p>
  </w:footnote>
  <w:footnote w:type="continuationSeparator" w:id="0">
    <w:p w14:paraId="6D5F3592" w14:textId="77777777" w:rsidR="002F2C68" w:rsidRDefault="002F2C68">
      <w:r>
        <w:separator/>
      </w:r>
    </w:p>
  </w:footnote>
  <w:footnote w:id="1">
    <w:p w14:paraId="331AC896" w14:textId="77777777" w:rsidR="002F2C68" w:rsidRDefault="002F2C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ס"ח תשס"ז מס' 2109</w:t>
        </w:r>
      </w:hyperlink>
      <w:r>
        <w:rPr>
          <w:rFonts w:hint="cs"/>
          <w:sz w:val="20"/>
          <w:rtl/>
        </w:rPr>
        <w:t xml:space="preserve"> מיום 8.8.2007 עמ' 462 (</w:t>
      </w:r>
      <w:hyperlink r:id="rId2" w:history="1">
        <w:r>
          <w:rPr>
            <w:rStyle w:val="Hyperlink"/>
            <w:sz w:val="20"/>
            <w:rtl/>
          </w:rPr>
          <w:t>ה"ח הכנסת תשס"ו מס' 107</w:t>
        </w:r>
      </w:hyperlink>
      <w:r>
        <w:rPr>
          <w:rFonts w:hint="cs"/>
          <w:sz w:val="20"/>
          <w:rtl/>
        </w:rPr>
        <w:t xml:space="preserve"> עמ' 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5D76" w14:textId="77777777" w:rsidR="002F2C68" w:rsidRDefault="002F2C6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5FD641BF" w14:textId="77777777" w:rsidR="002F2C68" w:rsidRDefault="002F2C6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9A519F9" w14:textId="77777777" w:rsidR="002F2C68" w:rsidRDefault="002F2C6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80F2" w14:textId="77777777" w:rsidR="002F2C68" w:rsidRDefault="002F2C68">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בתי יד לבנים,</w:t>
    </w:r>
    <w:r>
      <w:rPr>
        <w:rFonts w:hAnsi="FrankRuehl"/>
        <w:color w:val="000000"/>
        <w:sz w:val="28"/>
        <w:szCs w:val="28"/>
        <w:rtl/>
      </w:rPr>
      <w:t xml:space="preserve">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14:paraId="1E79A4E0" w14:textId="77777777" w:rsidR="002F2C68" w:rsidRDefault="002F2C6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BB6DA80" w14:textId="77777777" w:rsidR="002F2C68" w:rsidRDefault="002F2C6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CB5"/>
    <w:rsid w:val="002F2C68"/>
    <w:rsid w:val="009A6216"/>
    <w:rsid w:val="00BC7C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1331558"/>
  <w15:chartTrackingRefBased/>
  <w15:docId w15:val="{6FBFB8B1-21BC-4D76-BFE0-1165DFA5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107.pdf" TargetMode="External"/><Relationship Id="rId1" Type="http://schemas.openxmlformats.org/officeDocument/2006/relationships/hyperlink" Target="http://www.nevo.co.il/Law_word/law14/law-21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3927</CharactersWithSpaces>
  <SharedDoc>false</SharedDoc>
  <HLinks>
    <vt:vector size="66" baseType="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3473434</vt:i4>
      </vt:variant>
      <vt:variant>
        <vt:i4>3</vt:i4>
      </vt:variant>
      <vt:variant>
        <vt:i4>0</vt:i4>
      </vt:variant>
      <vt:variant>
        <vt:i4>5</vt:i4>
      </vt:variant>
      <vt:variant>
        <vt:lpwstr>http://www.nevo.co.il/Law_word/law16/KNESSET-107.pdf</vt:lpwstr>
      </vt:variant>
      <vt:variant>
        <vt:lpwstr/>
      </vt:variant>
      <vt:variant>
        <vt:i4>8192001</vt:i4>
      </vt:variant>
      <vt:variant>
        <vt:i4>0</vt:i4>
      </vt:variant>
      <vt:variant>
        <vt:i4>0</vt:i4>
      </vt:variant>
      <vt:variant>
        <vt:i4>5</vt:i4>
      </vt:variant>
      <vt:variant>
        <vt:lpwstr>http://www.nevo.co.il/Law_word/law14/law-2109.pdf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חינוך</vt:lpwstr>
  </property>
  <property fmtid="{D5CDD505-2E9C-101B-9397-08002B2CF9AE}" pid="4" name="LAWNAME">
    <vt:lpwstr>חוק בתי יד לבנים, תשס"ז-2007</vt:lpwstr>
  </property>
  <property fmtid="{D5CDD505-2E9C-101B-9397-08002B2CF9AE}" pid="5" name="LAWNUMBER">
    <vt:lpwstr>0803</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http://www.nevo.co.il/Law_word/law14/law-2109.pdf;רשומות - ספר חוקים#פורסם ס"ח תשס"ז מס' 2109 #מיום 8.8.2007 עמ' 462</vt:lpwstr>
  </property>
  <property fmtid="{D5CDD505-2E9C-101B-9397-08002B2CF9AE}" pid="20" name="LINKK2">
    <vt:lpwstr/>
  </property>
  <property fmtid="{D5CDD505-2E9C-101B-9397-08002B2CF9AE}" pid="21" name="LINKK3">
    <vt:lpwstr/>
  </property>
  <property fmtid="{D5CDD505-2E9C-101B-9397-08002B2CF9AE}" pid="22" name="NOSE11">
    <vt:lpwstr>רשויות ומשפט מנהלי</vt:lpwstr>
  </property>
  <property fmtid="{D5CDD505-2E9C-101B-9397-08002B2CF9AE}" pid="23" name="NOSE21">
    <vt:lpwstr>תרבות, פנאי ומועדים</vt:lpwstr>
  </property>
  <property fmtid="{D5CDD505-2E9C-101B-9397-08002B2CF9AE}" pid="24" name="NOSE31">
    <vt:lpwstr>מוסדות </vt:lpwstr>
  </property>
  <property fmtid="{D5CDD505-2E9C-101B-9397-08002B2CF9AE}" pid="25" name="NOSE41">
    <vt:lpwstr>הנצחה</vt:lpwstr>
  </property>
  <property fmtid="{D5CDD505-2E9C-101B-9397-08002B2CF9AE}" pid="26" name="NOSE12">
    <vt:lpwstr>רשויות ומשפט מנהלי</vt:lpwstr>
  </property>
  <property fmtid="{D5CDD505-2E9C-101B-9397-08002B2CF9AE}" pid="27" name="NOSE22">
    <vt:lpwstr>תרבות, פנאי ומועדים</vt:lpwstr>
  </property>
  <property fmtid="{D5CDD505-2E9C-101B-9397-08002B2CF9AE}" pid="28" name="NOSE32">
    <vt:lpwstr>הנצחה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