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2CE" w:rsidRDefault="00B702CE">
      <w:pPr>
        <w:pStyle w:val="big-header"/>
        <w:ind w:left="0" w:right="1134"/>
        <w:rPr>
          <w:rFonts w:cs="FrankRuehl" w:hint="cs"/>
          <w:sz w:val="32"/>
          <w:rtl/>
        </w:rPr>
      </w:pPr>
      <w:r>
        <w:rPr>
          <w:rFonts w:cs="FrankRuehl" w:hint="cs"/>
          <w:sz w:val="32"/>
          <w:rtl/>
        </w:rPr>
        <w:t>חוק דחיית שירות לתלמידי ישיבות שתורתם אומנותם, תשס"ב-2002</w:t>
      </w:r>
    </w:p>
    <w:p w:rsidR="00B510AB" w:rsidRDefault="00B510AB" w:rsidP="00B510AB">
      <w:pPr>
        <w:spacing w:line="320" w:lineRule="auto"/>
        <w:jc w:val="left"/>
        <w:rPr>
          <w:rtl/>
        </w:rPr>
      </w:pPr>
    </w:p>
    <w:p w:rsidR="00024317" w:rsidRDefault="00024317" w:rsidP="00B510AB">
      <w:pPr>
        <w:spacing w:line="320" w:lineRule="auto"/>
        <w:jc w:val="left"/>
        <w:rPr>
          <w:rtl/>
        </w:rPr>
      </w:pPr>
    </w:p>
    <w:p w:rsidR="00B510AB" w:rsidRPr="00B510AB" w:rsidRDefault="00B510AB" w:rsidP="00B510AB">
      <w:pPr>
        <w:spacing w:line="320" w:lineRule="auto"/>
        <w:jc w:val="left"/>
        <w:rPr>
          <w:rFonts w:cs="Miriam"/>
          <w:szCs w:val="22"/>
          <w:rtl/>
        </w:rPr>
      </w:pPr>
      <w:r w:rsidRPr="00B510AB">
        <w:rPr>
          <w:rFonts w:cs="Miriam"/>
          <w:szCs w:val="22"/>
          <w:rtl/>
        </w:rPr>
        <w:t>בטחון</w:t>
      </w:r>
      <w:r w:rsidRPr="00B510AB">
        <w:rPr>
          <w:rFonts w:cs="FrankRuehl"/>
          <w:szCs w:val="26"/>
          <w:rtl/>
        </w:rPr>
        <w:t xml:space="preserve"> – צה"ל – שירות בטחון – דחיית שירות לתלמידי ישיבות</w:t>
      </w:r>
    </w:p>
    <w:p w:rsidR="00B702CE" w:rsidRDefault="00B702CE">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702CE" w:rsidRDefault="00B702CE">
            <w:pPr>
              <w:spacing w:line="240" w:lineRule="auto"/>
              <w:jc w:val="left"/>
              <w:rPr>
                <w:rFonts w:hint="cs"/>
                <w:sz w:val="24"/>
              </w:rPr>
            </w:pPr>
            <w:hyperlink w:anchor="Seif0" w:tooltip="הגדרות ופרשנות" w:history="1">
              <w:r>
                <w:rPr>
                  <w:rStyle w:val="Hyperlink"/>
                </w:rPr>
                <w:t>Go</w:t>
              </w:r>
            </w:hyperlink>
          </w:p>
        </w:tc>
        <w:tc>
          <w:tcPr>
            <w:tcW w:w="5669" w:type="dxa"/>
          </w:tcPr>
          <w:p w:rsidR="00B702CE" w:rsidRDefault="00B702CE">
            <w:pPr>
              <w:spacing w:line="240" w:lineRule="auto"/>
              <w:jc w:val="left"/>
              <w:rPr>
                <w:sz w:val="24"/>
                <w:rtl/>
              </w:rPr>
            </w:pPr>
            <w:r>
              <w:rPr>
                <w:sz w:val="24"/>
                <w:rtl/>
              </w:rPr>
              <w:t>הגדרות ופרשנות</w:t>
            </w:r>
          </w:p>
        </w:tc>
        <w:tc>
          <w:tcPr>
            <w:tcW w:w="1247" w:type="dxa"/>
          </w:tcPr>
          <w:p w:rsidR="00B702CE" w:rsidRDefault="00B702CE">
            <w:pPr>
              <w:spacing w:line="240" w:lineRule="auto"/>
              <w:jc w:val="left"/>
              <w:rPr>
                <w:rFonts w:hint="cs"/>
                <w:sz w:val="24"/>
              </w:rPr>
            </w:pPr>
            <w:r>
              <w:rPr>
                <w:sz w:val="24"/>
                <w:rtl/>
              </w:rPr>
              <w:t xml:space="preserve">סעיף 1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702CE" w:rsidRDefault="00B702CE">
            <w:pPr>
              <w:spacing w:line="240" w:lineRule="auto"/>
              <w:jc w:val="left"/>
              <w:rPr>
                <w:rFonts w:hint="cs"/>
                <w:sz w:val="24"/>
              </w:rPr>
            </w:pPr>
            <w:hyperlink w:anchor="Seif1" w:tooltip="דחיית שירות" w:history="1">
              <w:r>
                <w:rPr>
                  <w:rStyle w:val="Hyperlink"/>
                </w:rPr>
                <w:t>Go</w:t>
              </w:r>
            </w:hyperlink>
          </w:p>
        </w:tc>
        <w:tc>
          <w:tcPr>
            <w:tcW w:w="5669" w:type="dxa"/>
          </w:tcPr>
          <w:p w:rsidR="00B702CE" w:rsidRDefault="00B702CE">
            <w:pPr>
              <w:spacing w:line="240" w:lineRule="auto"/>
              <w:jc w:val="left"/>
              <w:rPr>
                <w:sz w:val="24"/>
                <w:rtl/>
              </w:rPr>
            </w:pPr>
            <w:r>
              <w:rPr>
                <w:sz w:val="24"/>
                <w:rtl/>
              </w:rPr>
              <w:t>דחיית שירות</w:t>
            </w:r>
          </w:p>
        </w:tc>
        <w:tc>
          <w:tcPr>
            <w:tcW w:w="1247" w:type="dxa"/>
          </w:tcPr>
          <w:p w:rsidR="00B702CE" w:rsidRDefault="00B702CE">
            <w:pPr>
              <w:spacing w:line="240" w:lineRule="auto"/>
              <w:jc w:val="left"/>
              <w:rPr>
                <w:rFonts w:hint="cs"/>
                <w:sz w:val="24"/>
              </w:rPr>
            </w:pPr>
            <w:r>
              <w:rPr>
                <w:sz w:val="24"/>
                <w:rtl/>
              </w:rPr>
              <w:t xml:space="preserve">סעיף 2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702CE" w:rsidRDefault="00B702CE">
            <w:pPr>
              <w:spacing w:line="240" w:lineRule="auto"/>
              <w:jc w:val="left"/>
              <w:rPr>
                <w:rFonts w:hint="cs"/>
                <w:sz w:val="24"/>
              </w:rPr>
            </w:pPr>
            <w:hyperlink w:anchor="Seif2" w:tooltip="הוראות בדבר מתן הצו" w:history="1">
              <w:r>
                <w:rPr>
                  <w:rStyle w:val="Hyperlink"/>
                </w:rPr>
                <w:t>Go</w:t>
              </w:r>
            </w:hyperlink>
          </w:p>
        </w:tc>
        <w:tc>
          <w:tcPr>
            <w:tcW w:w="5669" w:type="dxa"/>
          </w:tcPr>
          <w:p w:rsidR="00B702CE" w:rsidRDefault="00B702CE">
            <w:pPr>
              <w:spacing w:line="240" w:lineRule="auto"/>
              <w:jc w:val="left"/>
              <w:rPr>
                <w:sz w:val="24"/>
                <w:rtl/>
              </w:rPr>
            </w:pPr>
            <w:r>
              <w:rPr>
                <w:sz w:val="24"/>
                <w:rtl/>
              </w:rPr>
              <w:t>הוראות בדבר מתן הצו</w:t>
            </w:r>
          </w:p>
        </w:tc>
        <w:tc>
          <w:tcPr>
            <w:tcW w:w="1247" w:type="dxa"/>
          </w:tcPr>
          <w:p w:rsidR="00B702CE" w:rsidRDefault="00B702CE">
            <w:pPr>
              <w:spacing w:line="240" w:lineRule="auto"/>
              <w:jc w:val="left"/>
              <w:rPr>
                <w:rFonts w:hint="cs"/>
                <w:sz w:val="24"/>
              </w:rPr>
            </w:pPr>
            <w:r>
              <w:rPr>
                <w:sz w:val="24"/>
                <w:rtl/>
              </w:rPr>
              <w:t xml:space="preserve">סעיף 3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702CE" w:rsidRDefault="00B702CE">
            <w:pPr>
              <w:spacing w:line="240" w:lineRule="auto"/>
              <w:jc w:val="left"/>
              <w:rPr>
                <w:rFonts w:hint="cs"/>
                <w:sz w:val="24"/>
              </w:rPr>
            </w:pPr>
            <w:hyperlink w:anchor="Seif3" w:tooltip="תנאים לדחיית שירות" w:history="1">
              <w:r>
                <w:rPr>
                  <w:rStyle w:val="Hyperlink"/>
                </w:rPr>
                <w:t>Go</w:t>
              </w:r>
            </w:hyperlink>
          </w:p>
        </w:tc>
        <w:tc>
          <w:tcPr>
            <w:tcW w:w="5669" w:type="dxa"/>
          </w:tcPr>
          <w:p w:rsidR="00B702CE" w:rsidRDefault="00B702CE">
            <w:pPr>
              <w:spacing w:line="240" w:lineRule="auto"/>
              <w:jc w:val="left"/>
              <w:rPr>
                <w:sz w:val="24"/>
                <w:rtl/>
              </w:rPr>
            </w:pPr>
            <w:r>
              <w:rPr>
                <w:sz w:val="24"/>
                <w:rtl/>
              </w:rPr>
              <w:t>תנאים לדחיית שירות</w:t>
            </w:r>
          </w:p>
        </w:tc>
        <w:tc>
          <w:tcPr>
            <w:tcW w:w="1247" w:type="dxa"/>
          </w:tcPr>
          <w:p w:rsidR="00B702CE" w:rsidRDefault="00B702CE">
            <w:pPr>
              <w:spacing w:line="240" w:lineRule="auto"/>
              <w:jc w:val="left"/>
              <w:rPr>
                <w:rFonts w:hint="cs"/>
                <w:sz w:val="24"/>
              </w:rPr>
            </w:pPr>
            <w:r>
              <w:rPr>
                <w:sz w:val="24"/>
                <w:rtl/>
              </w:rPr>
              <w:t xml:space="preserve">סעיף 4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702CE" w:rsidRDefault="00B702CE">
            <w:pPr>
              <w:spacing w:line="240" w:lineRule="auto"/>
              <w:jc w:val="left"/>
              <w:rPr>
                <w:rFonts w:hint="cs"/>
                <w:sz w:val="24"/>
              </w:rPr>
            </w:pPr>
            <w:hyperlink w:anchor="Seif4" w:tooltip="שנת הכרעה" w:history="1">
              <w:r>
                <w:rPr>
                  <w:rStyle w:val="Hyperlink"/>
                </w:rPr>
                <w:t>Go</w:t>
              </w:r>
            </w:hyperlink>
          </w:p>
        </w:tc>
        <w:tc>
          <w:tcPr>
            <w:tcW w:w="5669" w:type="dxa"/>
          </w:tcPr>
          <w:p w:rsidR="00B702CE" w:rsidRDefault="00B702CE">
            <w:pPr>
              <w:spacing w:line="240" w:lineRule="auto"/>
              <w:jc w:val="left"/>
              <w:rPr>
                <w:sz w:val="24"/>
                <w:rtl/>
              </w:rPr>
            </w:pPr>
            <w:r>
              <w:rPr>
                <w:sz w:val="24"/>
                <w:rtl/>
              </w:rPr>
              <w:t>שנת הכרעה</w:t>
            </w:r>
          </w:p>
        </w:tc>
        <w:tc>
          <w:tcPr>
            <w:tcW w:w="1247" w:type="dxa"/>
          </w:tcPr>
          <w:p w:rsidR="00B702CE" w:rsidRDefault="00B702CE">
            <w:pPr>
              <w:spacing w:line="240" w:lineRule="auto"/>
              <w:jc w:val="left"/>
              <w:rPr>
                <w:rFonts w:hint="cs"/>
                <w:sz w:val="24"/>
              </w:rPr>
            </w:pPr>
            <w:r>
              <w:rPr>
                <w:sz w:val="24"/>
                <w:rtl/>
              </w:rPr>
              <w:t xml:space="preserve">סעיף 5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702CE" w:rsidRDefault="00B702CE">
            <w:pPr>
              <w:spacing w:line="240" w:lineRule="auto"/>
              <w:jc w:val="left"/>
              <w:rPr>
                <w:rFonts w:hint="cs"/>
                <w:sz w:val="24"/>
              </w:rPr>
            </w:pPr>
            <w:hyperlink w:anchor="Seif5" w:tooltip="שירות אזרחי" w:history="1">
              <w:r>
                <w:rPr>
                  <w:rStyle w:val="Hyperlink"/>
                </w:rPr>
                <w:t>Go</w:t>
              </w:r>
            </w:hyperlink>
          </w:p>
        </w:tc>
        <w:tc>
          <w:tcPr>
            <w:tcW w:w="5669" w:type="dxa"/>
          </w:tcPr>
          <w:p w:rsidR="00B702CE" w:rsidRDefault="00B702CE">
            <w:pPr>
              <w:spacing w:line="240" w:lineRule="auto"/>
              <w:jc w:val="left"/>
              <w:rPr>
                <w:sz w:val="24"/>
                <w:rtl/>
              </w:rPr>
            </w:pPr>
            <w:r>
              <w:rPr>
                <w:sz w:val="24"/>
                <w:rtl/>
              </w:rPr>
              <w:t>שירות אזרחי</w:t>
            </w:r>
          </w:p>
        </w:tc>
        <w:tc>
          <w:tcPr>
            <w:tcW w:w="1247" w:type="dxa"/>
          </w:tcPr>
          <w:p w:rsidR="00B702CE" w:rsidRDefault="00B702CE">
            <w:pPr>
              <w:spacing w:line="240" w:lineRule="auto"/>
              <w:jc w:val="left"/>
              <w:rPr>
                <w:rFonts w:hint="cs"/>
                <w:sz w:val="24"/>
              </w:rPr>
            </w:pPr>
            <w:r>
              <w:rPr>
                <w:sz w:val="24"/>
                <w:rtl/>
              </w:rPr>
              <w:t xml:space="preserve">סעיף 6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702CE" w:rsidRDefault="00B702CE">
            <w:pPr>
              <w:spacing w:line="240" w:lineRule="auto"/>
              <w:jc w:val="left"/>
              <w:rPr>
                <w:rFonts w:hint="cs"/>
                <w:sz w:val="24"/>
              </w:rPr>
            </w:pPr>
            <w:hyperlink w:anchor="Seif6" w:tooltip="חובות מי שחל עליו צו" w:history="1">
              <w:r>
                <w:rPr>
                  <w:rStyle w:val="Hyperlink"/>
                </w:rPr>
                <w:t>Go</w:t>
              </w:r>
            </w:hyperlink>
          </w:p>
        </w:tc>
        <w:tc>
          <w:tcPr>
            <w:tcW w:w="5669" w:type="dxa"/>
          </w:tcPr>
          <w:p w:rsidR="00B702CE" w:rsidRDefault="00B702CE">
            <w:pPr>
              <w:spacing w:line="240" w:lineRule="auto"/>
              <w:jc w:val="left"/>
              <w:rPr>
                <w:sz w:val="24"/>
                <w:rtl/>
              </w:rPr>
            </w:pPr>
            <w:r>
              <w:rPr>
                <w:sz w:val="24"/>
                <w:rtl/>
              </w:rPr>
              <w:t>חובות מי שחל עליו צו</w:t>
            </w:r>
          </w:p>
        </w:tc>
        <w:tc>
          <w:tcPr>
            <w:tcW w:w="1247" w:type="dxa"/>
          </w:tcPr>
          <w:p w:rsidR="00B702CE" w:rsidRDefault="00B702CE">
            <w:pPr>
              <w:spacing w:line="240" w:lineRule="auto"/>
              <w:jc w:val="left"/>
              <w:rPr>
                <w:rFonts w:hint="cs"/>
                <w:sz w:val="24"/>
              </w:rPr>
            </w:pPr>
            <w:r>
              <w:rPr>
                <w:sz w:val="24"/>
                <w:rtl/>
              </w:rPr>
              <w:t xml:space="preserve">סעיף 7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702CE" w:rsidRDefault="00B702CE">
            <w:pPr>
              <w:spacing w:line="240" w:lineRule="auto"/>
              <w:jc w:val="left"/>
              <w:rPr>
                <w:rFonts w:hint="cs"/>
                <w:sz w:val="24"/>
              </w:rPr>
            </w:pPr>
            <w:hyperlink w:anchor="Seif7" w:tooltip="רשימת ישיבות" w:history="1">
              <w:r>
                <w:rPr>
                  <w:rStyle w:val="Hyperlink"/>
                </w:rPr>
                <w:t>Go</w:t>
              </w:r>
            </w:hyperlink>
          </w:p>
        </w:tc>
        <w:tc>
          <w:tcPr>
            <w:tcW w:w="5669" w:type="dxa"/>
          </w:tcPr>
          <w:p w:rsidR="00B702CE" w:rsidRDefault="00B702CE">
            <w:pPr>
              <w:spacing w:line="240" w:lineRule="auto"/>
              <w:jc w:val="left"/>
              <w:rPr>
                <w:sz w:val="24"/>
                <w:rtl/>
              </w:rPr>
            </w:pPr>
            <w:r>
              <w:rPr>
                <w:sz w:val="24"/>
                <w:rtl/>
              </w:rPr>
              <w:t>רשימת ישיבות</w:t>
            </w:r>
          </w:p>
        </w:tc>
        <w:tc>
          <w:tcPr>
            <w:tcW w:w="1247" w:type="dxa"/>
          </w:tcPr>
          <w:p w:rsidR="00B702CE" w:rsidRDefault="00B702CE">
            <w:pPr>
              <w:spacing w:line="240" w:lineRule="auto"/>
              <w:jc w:val="left"/>
              <w:rPr>
                <w:rFonts w:hint="cs"/>
                <w:sz w:val="24"/>
              </w:rPr>
            </w:pPr>
            <w:r>
              <w:rPr>
                <w:sz w:val="24"/>
                <w:rtl/>
              </w:rPr>
              <w:t xml:space="preserve">סעיף 8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702CE" w:rsidRDefault="00B702CE">
            <w:pPr>
              <w:spacing w:line="240" w:lineRule="auto"/>
              <w:jc w:val="left"/>
              <w:rPr>
                <w:rFonts w:hint="cs"/>
                <w:sz w:val="24"/>
              </w:rPr>
            </w:pPr>
            <w:hyperlink w:anchor="Seif8" w:tooltip="לימוד בישיבת הסדר" w:history="1">
              <w:r>
                <w:rPr>
                  <w:rStyle w:val="Hyperlink"/>
                </w:rPr>
                <w:t>Go</w:t>
              </w:r>
            </w:hyperlink>
          </w:p>
        </w:tc>
        <w:tc>
          <w:tcPr>
            <w:tcW w:w="5669" w:type="dxa"/>
          </w:tcPr>
          <w:p w:rsidR="00B702CE" w:rsidRDefault="00B702CE">
            <w:pPr>
              <w:spacing w:line="240" w:lineRule="auto"/>
              <w:jc w:val="left"/>
              <w:rPr>
                <w:sz w:val="24"/>
                <w:rtl/>
              </w:rPr>
            </w:pPr>
            <w:r>
              <w:rPr>
                <w:sz w:val="24"/>
                <w:rtl/>
              </w:rPr>
              <w:t>לימוד בישיבת הסדר</w:t>
            </w:r>
          </w:p>
        </w:tc>
        <w:tc>
          <w:tcPr>
            <w:tcW w:w="1247" w:type="dxa"/>
          </w:tcPr>
          <w:p w:rsidR="00B702CE" w:rsidRDefault="00B702CE">
            <w:pPr>
              <w:spacing w:line="240" w:lineRule="auto"/>
              <w:jc w:val="left"/>
              <w:rPr>
                <w:rFonts w:hint="cs"/>
                <w:sz w:val="24"/>
              </w:rPr>
            </w:pPr>
            <w:r>
              <w:rPr>
                <w:sz w:val="24"/>
                <w:rtl/>
              </w:rPr>
              <w:t xml:space="preserve">סעיף 9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702CE" w:rsidRDefault="00B702CE">
            <w:pPr>
              <w:spacing w:line="240" w:lineRule="auto"/>
              <w:jc w:val="left"/>
              <w:rPr>
                <w:rFonts w:hint="cs"/>
                <w:sz w:val="24"/>
              </w:rPr>
            </w:pPr>
            <w:hyperlink w:anchor="Seif9" w:tooltip="חישוב גילים" w:history="1">
              <w:r>
                <w:rPr>
                  <w:rStyle w:val="Hyperlink"/>
                </w:rPr>
                <w:t>Go</w:t>
              </w:r>
            </w:hyperlink>
          </w:p>
        </w:tc>
        <w:tc>
          <w:tcPr>
            <w:tcW w:w="5669" w:type="dxa"/>
          </w:tcPr>
          <w:p w:rsidR="00B702CE" w:rsidRDefault="00B702CE">
            <w:pPr>
              <w:spacing w:line="240" w:lineRule="auto"/>
              <w:jc w:val="left"/>
              <w:rPr>
                <w:sz w:val="24"/>
                <w:rtl/>
              </w:rPr>
            </w:pPr>
            <w:r>
              <w:rPr>
                <w:sz w:val="24"/>
                <w:rtl/>
              </w:rPr>
              <w:t>חישוב גילים</w:t>
            </w:r>
          </w:p>
        </w:tc>
        <w:tc>
          <w:tcPr>
            <w:tcW w:w="1247" w:type="dxa"/>
          </w:tcPr>
          <w:p w:rsidR="00B702CE" w:rsidRDefault="00B702CE">
            <w:pPr>
              <w:spacing w:line="240" w:lineRule="auto"/>
              <w:jc w:val="left"/>
              <w:rPr>
                <w:rFonts w:hint="cs"/>
                <w:sz w:val="24"/>
              </w:rPr>
            </w:pPr>
            <w:r>
              <w:rPr>
                <w:sz w:val="24"/>
                <w:rtl/>
              </w:rPr>
              <w:t xml:space="preserve">סעיף 10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702CE" w:rsidRDefault="00B702CE">
            <w:pPr>
              <w:spacing w:line="240" w:lineRule="auto"/>
              <w:jc w:val="left"/>
              <w:rPr>
                <w:rFonts w:hint="cs"/>
                <w:sz w:val="24"/>
              </w:rPr>
            </w:pPr>
            <w:hyperlink w:anchor="Seif10" w:tooltip="עונשין" w:history="1">
              <w:r>
                <w:rPr>
                  <w:rStyle w:val="Hyperlink"/>
                </w:rPr>
                <w:t>Go</w:t>
              </w:r>
            </w:hyperlink>
          </w:p>
        </w:tc>
        <w:tc>
          <w:tcPr>
            <w:tcW w:w="5669" w:type="dxa"/>
          </w:tcPr>
          <w:p w:rsidR="00B702CE" w:rsidRDefault="00B702CE">
            <w:pPr>
              <w:spacing w:line="240" w:lineRule="auto"/>
              <w:jc w:val="left"/>
              <w:rPr>
                <w:sz w:val="24"/>
                <w:rtl/>
              </w:rPr>
            </w:pPr>
            <w:r>
              <w:rPr>
                <w:sz w:val="24"/>
                <w:rtl/>
              </w:rPr>
              <w:t>עונשין</w:t>
            </w:r>
          </w:p>
        </w:tc>
        <w:tc>
          <w:tcPr>
            <w:tcW w:w="1247" w:type="dxa"/>
          </w:tcPr>
          <w:p w:rsidR="00B702CE" w:rsidRDefault="00B702CE">
            <w:pPr>
              <w:spacing w:line="240" w:lineRule="auto"/>
              <w:jc w:val="left"/>
              <w:rPr>
                <w:rFonts w:hint="cs"/>
                <w:sz w:val="24"/>
              </w:rPr>
            </w:pPr>
            <w:r>
              <w:rPr>
                <w:sz w:val="24"/>
                <w:rtl/>
              </w:rPr>
              <w:t xml:space="preserve">סעיף 11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702CE" w:rsidRDefault="00B702CE">
            <w:pPr>
              <w:spacing w:line="240" w:lineRule="auto"/>
              <w:jc w:val="left"/>
              <w:rPr>
                <w:rFonts w:hint="cs"/>
                <w:sz w:val="24"/>
              </w:rPr>
            </w:pPr>
            <w:hyperlink w:anchor="Seif11" w:tooltip="שמירת הוראות חוק שירות ביטחון" w:history="1">
              <w:r>
                <w:rPr>
                  <w:rStyle w:val="Hyperlink"/>
                </w:rPr>
                <w:t>Go</w:t>
              </w:r>
            </w:hyperlink>
          </w:p>
        </w:tc>
        <w:tc>
          <w:tcPr>
            <w:tcW w:w="5669" w:type="dxa"/>
          </w:tcPr>
          <w:p w:rsidR="00B702CE" w:rsidRDefault="00B702CE">
            <w:pPr>
              <w:spacing w:line="240" w:lineRule="auto"/>
              <w:jc w:val="left"/>
              <w:rPr>
                <w:sz w:val="24"/>
                <w:rtl/>
              </w:rPr>
            </w:pPr>
            <w:r>
              <w:rPr>
                <w:sz w:val="24"/>
                <w:rtl/>
              </w:rPr>
              <w:t>שמירת הוראות חוק שירות ביטחון</w:t>
            </w:r>
          </w:p>
        </w:tc>
        <w:tc>
          <w:tcPr>
            <w:tcW w:w="1247" w:type="dxa"/>
          </w:tcPr>
          <w:p w:rsidR="00B702CE" w:rsidRDefault="00B702CE">
            <w:pPr>
              <w:spacing w:line="240" w:lineRule="auto"/>
              <w:jc w:val="left"/>
              <w:rPr>
                <w:rFonts w:hint="cs"/>
                <w:sz w:val="24"/>
              </w:rPr>
            </w:pPr>
            <w:r>
              <w:rPr>
                <w:sz w:val="24"/>
                <w:rtl/>
              </w:rPr>
              <w:t xml:space="preserve">סעיף 12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702CE" w:rsidRDefault="00B702CE">
            <w:pPr>
              <w:spacing w:line="240" w:lineRule="auto"/>
              <w:jc w:val="left"/>
              <w:rPr>
                <w:rFonts w:hint="cs"/>
                <w:sz w:val="24"/>
              </w:rPr>
            </w:pPr>
            <w:hyperlink w:anchor="Seif12" w:tooltip="ביצוע ותקנות" w:history="1">
              <w:r>
                <w:rPr>
                  <w:rStyle w:val="Hyperlink"/>
                </w:rPr>
                <w:t>Go</w:t>
              </w:r>
            </w:hyperlink>
          </w:p>
        </w:tc>
        <w:tc>
          <w:tcPr>
            <w:tcW w:w="5669" w:type="dxa"/>
          </w:tcPr>
          <w:p w:rsidR="00B702CE" w:rsidRDefault="00B702CE">
            <w:pPr>
              <w:spacing w:line="240" w:lineRule="auto"/>
              <w:jc w:val="left"/>
              <w:rPr>
                <w:sz w:val="24"/>
                <w:rtl/>
              </w:rPr>
            </w:pPr>
            <w:r>
              <w:rPr>
                <w:sz w:val="24"/>
                <w:rtl/>
              </w:rPr>
              <w:t>ביצוע ותקנות</w:t>
            </w:r>
          </w:p>
        </w:tc>
        <w:tc>
          <w:tcPr>
            <w:tcW w:w="1247" w:type="dxa"/>
          </w:tcPr>
          <w:p w:rsidR="00B702CE" w:rsidRDefault="00B702CE">
            <w:pPr>
              <w:spacing w:line="240" w:lineRule="auto"/>
              <w:jc w:val="left"/>
              <w:rPr>
                <w:rFonts w:hint="cs"/>
                <w:sz w:val="24"/>
              </w:rPr>
            </w:pPr>
            <w:r>
              <w:rPr>
                <w:sz w:val="24"/>
                <w:rtl/>
              </w:rPr>
              <w:t xml:space="preserve">סעיף 13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B702CE" w:rsidRDefault="00B702CE">
            <w:pPr>
              <w:spacing w:line="240" w:lineRule="auto"/>
              <w:jc w:val="left"/>
              <w:rPr>
                <w:rFonts w:hint="cs"/>
                <w:sz w:val="24"/>
              </w:rPr>
            </w:pPr>
            <w:hyperlink w:anchor="Seif13" w:tooltip="הוראת מעבר" w:history="1">
              <w:r>
                <w:rPr>
                  <w:rStyle w:val="Hyperlink"/>
                </w:rPr>
                <w:t>Go</w:t>
              </w:r>
            </w:hyperlink>
          </w:p>
        </w:tc>
        <w:tc>
          <w:tcPr>
            <w:tcW w:w="5669" w:type="dxa"/>
          </w:tcPr>
          <w:p w:rsidR="00B702CE" w:rsidRDefault="00B702CE">
            <w:pPr>
              <w:spacing w:line="240" w:lineRule="auto"/>
              <w:jc w:val="left"/>
              <w:rPr>
                <w:sz w:val="24"/>
                <w:rtl/>
              </w:rPr>
            </w:pPr>
            <w:r>
              <w:rPr>
                <w:sz w:val="24"/>
                <w:rtl/>
              </w:rPr>
              <w:t>הוראת מעבר</w:t>
            </w:r>
          </w:p>
        </w:tc>
        <w:tc>
          <w:tcPr>
            <w:tcW w:w="1247" w:type="dxa"/>
          </w:tcPr>
          <w:p w:rsidR="00B702CE" w:rsidRDefault="00B702CE">
            <w:pPr>
              <w:spacing w:line="240" w:lineRule="auto"/>
              <w:jc w:val="left"/>
              <w:rPr>
                <w:rFonts w:hint="cs"/>
                <w:sz w:val="24"/>
              </w:rPr>
            </w:pPr>
            <w:r>
              <w:rPr>
                <w:sz w:val="24"/>
                <w:rtl/>
              </w:rPr>
              <w:t xml:space="preserve">סעיף 14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B702CE" w:rsidRDefault="00B702CE">
            <w:pPr>
              <w:spacing w:line="240" w:lineRule="auto"/>
              <w:jc w:val="left"/>
              <w:rPr>
                <w:rFonts w:hint="cs"/>
                <w:sz w:val="24"/>
              </w:rPr>
            </w:pPr>
            <w:hyperlink w:anchor="Seif14" w:tooltip="ביטול חוק דחיית שירות ביטחון לתלמידי ישיבות שתורתם אומנותם" w:history="1">
              <w:r>
                <w:rPr>
                  <w:rStyle w:val="Hyperlink"/>
                </w:rPr>
                <w:t>Go</w:t>
              </w:r>
            </w:hyperlink>
          </w:p>
        </w:tc>
        <w:tc>
          <w:tcPr>
            <w:tcW w:w="5669" w:type="dxa"/>
          </w:tcPr>
          <w:p w:rsidR="00B702CE" w:rsidRDefault="00B702CE">
            <w:pPr>
              <w:spacing w:line="240" w:lineRule="auto"/>
              <w:jc w:val="left"/>
              <w:rPr>
                <w:sz w:val="24"/>
                <w:rtl/>
              </w:rPr>
            </w:pPr>
            <w:r>
              <w:rPr>
                <w:sz w:val="24"/>
                <w:rtl/>
              </w:rPr>
              <w:t>ביטול חוק דחיית שירות ביטחון לתלמידי ישיבות שתורתם אומנותם</w:t>
            </w:r>
          </w:p>
        </w:tc>
        <w:tc>
          <w:tcPr>
            <w:tcW w:w="1247" w:type="dxa"/>
          </w:tcPr>
          <w:p w:rsidR="00B702CE" w:rsidRDefault="00B702CE">
            <w:pPr>
              <w:spacing w:line="240" w:lineRule="auto"/>
              <w:jc w:val="left"/>
              <w:rPr>
                <w:rFonts w:hint="cs"/>
                <w:sz w:val="24"/>
              </w:rPr>
            </w:pPr>
            <w:r>
              <w:rPr>
                <w:sz w:val="24"/>
                <w:rtl/>
              </w:rPr>
              <w:t xml:space="preserve">סעיף 15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B702CE" w:rsidRDefault="00B702CE">
            <w:pPr>
              <w:spacing w:line="240" w:lineRule="auto"/>
              <w:jc w:val="left"/>
              <w:rPr>
                <w:rFonts w:hint="cs"/>
                <w:sz w:val="24"/>
              </w:rPr>
            </w:pPr>
            <w:hyperlink w:anchor="Seif15" w:tooltip="הוראת שעה" w:history="1">
              <w:r>
                <w:rPr>
                  <w:rStyle w:val="Hyperlink"/>
                </w:rPr>
                <w:t>Go</w:t>
              </w:r>
            </w:hyperlink>
          </w:p>
        </w:tc>
        <w:tc>
          <w:tcPr>
            <w:tcW w:w="5669" w:type="dxa"/>
          </w:tcPr>
          <w:p w:rsidR="00B702CE" w:rsidRDefault="00B702CE">
            <w:pPr>
              <w:spacing w:line="240" w:lineRule="auto"/>
              <w:jc w:val="left"/>
              <w:rPr>
                <w:sz w:val="24"/>
                <w:rtl/>
              </w:rPr>
            </w:pPr>
            <w:r>
              <w:rPr>
                <w:sz w:val="24"/>
                <w:rtl/>
              </w:rPr>
              <w:t>הוראת שעה</w:t>
            </w:r>
          </w:p>
        </w:tc>
        <w:tc>
          <w:tcPr>
            <w:tcW w:w="1247" w:type="dxa"/>
          </w:tcPr>
          <w:p w:rsidR="00B702CE" w:rsidRDefault="00B702CE">
            <w:pPr>
              <w:spacing w:line="240" w:lineRule="auto"/>
              <w:jc w:val="left"/>
              <w:rPr>
                <w:rFonts w:hint="cs"/>
                <w:sz w:val="24"/>
              </w:rPr>
            </w:pPr>
            <w:r>
              <w:rPr>
                <w:sz w:val="24"/>
                <w:rtl/>
              </w:rPr>
              <w:t xml:space="preserve">סעיף 16 </w:t>
            </w:r>
          </w:p>
        </w:tc>
      </w:tr>
      <w:tr w:rsidR="00B702CE">
        <w:tblPrEx>
          <w:tblCellMar>
            <w:top w:w="0" w:type="dxa"/>
            <w:bottom w:w="0" w:type="dxa"/>
          </w:tblCellMar>
        </w:tblPrEx>
        <w:trPr>
          <w:jc w:val="right"/>
        </w:trPr>
        <w:tc>
          <w:tcPr>
            <w:tcW w:w="850" w:type="dxa"/>
          </w:tcPr>
          <w:p w:rsidR="00B702CE" w:rsidRDefault="00B702CE">
            <w:pPr>
              <w:spacing w:line="240" w:lineRule="auto"/>
              <w:jc w:val="left"/>
              <w:rPr>
                <w:rFonts w:hint="cs"/>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B702CE" w:rsidRDefault="00B702CE">
            <w:pPr>
              <w:spacing w:line="240" w:lineRule="auto"/>
              <w:jc w:val="left"/>
              <w:rPr>
                <w:rFonts w:hint="cs"/>
                <w:sz w:val="24"/>
              </w:rPr>
            </w:pPr>
            <w:hyperlink w:anchor="Seif16" w:tooltip="תחילה" w:history="1">
              <w:r>
                <w:rPr>
                  <w:rStyle w:val="Hyperlink"/>
                </w:rPr>
                <w:t>Go</w:t>
              </w:r>
            </w:hyperlink>
          </w:p>
        </w:tc>
        <w:tc>
          <w:tcPr>
            <w:tcW w:w="5669" w:type="dxa"/>
          </w:tcPr>
          <w:p w:rsidR="00B702CE" w:rsidRDefault="00B702CE">
            <w:pPr>
              <w:spacing w:line="240" w:lineRule="auto"/>
              <w:jc w:val="left"/>
              <w:rPr>
                <w:sz w:val="24"/>
                <w:rtl/>
              </w:rPr>
            </w:pPr>
            <w:r>
              <w:rPr>
                <w:sz w:val="24"/>
                <w:rtl/>
              </w:rPr>
              <w:t>תחילה</w:t>
            </w:r>
          </w:p>
        </w:tc>
        <w:tc>
          <w:tcPr>
            <w:tcW w:w="1247" w:type="dxa"/>
          </w:tcPr>
          <w:p w:rsidR="00B702CE" w:rsidRDefault="00B702CE">
            <w:pPr>
              <w:spacing w:line="240" w:lineRule="auto"/>
              <w:jc w:val="left"/>
              <w:rPr>
                <w:rFonts w:hint="cs"/>
                <w:sz w:val="24"/>
              </w:rPr>
            </w:pPr>
            <w:r>
              <w:rPr>
                <w:sz w:val="24"/>
                <w:rtl/>
              </w:rPr>
              <w:t xml:space="preserve">סעיף 17 </w:t>
            </w:r>
          </w:p>
        </w:tc>
      </w:tr>
    </w:tbl>
    <w:p w:rsidR="00B702CE" w:rsidRDefault="00B702CE">
      <w:pPr>
        <w:pStyle w:val="big-header"/>
        <w:ind w:left="0" w:right="1134"/>
        <w:rPr>
          <w:rFonts w:cs="FrankRuehl" w:hint="cs"/>
          <w:sz w:val="32"/>
          <w:rtl/>
        </w:rPr>
      </w:pPr>
    </w:p>
    <w:p w:rsidR="00B702CE" w:rsidRDefault="00B702CE" w:rsidP="00B510AB">
      <w:pPr>
        <w:pStyle w:val="big-header"/>
        <w:ind w:left="0" w:right="1134"/>
        <w:rPr>
          <w:rStyle w:val="default"/>
          <w:rFonts w:cs="FrankRuehl" w:hint="cs"/>
          <w:rtl/>
        </w:rPr>
      </w:pPr>
      <w:r>
        <w:rPr>
          <w:rFonts w:cs="FrankRuehl"/>
          <w:sz w:val="32"/>
          <w:rtl/>
        </w:rPr>
        <w:br w:type="page"/>
      </w:r>
      <w:r>
        <w:rPr>
          <w:rFonts w:cs="FrankRuehl" w:hint="cs"/>
          <w:sz w:val="32"/>
          <w:rtl/>
        </w:rPr>
        <w:lastRenderedPageBreak/>
        <w:t>חוק דחיית שירות לתלמידי ישיבות שתורתם אומנותם, תשס"ב-2002</w:t>
      </w:r>
      <w:r>
        <w:rPr>
          <w:rStyle w:val="default"/>
          <w:sz w:val="22"/>
          <w:szCs w:val="22"/>
          <w:rtl/>
        </w:rPr>
        <w:footnoteReference w:customMarkFollows="1" w:id="1"/>
        <w:t>*</w:t>
      </w:r>
    </w:p>
    <w:p w:rsidR="00B702CE" w:rsidRDefault="00B702CE">
      <w:pPr>
        <w:pStyle w:val="P00"/>
        <w:spacing w:before="72"/>
        <w:ind w:left="0" w:right="1134"/>
        <w:rPr>
          <w:rStyle w:val="default"/>
          <w:rFonts w:cs="FrankRuehl" w:hint="cs"/>
          <w:rtl/>
        </w:rPr>
      </w:pPr>
      <w:bookmarkStart w:id="0" w:name="Seif0"/>
      <w:bookmarkEnd w:id="0"/>
      <w:r>
        <w:rPr>
          <w:rFonts w:cs="Miriam"/>
          <w:szCs w:val="32"/>
          <w:rtl/>
          <w:lang w:val="he-IL"/>
        </w:rPr>
        <w:pict>
          <v:shapetype id="_x0000_t202" coordsize="21600,21600" o:spt="202" path="m,l,21600r21600,l21600,xe">
            <v:stroke joinstyle="miter"/>
            <v:path gradientshapeok="t" o:connecttype="rect"/>
          </v:shapetype>
          <v:shape id="_x0000_s2051" type="#_x0000_t202" style="position:absolute;left:0;text-align:left;margin-left:470.25pt;margin-top:1.5pt;width:1in;height:15.8pt;z-index:251649024" filled="f" stroked="f">
            <v:textbox inset="1mm,,1mm">
              <w:txbxContent>
                <w:p w:rsidR="00B702CE" w:rsidRDefault="00B702CE">
                  <w:pPr>
                    <w:spacing w:line="160" w:lineRule="exact"/>
                    <w:jc w:val="left"/>
                    <w:rPr>
                      <w:rFonts w:cs="Miriam" w:hint="cs"/>
                      <w:szCs w:val="18"/>
                      <w:rtl/>
                    </w:rPr>
                  </w:pPr>
                  <w:r>
                    <w:rPr>
                      <w:rFonts w:cs="Miriam" w:hint="cs"/>
                      <w:szCs w:val="18"/>
                      <w:rtl/>
                    </w:rPr>
                    <w:t>הגדרות ופרשנות</w:t>
                  </w:r>
                </w:p>
              </w:txbxContent>
            </v:textbox>
            <w10:anchorlock/>
          </v:shape>
        </w:pict>
      </w:r>
      <w:r>
        <w:rPr>
          <w:rStyle w:val="default"/>
          <w:rFonts w:cs="Miriam" w:hint="cs"/>
          <w:sz w:val="32"/>
          <w:szCs w:val="32"/>
          <w:rtl/>
        </w:rPr>
        <w:t>1</w:t>
      </w:r>
      <w:r>
        <w:rPr>
          <w:rStyle w:val="default"/>
          <w:rFonts w:cs="FrankRuehl" w:hint="cs"/>
          <w:rtl/>
        </w:rPr>
        <w:t>.</w:t>
      </w:r>
      <w:r>
        <w:rPr>
          <w:rStyle w:val="default"/>
          <w:rFonts w:cs="FrankRuehl" w:hint="cs"/>
          <w:rtl/>
        </w:rPr>
        <w:tab/>
        <w:t>(א)</w:t>
      </w:r>
      <w:r>
        <w:rPr>
          <w:rStyle w:val="default"/>
          <w:rFonts w:cs="FrankRuehl" w:hint="cs"/>
          <w:rtl/>
        </w:rPr>
        <w:tab/>
        <w:t xml:space="preserve">בחוק זה </w:t>
      </w:r>
      <w:r>
        <w:rPr>
          <w:rStyle w:val="default"/>
          <w:rFonts w:cs="FrankRuehl"/>
          <w:rtl/>
        </w:rPr>
        <w:t>–</w:t>
      </w:r>
    </w:p>
    <w:p w:rsidR="00B702CE" w:rsidRDefault="00B702CE">
      <w:pPr>
        <w:pStyle w:val="P00"/>
        <w:spacing w:before="72"/>
        <w:ind w:left="0" w:right="1134"/>
        <w:rPr>
          <w:rStyle w:val="default"/>
          <w:rFonts w:cs="FrankRuehl" w:hint="cs"/>
          <w:rtl/>
        </w:rPr>
      </w:pPr>
      <w:r>
        <w:rPr>
          <w:rStyle w:val="default"/>
          <w:rFonts w:cs="FrankRuehl" w:hint="cs"/>
          <w:rtl/>
        </w:rPr>
        <w:tab/>
        <w:t xml:space="preserve">"חוק שירות ביטחון" </w:t>
      </w:r>
      <w:r>
        <w:rPr>
          <w:rStyle w:val="default"/>
          <w:rFonts w:cs="FrankRuehl"/>
          <w:rtl/>
        </w:rPr>
        <w:t>–</w:t>
      </w:r>
      <w:r>
        <w:rPr>
          <w:rStyle w:val="default"/>
          <w:rFonts w:cs="FrankRuehl" w:hint="cs"/>
          <w:rtl/>
        </w:rPr>
        <w:t xml:space="preserve"> חוק שירות ביטחון [נוסח משולב], התשמ"ו-1986;</w:t>
      </w:r>
    </w:p>
    <w:p w:rsidR="00B702CE" w:rsidRDefault="00B702CE">
      <w:pPr>
        <w:pStyle w:val="P00"/>
        <w:spacing w:before="72"/>
        <w:ind w:left="0" w:right="1134"/>
        <w:rPr>
          <w:rStyle w:val="default"/>
          <w:rFonts w:cs="FrankRuehl" w:hint="cs"/>
          <w:rtl/>
        </w:rPr>
      </w:pPr>
      <w:r>
        <w:rPr>
          <w:rStyle w:val="default"/>
          <w:rFonts w:cs="FrankRuehl" w:hint="cs"/>
          <w:rtl/>
        </w:rPr>
        <w:tab/>
        <w:t xml:space="preserve">"ישיבה" </w:t>
      </w:r>
      <w:r>
        <w:rPr>
          <w:rStyle w:val="default"/>
          <w:rFonts w:cs="FrankRuehl"/>
          <w:rtl/>
        </w:rPr>
        <w:t>–</w:t>
      </w:r>
      <w:r>
        <w:rPr>
          <w:rStyle w:val="default"/>
          <w:rFonts w:cs="FrankRuehl" w:hint="cs"/>
          <w:rtl/>
        </w:rPr>
        <w:t xml:space="preserve"> ישיבה או כולל, שמתקיימים בהם לימודים תורניים בלבד, והכלולים ברשימה שקבע לענין זה השר לפי סעיף 8;</w:t>
      </w:r>
    </w:p>
    <w:p w:rsidR="00B702CE" w:rsidRDefault="00B702CE">
      <w:pPr>
        <w:pStyle w:val="P00"/>
        <w:spacing w:before="72"/>
        <w:ind w:left="0" w:right="1134"/>
        <w:rPr>
          <w:rStyle w:val="default"/>
          <w:rFonts w:cs="FrankRuehl" w:hint="cs"/>
          <w:rtl/>
        </w:rPr>
      </w:pPr>
      <w:r>
        <w:rPr>
          <w:rStyle w:val="default"/>
          <w:rFonts w:cs="FrankRuehl" w:hint="cs"/>
          <w:rtl/>
        </w:rPr>
        <w:tab/>
        <w:t xml:space="preserve">"עיסוק" </w:t>
      </w:r>
      <w:r>
        <w:rPr>
          <w:rStyle w:val="default"/>
          <w:rFonts w:cs="FrankRuehl"/>
          <w:rtl/>
        </w:rPr>
        <w:t>–</w:t>
      </w:r>
      <w:r>
        <w:rPr>
          <w:rStyle w:val="default"/>
          <w:rFonts w:cs="FrankRuehl" w:hint="cs"/>
          <w:rtl/>
        </w:rPr>
        <w:t xml:space="preserve"> כל עבודה שמקובל לקבל בעבורה שכר, בין שהיא נעשית בשכר ובין שנעשית שלא בשכר, הכשרה מקצועית, וכן כל עיסוק אחר שקבע השר;</w:t>
      </w:r>
    </w:p>
    <w:p w:rsidR="00B702CE" w:rsidRDefault="00B702CE">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הביטחון.</w:t>
      </w:r>
    </w:p>
    <w:p w:rsidR="00B702CE" w:rsidRDefault="00B702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שאר המונחים בחוק זה תהיה המשמעות הנודעת להם בחוק שירות ביטחון.</w:t>
      </w:r>
    </w:p>
    <w:p w:rsidR="00B702CE" w:rsidRDefault="00B702CE">
      <w:pPr>
        <w:pStyle w:val="P00"/>
        <w:spacing w:before="72"/>
        <w:ind w:left="0" w:right="1134"/>
        <w:rPr>
          <w:rStyle w:val="default"/>
          <w:rFonts w:cs="FrankRuehl" w:hint="cs"/>
          <w:rtl/>
        </w:rPr>
      </w:pPr>
      <w:bookmarkStart w:id="1" w:name="Seif1"/>
      <w:bookmarkEnd w:id="1"/>
      <w:r>
        <w:rPr>
          <w:rFonts w:cs="Miriam"/>
          <w:szCs w:val="32"/>
          <w:rtl/>
          <w:lang w:val="he-IL"/>
        </w:rPr>
        <w:pict>
          <v:shape id="_x0000_s2052" type="#_x0000_t202" style="position:absolute;left:0;text-align:left;margin-left:470.25pt;margin-top:4pt;width:1in;height:16.2pt;z-index:251650048" filled="f" stroked="f">
            <v:textbox inset="1mm,,1mm">
              <w:txbxContent>
                <w:p w:rsidR="00B702CE" w:rsidRDefault="00B702CE">
                  <w:pPr>
                    <w:spacing w:line="160" w:lineRule="exact"/>
                    <w:jc w:val="left"/>
                    <w:rPr>
                      <w:rFonts w:cs="Miriam" w:hint="cs"/>
                      <w:szCs w:val="18"/>
                      <w:rtl/>
                    </w:rPr>
                  </w:pPr>
                  <w:r>
                    <w:rPr>
                      <w:rFonts w:cs="Miriam" w:hint="cs"/>
                      <w:szCs w:val="18"/>
                      <w:rtl/>
                    </w:rPr>
                    <w:t>דחיית שירות</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 xml:space="preserve">לבקשת מיועד לשירות ביטחון, רשאי השר לדחות, בצו, את מועד התייצבותו לרישום, לבדיקה רפואית או לשירות ביטחון (להלן </w:t>
      </w:r>
      <w:r>
        <w:rPr>
          <w:rStyle w:val="default"/>
          <w:rFonts w:cs="FrankRuehl"/>
          <w:rtl/>
        </w:rPr>
        <w:t>–</w:t>
      </w:r>
      <w:r>
        <w:rPr>
          <w:rStyle w:val="default"/>
          <w:rFonts w:cs="FrankRuehl" w:hint="cs"/>
          <w:rtl/>
        </w:rPr>
        <w:t xml:space="preserve"> צו דחיית שירות) אם התמלאו בו כל אלה:</w:t>
      </w:r>
    </w:p>
    <w:p w:rsidR="00B702CE" w:rsidRDefault="00B702C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לומד בישיבה באופן סדיר, בהיקף שלא יפחת מארבעים וחמש שעות בשבוע, למעט בתקופות חופשה שקבע השר;</w:t>
      </w:r>
    </w:p>
    <w:p w:rsidR="00B702CE" w:rsidRDefault="00B702CE">
      <w:pPr>
        <w:pStyle w:val="P00"/>
        <w:spacing w:before="72"/>
        <w:ind w:left="624" w:right="1134"/>
        <w:rPr>
          <w:rStyle w:val="default"/>
          <w:rFonts w:cs="FrankRuehl" w:hint="cs"/>
          <w:rtl/>
        </w:rPr>
      </w:pPr>
      <w:r>
        <w:rPr>
          <w:rFonts w:cs="FrankRuehl"/>
          <w:rtl/>
          <w:lang w:val="he-IL"/>
        </w:rPr>
        <w:pict>
          <v:shape id="_x0000_s2079" type="#_x0000_t202" style="position:absolute;left:0;text-align:left;margin-left:462pt;margin-top:2pt;width:80.25pt;height:28.8pt;z-index:251666432" filled="f" stroked="f">
            <v:textbox inset="1mm,,1mm">
              <w:txbxContent>
                <w:p w:rsidR="00B702CE" w:rsidRDefault="00B702CE">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תשס"ג-2003</w:t>
                  </w:r>
                </w:p>
              </w:txbxContent>
            </v:textbox>
            <w10:anchorlock/>
          </v:shape>
        </w:pict>
      </w:r>
      <w:r>
        <w:rPr>
          <w:rStyle w:val="default"/>
          <w:rFonts w:cs="FrankRuehl" w:hint="cs"/>
          <w:rtl/>
        </w:rPr>
        <w:t>(2)</w:t>
      </w:r>
      <w:r>
        <w:rPr>
          <w:rStyle w:val="default"/>
          <w:rFonts w:cs="FrankRuehl" w:hint="cs"/>
          <w:rtl/>
        </w:rPr>
        <w:tab/>
        <w:t xml:space="preserve">הוא אינו עוסק בכל עיסוק נוסף על לימודיו בישיבה ולגבי מיועד לשירות ביטחון שחלו עליו צווי דחיית שירות במשך ארבע שנים לפחות, ומלאו לו 23 שנים </w:t>
      </w:r>
      <w:r>
        <w:rPr>
          <w:rStyle w:val="default"/>
          <w:rFonts w:cs="FrankRuehl"/>
          <w:rtl/>
        </w:rPr>
        <w:t>–</w:t>
      </w:r>
      <w:r>
        <w:rPr>
          <w:rStyle w:val="default"/>
          <w:rFonts w:cs="FrankRuehl" w:hint="cs"/>
          <w:rtl/>
        </w:rPr>
        <w:t xml:space="preserve"> הוא אינו עוסק בעיסוק נוסף בשעות לימודיו בישיבה כאמור בפסקה (1);</w:t>
      </w:r>
    </w:p>
    <w:p w:rsidR="00B702CE" w:rsidRDefault="00B702C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הצהיר, בתצהיר שניתן בהתאם לסעיף 15 לפקודת הראיות [נוסח חדש], התשל"א-1971, כי מתקיימים בו התנאים בפסקאות (1) ו-(2);</w:t>
      </w:r>
    </w:p>
    <w:p w:rsidR="00B702CE" w:rsidRDefault="00B702C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ראש הישיבה שבה הוא לומד אישר בכתב כי מתקיים בו התנאי שבפסקה (1), והתחייב כי כאשר יחדל להתקיים בו התנאי האמור יודיע על כך לפוקד בתוך 30 ימים.</w:t>
      </w:r>
    </w:p>
    <w:p w:rsidR="00B702CE" w:rsidRPr="00A90CAA" w:rsidRDefault="00B702CE">
      <w:pPr>
        <w:pStyle w:val="P00"/>
        <w:spacing w:before="0"/>
        <w:ind w:left="624" w:right="1134"/>
        <w:rPr>
          <w:rFonts w:cs="FrankRuehl" w:hint="cs"/>
          <w:b/>
          <w:bCs/>
          <w:vanish/>
          <w:szCs w:val="20"/>
          <w:shd w:val="clear" w:color="auto" w:fill="FFFF99"/>
          <w:rtl/>
        </w:rPr>
      </w:pPr>
      <w:bookmarkStart w:id="2" w:name="Rov1"/>
      <w:r w:rsidRPr="00A90CAA">
        <w:rPr>
          <w:rFonts w:cs="FrankRuehl" w:hint="cs"/>
          <w:vanish/>
          <w:color w:val="FF0000"/>
          <w:szCs w:val="20"/>
          <w:shd w:val="clear" w:color="auto" w:fill="FFFF99"/>
          <w:rtl/>
        </w:rPr>
        <w:t>מיום 1.6.2003</w:t>
      </w:r>
    </w:p>
    <w:p w:rsidR="00B702CE" w:rsidRPr="00A90CAA" w:rsidRDefault="00B702CE">
      <w:pPr>
        <w:pStyle w:val="P00"/>
        <w:spacing w:before="0"/>
        <w:ind w:left="624" w:right="1134"/>
        <w:rPr>
          <w:rFonts w:cs="FrankRuehl" w:hint="cs"/>
          <w:b/>
          <w:bCs/>
          <w:vanish/>
          <w:szCs w:val="20"/>
          <w:shd w:val="clear" w:color="auto" w:fill="FFFF99"/>
          <w:rtl/>
        </w:rPr>
      </w:pPr>
      <w:r w:rsidRPr="00A90CAA">
        <w:rPr>
          <w:rFonts w:cs="FrankRuehl" w:hint="cs"/>
          <w:b/>
          <w:bCs/>
          <w:vanish/>
          <w:szCs w:val="20"/>
          <w:shd w:val="clear" w:color="auto" w:fill="FFFF99"/>
          <w:rtl/>
        </w:rPr>
        <w:t>תיקון מס' 1</w:t>
      </w:r>
    </w:p>
    <w:p w:rsidR="00B702CE" w:rsidRPr="00A90CAA" w:rsidRDefault="00B702CE">
      <w:pPr>
        <w:pStyle w:val="P00"/>
        <w:tabs>
          <w:tab w:val="clear" w:pos="6259"/>
        </w:tabs>
        <w:spacing w:before="0"/>
        <w:ind w:left="624" w:right="1134"/>
        <w:rPr>
          <w:rFonts w:cs="FrankRuehl" w:hint="cs"/>
          <w:vanish/>
          <w:szCs w:val="20"/>
          <w:shd w:val="clear" w:color="auto" w:fill="FFFF99"/>
          <w:rtl/>
        </w:rPr>
      </w:pPr>
      <w:hyperlink r:id="rId6" w:history="1">
        <w:r w:rsidRPr="00A90CAA">
          <w:rPr>
            <w:rStyle w:val="Hyperlink"/>
            <w:rFonts w:cs="FrankRuehl" w:hint="cs"/>
            <w:vanish/>
            <w:szCs w:val="20"/>
            <w:shd w:val="clear" w:color="auto" w:fill="FFFF99"/>
            <w:rtl/>
          </w:rPr>
          <w:t>ס"ח תשס"ג מס' 1892</w:t>
        </w:r>
      </w:hyperlink>
      <w:r w:rsidRPr="00A90CAA">
        <w:rPr>
          <w:rFonts w:cs="FrankRuehl" w:hint="cs"/>
          <w:vanish/>
          <w:szCs w:val="20"/>
          <w:shd w:val="clear" w:color="auto" w:fill="FFFF99"/>
          <w:rtl/>
        </w:rPr>
        <w:t xml:space="preserve"> מיום 1.6.2003 בעמ' 494 (</w:t>
      </w:r>
      <w:hyperlink r:id="rId7" w:history="1">
        <w:r w:rsidRPr="00A90CAA">
          <w:rPr>
            <w:rStyle w:val="Hyperlink"/>
            <w:rFonts w:cs="FrankRuehl" w:hint="cs"/>
            <w:vanish/>
            <w:szCs w:val="20"/>
            <w:shd w:val="clear" w:color="auto" w:fill="FFFF99"/>
            <w:rtl/>
          </w:rPr>
          <w:t>ה"ח 25</w:t>
        </w:r>
      </w:hyperlink>
      <w:r w:rsidRPr="00A90CAA">
        <w:rPr>
          <w:rFonts w:cs="FrankRuehl" w:hint="cs"/>
          <w:vanish/>
          <w:szCs w:val="20"/>
          <w:shd w:val="clear" w:color="auto" w:fill="FFFF99"/>
          <w:rtl/>
        </w:rPr>
        <w:t>)</w:t>
      </w:r>
    </w:p>
    <w:p w:rsidR="00B702CE" w:rsidRDefault="00B702CE">
      <w:pPr>
        <w:pStyle w:val="P00"/>
        <w:ind w:left="624" w:right="1134"/>
        <w:rPr>
          <w:rStyle w:val="default"/>
          <w:rFonts w:cs="FrankRuehl" w:hint="cs"/>
          <w:sz w:val="2"/>
          <w:szCs w:val="2"/>
          <w:rtl/>
        </w:rPr>
      </w:pPr>
      <w:r w:rsidRPr="00A90CAA">
        <w:rPr>
          <w:rStyle w:val="default"/>
          <w:rFonts w:cs="FrankRuehl" w:hint="cs"/>
          <w:vanish/>
          <w:sz w:val="22"/>
          <w:szCs w:val="22"/>
          <w:shd w:val="clear" w:color="auto" w:fill="FFFF99"/>
          <w:rtl/>
        </w:rPr>
        <w:t>(2)</w:t>
      </w:r>
      <w:r w:rsidRPr="00A90CAA">
        <w:rPr>
          <w:rStyle w:val="default"/>
          <w:rFonts w:cs="FrankRuehl" w:hint="cs"/>
          <w:vanish/>
          <w:sz w:val="22"/>
          <w:szCs w:val="22"/>
          <w:shd w:val="clear" w:color="auto" w:fill="FFFF99"/>
          <w:rtl/>
        </w:rPr>
        <w:tab/>
        <w:t xml:space="preserve">הוא אינו עוסק בכל עיסוק נוסף על לימודיו בישיבה </w:t>
      </w:r>
      <w:r w:rsidRPr="00A90CAA">
        <w:rPr>
          <w:rStyle w:val="default"/>
          <w:rFonts w:cs="FrankRuehl" w:hint="cs"/>
          <w:vanish/>
          <w:sz w:val="22"/>
          <w:szCs w:val="22"/>
          <w:u w:val="single"/>
          <w:shd w:val="clear" w:color="auto" w:fill="FFFF99"/>
          <w:rtl/>
        </w:rPr>
        <w:t xml:space="preserve">ולגבי מיועד לשירות ביטחון שחלו עליו צווי דחיית שירות במשך ארבע שנים לפחות, ומלאו לו 23 שנים </w:t>
      </w:r>
      <w:r w:rsidRPr="00A90CAA">
        <w:rPr>
          <w:rStyle w:val="default"/>
          <w:rFonts w:cs="FrankRuehl"/>
          <w:vanish/>
          <w:sz w:val="22"/>
          <w:szCs w:val="22"/>
          <w:u w:val="single"/>
          <w:shd w:val="clear" w:color="auto" w:fill="FFFF99"/>
          <w:rtl/>
        </w:rPr>
        <w:t>–</w:t>
      </w:r>
      <w:r w:rsidRPr="00A90CAA">
        <w:rPr>
          <w:rStyle w:val="default"/>
          <w:rFonts w:cs="FrankRuehl" w:hint="cs"/>
          <w:vanish/>
          <w:sz w:val="22"/>
          <w:szCs w:val="22"/>
          <w:u w:val="single"/>
          <w:shd w:val="clear" w:color="auto" w:fill="FFFF99"/>
          <w:rtl/>
        </w:rPr>
        <w:t xml:space="preserve"> הוא אינו עוסק בעיסוק נוסף בשעות לימודיו בישיבה כאמור בפסקה (1)</w:t>
      </w:r>
      <w:r w:rsidRPr="00A90CAA">
        <w:rPr>
          <w:rStyle w:val="default"/>
          <w:rFonts w:cs="FrankRuehl" w:hint="cs"/>
          <w:vanish/>
          <w:sz w:val="22"/>
          <w:szCs w:val="22"/>
          <w:shd w:val="clear" w:color="auto" w:fill="FFFF99"/>
          <w:rtl/>
        </w:rPr>
        <w:t>;</w:t>
      </w:r>
      <w:bookmarkEnd w:id="2"/>
    </w:p>
    <w:p w:rsidR="00B702CE" w:rsidRDefault="00B702CE">
      <w:pPr>
        <w:pStyle w:val="P00"/>
        <w:spacing w:before="72"/>
        <w:ind w:left="0" w:right="1134"/>
        <w:rPr>
          <w:rStyle w:val="default"/>
          <w:rFonts w:cs="FrankRuehl" w:hint="cs"/>
          <w:rtl/>
        </w:rPr>
      </w:pPr>
      <w:bookmarkStart w:id="3" w:name="Seif2"/>
      <w:bookmarkEnd w:id="3"/>
      <w:r>
        <w:rPr>
          <w:rFonts w:cs="Miriam"/>
          <w:szCs w:val="32"/>
          <w:rtl/>
          <w:lang w:val="he-IL"/>
        </w:rPr>
        <w:pict>
          <v:shape id="_x0000_s2053" type="#_x0000_t202" style="position:absolute;left:0;text-align:left;margin-left:470.25pt;margin-top:7.05pt;width:1in;height:25.2pt;z-index:251651072" filled="f" stroked="f">
            <v:textbox inset="1mm,,1mm">
              <w:txbxContent>
                <w:p w:rsidR="00B702CE" w:rsidRDefault="00B702CE">
                  <w:pPr>
                    <w:pStyle w:val="2"/>
                    <w:rPr>
                      <w:rFonts w:hint="cs"/>
                      <w:rtl/>
                    </w:rPr>
                  </w:pPr>
                  <w:r>
                    <w:rPr>
                      <w:rFonts w:hint="cs"/>
                      <w:rtl/>
                    </w:rPr>
                    <w:t>הוראות בדבר מתן הצו</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צו דחיית שירות יינתן לתקופה שלא תעלה על שנה אחת.</w:t>
      </w:r>
    </w:p>
    <w:p w:rsidR="00B702CE" w:rsidRDefault="00B702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לחזור ולתת צו דחיית שירות כאמור בסעיף קטן (א), ובלבד שהתצהחר והאישור לפי סעיף 2(3) ו-(4) יינתנו מחדש עובד למתן כל צו.</w:t>
      </w:r>
    </w:p>
    <w:p w:rsidR="00B702CE" w:rsidRDefault="00B702C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 דחיית שירות יינתן לכל מי שמתקיימים בו התנאים שבסעיף 2, וכן התנאים המוקדמים שנקבעו לפי סעיף 13(א)(2), אלא אם כן שוכנע השר שצורכי הביטחון של מדינת ישראל אינם מאפשרים זאת.</w:t>
      </w:r>
    </w:p>
    <w:p w:rsidR="00B702CE" w:rsidRDefault="00B702CE">
      <w:pPr>
        <w:pStyle w:val="P00"/>
        <w:spacing w:before="72"/>
        <w:ind w:left="0" w:right="1134"/>
        <w:rPr>
          <w:rStyle w:val="default"/>
          <w:rFonts w:cs="FrankRuehl" w:hint="cs"/>
          <w:rtl/>
        </w:rPr>
      </w:pPr>
      <w:bookmarkStart w:id="4" w:name="Seif3"/>
      <w:bookmarkEnd w:id="4"/>
      <w:r>
        <w:rPr>
          <w:rFonts w:cs="Miriam"/>
          <w:szCs w:val="32"/>
          <w:rtl/>
          <w:lang w:val="he-IL"/>
        </w:rPr>
        <w:pict>
          <v:shape id="_x0000_s2065" type="#_x0000_t202" style="position:absolute;left:0;text-align:left;margin-left:462pt;margin-top:7.1pt;width:80.25pt;height:10.15pt;z-index:251652096" filled="f" stroked="f">
            <v:textbox inset="1mm,0,1mm,0">
              <w:txbxContent>
                <w:p w:rsidR="00B702CE" w:rsidRDefault="00B702CE">
                  <w:pPr>
                    <w:spacing w:line="160" w:lineRule="exact"/>
                    <w:jc w:val="left"/>
                    <w:rPr>
                      <w:rFonts w:cs="Miriam" w:hint="cs"/>
                      <w:szCs w:val="18"/>
                      <w:rtl/>
                    </w:rPr>
                  </w:pPr>
                  <w:r>
                    <w:rPr>
                      <w:rFonts w:cs="Miriam" w:hint="cs"/>
                      <w:szCs w:val="18"/>
                      <w:rtl/>
                    </w:rPr>
                    <w:t>תנאים לדחיית שירות</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צו דחיית שירות מותנה בכך שימשיכו להתקיים במי שהצו חל עליו התנאים האמורים בסעיף 2(1) ו-(2) כל עוד הצו בתוקפו.</w:t>
      </w:r>
    </w:p>
    <w:p w:rsidR="00B702CE" w:rsidRDefault="00B702CE">
      <w:pPr>
        <w:pStyle w:val="P00"/>
        <w:tabs>
          <w:tab w:val="left" w:pos="1647"/>
        </w:tabs>
        <w:spacing w:before="72"/>
        <w:ind w:left="0" w:right="1134"/>
        <w:rPr>
          <w:rStyle w:val="default"/>
          <w:rFonts w:cs="FrankRuehl" w:hint="cs"/>
          <w:rtl/>
        </w:rPr>
      </w:pPr>
      <w:bookmarkStart w:id="5" w:name="Seif4"/>
      <w:bookmarkEnd w:id="5"/>
      <w:r>
        <w:rPr>
          <w:rFonts w:cs="Miriam"/>
          <w:szCs w:val="32"/>
          <w:rtl/>
          <w:lang w:val="he-IL"/>
        </w:rPr>
        <w:pict>
          <v:shape id="_x0000_s2066" type="#_x0000_t202" style="position:absolute;left:0;text-align:left;margin-left:470.25pt;margin-top:4.95pt;width:1in;height:16.8pt;z-index:251653120" filled="f" stroked="f">
            <v:textbox inset="1mm,,1mm">
              <w:txbxContent>
                <w:p w:rsidR="00B702CE" w:rsidRDefault="00B702CE">
                  <w:pPr>
                    <w:spacing w:line="160" w:lineRule="exact"/>
                    <w:jc w:val="left"/>
                    <w:rPr>
                      <w:rFonts w:cs="Miriam" w:hint="cs"/>
                      <w:szCs w:val="18"/>
                      <w:rtl/>
                    </w:rPr>
                  </w:pPr>
                  <w:r>
                    <w:rPr>
                      <w:rFonts w:cs="Miriam" w:hint="cs"/>
                      <w:szCs w:val="18"/>
                      <w:rtl/>
                    </w:rPr>
                    <w:t>שנת הכרעה</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(א)</w:t>
      </w:r>
      <w:r>
        <w:rPr>
          <w:rStyle w:val="default"/>
          <w:rFonts w:cs="FrankRuehl" w:hint="cs"/>
          <w:rtl/>
        </w:rPr>
        <w:tab/>
        <w:t>מיועד לשירות ביטחון שחלו עליו צווי דחיית שירות במשך ארבע שנים לפחות, ומלאו לו 22 שנים, ולא מתקיימים בו עוד התנאים שבסעיף 2, רשאי השר לדחות, בצו, את מועד התייצבותו לרישום, לבדיקה רפואית או לשירות ביטחון, לתקופה שלא תעלה על שנה אחת.</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יינתן צו לפי סעיף זה למיועד לשירות ביטחון יותר מפעם אחת.</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(ג)</w:t>
      </w:r>
      <w:r>
        <w:rPr>
          <w:rStyle w:val="default"/>
          <w:rFonts w:cs="FrankRuehl" w:hint="cs"/>
          <w:rtl/>
        </w:rPr>
        <w:tab/>
        <w:t>על צו לפי סעיף זה יחולו הוראות סעיף 3(ג), בשינויים המחויבים.</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לפגוע בסמכות השר לתת צו דחיית שירות למיועד לשירות ביטחון ששבו והתקיימו בו התנאים שבסעיף 2.</w:t>
      </w:r>
    </w:p>
    <w:p w:rsidR="00B702CE" w:rsidRDefault="00B702CE">
      <w:pPr>
        <w:pStyle w:val="P00"/>
        <w:tabs>
          <w:tab w:val="left" w:pos="1647"/>
        </w:tabs>
        <w:spacing w:before="72"/>
        <w:ind w:left="0" w:right="1134"/>
        <w:rPr>
          <w:rStyle w:val="default"/>
          <w:rFonts w:cs="FrankRuehl" w:hint="cs"/>
          <w:rtl/>
        </w:rPr>
      </w:pPr>
      <w:bookmarkStart w:id="6" w:name="Seif5"/>
      <w:bookmarkEnd w:id="6"/>
      <w:r>
        <w:rPr>
          <w:rFonts w:cs="Miriam"/>
          <w:szCs w:val="32"/>
          <w:rtl/>
          <w:lang w:val="he-IL"/>
        </w:rPr>
        <w:pict>
          <v:shape id="_x0000_s2067" type="#_x0000_t202" style="position:absolute;left:0;text-align:left;margin-left:470.25pt;margin-top:1.1pt;width:1in;height:16.8pt;z-index:251654144" filled="f" stroked="f">
            <v:textbox inset="1mm,,1mm">
              <w:txbxContent>
                <w:p w:rsidR="00B702CE" w:rsidRDefault="00B702CE">
                  <w:pPr>
                    <w:spacing w:line="160" w:lineRule="exact"/>
                    <w:jc w:val="left"/>
                    <w:rPr>
                      <w:rFonts w:cs="Miriam" w:hint="cs"/>
                      <w:szCs w:val="18"/>
                      <w:rtl/>
                    </w:rPr>
                  </w:pPr>
                  <w:r>
                    <w:rPr>
                      <w:rFonts w:cs="Miriam" w:hint="cs"/>
                      <w:szCs w:val="18"/>
                      <w:rtl/>
                    </w:rPr>
                    <w:t>שירות אזרחי</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(א)</w:t>
      </w:r>
      <w:r>
        <w:rPr>
          <w:rStyle w:val="default"/>
          <w:rFonts w:cs="FrankRuehl" w:hint="cs"/>
          <w:rtl/>
        </w:rPr>
        <w:tab/>
        <w:t xml:space="preserve">בסעיף זה, "שירות אזרחי" </w:t>
      </w:r>
      <w:r>
        <w:rPr>
          <w:rStyle w:val="default"/>
          <w:rFonts w:cs="FrankRuehl"/>
          <w:rtl/>
        </w:rPr>
        <w:t>–</w:t>
      </w:r>
      <w:r>
        <w:rPr>
          <w:rStyle w:val="default"/>
          <w:rFonts w:cs="FrankRuehl" w:hint="cs"/>
          <w:rtl/>
        </w:rPr>
        <w:t xml:space="preserve"> שירות למטרות בריאות, רווחה, קליטה עליה, שמירת </w:t>
      </w:r>
      <w:r>
        <w:rPr>
          <w:rStyle w:val="default"/>
          <w:rFonts w:cs="FrankRuehl" w:hint="cs"/>
          <w:rtl/>
        </w:rPr>
        <w:lastRenderedPageBreak/>
        <w:t>הסביבה וביטחון הפנים ושירותי הצלה, בהתאם לתקנות שקבע שר העבודה והרווחה</w:t>
      </w:r>
      <w:r w:rsidRPr="00024317">
        <w:rPr>
          <w:rStyle w:val="a6"/>
          <w:rFonts w:ascii="FrankRuehl" w:hAnsi="FrankRuehl" w:cs="FrankRuehl"/>
          <w:sz w:val="26"/>
        </w:rPr>
        <w:footnoteReference w:id="2"/>
      </w:r>
      <w:r>
        <w:rPr>
          <w:rStyle w:val="default"/>
          <w:rFonts w:cs="FrankRuehl" w:hint="cs"/>
          <w:rtl/>
        </w:rPr>
        <w:t xml:space="preserve"> בהסכמת השר ושר האוצר, בהתייעצות עם השרים הנוגעים בדבר, ובאישור ועדת העבודה הרווחה והבריאות של הכנסת.</w:t>
      </w:r>
    </w:p>
    <w:p w:rsidR="00B702CE" w:rsidRDefault="00B702CE" w:rsidP="004F7E6F">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לדחות את מועד התייצבותו לרישום, לבדיקה רפואית או לשירות ביטחון של מיועד לשירות ביטחון המשרת בשירות אזרחי.</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(ג)</w:t>
      </w:r>
      <w:r>
        <w:rPr>
          <w:rStyle w:val="default"/>
          <w:rFonts w:cs="FrankRuehl" w:hint="cs"/>
          <w:rtl/>
        </w:rPr>
        <w:tab/>
        <w:t>מיועד לשירות ביטחון ששירת שירות אזרחי במשך שנה לפחות, פטור מחובת שירות סדיר.</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(ד)</w:t>
      </w:r>
      <w:r>
        <w:rPr>
          <w:rStyle w:val="default"/>
          <w:rFonts w:cs="FrankRuehl" w:hint="cs"/>
          <w:rtl/>
        </w:rPr>
        <w:tab/>
        <w:t>מיועד לשירות ביטחון ששירת שירות אזרחי במשך 21 ימים בשנה לפחות, לא ייקרא לשירות מילואים באותה שנה.</w:t>
      </w:r>
    </w:p>
    <w:p w:rsidR="00B702CE" w:rsidRDefault="00B702CE" w:rsidP="004F7E6F">
      <w:pPr>
        <w:pStyle w:val="P00"/>
        <w:tabs>
          <w:tab w:val="left" w:pos="1647"/>
        </w:tabs>
        <w:spacing w:before="72"/>
        <w:ind w:left="0" w:right="1134"/>
        <w:rPr>
          <w:rStyle w:val="default"/>
          <w:rFonts w:cs="FrankRuehl" w:hint="cs"/>
          <w:rtl/>
        </w:rPr>
      </w:pPr>
      <w:r>
        <w:rPr>
          <w:rStyle w:val="default"/>
          <w:rFonts w:cs="FrankRuehl" w:hint="cs"/>
          <w:rtl/>
        </w:rPr>
        <w:tab/>
        <w:t>(ה)</w:t>
      </w:r>
      <w:r>
        <w:rPr>
          <w:rStyle w:val="default"/>
          <w:rFonts w:cs="FrankRuehl" w:hint="cs"/>
          <w:rtl/>
        </w:rPr>
        <w:tab/>
        <w:t>סעיף זה לא יחול אלא על מיועד לשירות ביטחון שחל עליו צו דחיית שירות במשך ארבע שנים לפחות ומלאו לו 22 שנים, ואשר בקשתו לשרת שירות אזרחי אושרה על ידי השר.</w:t>
      </w:r>
    </w:p>
    <w:p w:rsidR="00B702CE" w:rsidRDefault="00B702CE">
      <w:pPr>
        <w:pStyle w:val="P00"/>
        <w:tabs>
          <w:tab w:val="left" w:pos="1647"/>
        </w:tabs>
        <w:spacing w:before="72"/>
        <w:ind w:left="0" w:right="1134"/>
        <w:rPr>
          <w:rStyle w:val="default"/>
          <w:rFonts w:cs="FrankRuehl" w:hint="cs"/>
          <w:rtl/>
        </w:rPr>
      </w:pPr>
      <w:bookmarkStart w:id="7" w:name="Seif6"/>
      <w:bookmarkEnd w:id="7"/>
      <w:r>
        <w:rPr>
          <w:rFonts w:cs="Miriam"/>
          <w:szCs w:val="32"/>
          <w:rtl/>
          <w:lang w:val="he-IL"/>
        </w:rPr>
        <w:pict>
          <v:shape id="_x0000_s2068" type="#_x0000_t202" style="position:absolute;left:0;text-align:left;margin-left:462pt;margin-top:7.1pt;width:80.25pt;height:22.4pt;z-index:251655168" filled="f" stroked="f">
            <v:textbox inset="1mm,0,1mm,0">
              <w:txbxContent>
                <w:p w:rsidR="00B702CE" w:rsidRDefault="00B702CE">
                  <w:pPr>
                    <w:spacing w:line="160" w:lineRule="exact"/>
                    <w:jc w:val="left"/>
                    <w:rPr>
                      <w:rFonts w:cs="Miriam" w:hint="cs"/>
                      <w:szCs w:val="18"/>
                      <w:rtl/>
                    </w:rPr>
                  </w:pPr>
                  <w:r>
                    <w:rPr>
                      <w:rFonts w:cs="Miriam" w:hint="cs"/>
                      <w:szCs w:val="18"/>
                      <w:rtl/>
                    </w:rPr>
                    <w:t>חובות מי שחל עליו צו</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(א)</w:t>
      </w:r>
      <w:r>
        <w:rPr>
          <w:rStyle w:val="default"/>
          <w:rFonts w:cs="FrankRuehl" w:hint="cs"/>
          <w:rtl/>
        </w:rPr>
        <w:tab/>
        <w:t>מי שחל עליו צו דחיית שירות וחדל להתקיים בו אחד מהתנאים שבסעיף 2(1) או (2), חייב להתייצב בלשכת הגיוס הקרובה למקום מגוריו בתוך 30 ימים.</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הסתיימה תקופת תוקפו של צו לפי חוק זה, חייב מי שמועד התייצבותו נדחה, להתייצב בתוך 14 ימים בלשכת הגיוס כאמור בסעיף קטן (א), אם לא נקבע מועד אחר להתייצבותו.</w:t>
      </w:r>
    </w:p>
    <w:p w:rsidR="00B702CE" w:rsidRDefault="00B702CE">
      <w:pPr>
        <w:pStyle w:val="P00"/>
        <w:tabs>
          <w:tab w:val="left" w:pos="1647"/>
        </w:tabs>
        <w:spacing w:before="72"/>
        <w:ind w:left="0" w:right="1134"/>
        <w:rPr>
          <w:rStyle w:val="default"/>
          <w:rFonts w:cs="FrankRuehl" w:hint="cs"/>
          <w:rtl/>
        </w:rPr>
      </w:pPr>
      <w:bookmarkStart w:id="8" w:name="Seif7"/>
      <w:bookmarkEnd w:id="8"/>
      <w:r>
        <w:rPr>
          <w:rFonts w:cs="Miriam"/>
          <w:szCs w:val="32"/>
          <w:rtl/>
          <w:lang w:val="he-IL"/>
        </w:rPr>
        <w:pict>
          <v:shape id="_x0000_s2069" type="#_x0000_t202" style="position:absolute;left:0;text-align:left;margin-left:470.25pt;margin-top:2.85pt;width:1in;height:16.8pt;z-index:251656192" filled="f" stroked="f">
            <v:textbox inset="1mm,,1mm">
              <w:txbxContent>
                <w:p w:rsidR="00B702CE" w:rsidRDefault="00B702CE">
                  <w:pPr>
                    <w:spacing w:line="160" w:lineRule="exact"/>
                    <w:jc w:val="left"/>
                    <w:rPr>
                      <w:rFonts w:cs="Miriam" w:hint="cs"/>
                      <w:szCs w:val="18"/>
                      <w:rtl/>
                    </w:rPr>
                  </w:pPr>
                  <w:r>
                    <w:rPr>
                      <w:rFonts w:cs="Miriam" w:hint="cs"/>
                      <w:szCs w:val="18"/>
                      <w:rtl/>
                    </w:rPr>
                    <w:t>רשימת ישיבות</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השר יקבע את רשימת הישיבות המוכרות לענין חוק זה על פי המלצת ועד הישיבות בארץ ישראל או איגוד ישיבות ההסדר, ובהתאם לאמות מידה שקבע.</w:t>
      </w:r>
    </w:p>
    <w:p w:rsidR="00B702CE" w:rsidRDefault="00B702CE">
      <w:pPr>
        <w:pStyle w:val="P00"/>
        <w:tabs>
          <w:tab w:val="left" w:pos="1647"/>
        </w:tabs>
        <w:spacing w:before="72"/>
        <w:ind w:left="0" w:right="1134"/>
        <w:rPr>
          <w:rStyle w:val="default"/>
          <w:rFonts w:cs="FrankRuehl" w:hint="cs"/>
          <w:rtl/>
        </w:rPr>
      </w:pPr>
      <w:bookmarkStart w:id="9" w:name="Seif8"/>
      <w:bookmarkEnd w:id="9"/>
      <w:r>
        <w:rPr>
          <w:rFonts w:cs="Miriam"/>
          <w:szCs w:val="32"/>
          <w:rtl/>
          <w:lang w:val="he-IL"/>
        </w:rPr>
        <w:pict>
          <v:shape id="_x0000_s2070" type="#_x0000_t202" style="position:absolute;left:0;text-align:left;margin-left:462pt;margin-top:7.1pt;width:80.25pt;height:8.6pt;z-index:251657216" filled="f" stroked="f">
            <v:textbox inset="1mm,0,1mm,0">
              <w:txbxContent>
                <w:p w:rsidR="00B702CE" w:rsidRDefault="00B702CE">
                  <w:pPr>
                    <w:spacing w:line="160" w:lineRule="exact"/>
                    <w:jc w:val="left"/>
                    <w:rPr>
                      <w:rFonts w:cs="Miriam" w:hint="cs"/>
                      <w:szCs w:val="18"/>
                      <w:rtl/>
                    </w:rPr>
                  </w:pPr>
                  <w:r>
                    <w:rPr>
                      <w:rFonts w:cs="Miriam" w:hint="cs"/>
                      <w:szCs w:val="18"/>
                      <w:rtl/>
                    </w:rPr>
                    <w:t>לימוד בישיבת הסדר</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 xml:space="preserve">בסעיף זה </w:t>
      </w:r>
      <w:r>
        <w:rPr>
          <w:rStyle w:val="default"/>
          <w:rFonts w:cs="FrankRuehl"/>
          <w:rtl/>
        </w:rPr>
        <w:t>–</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 xml:space="preserve">"ישיבת הסדר" </w:t>
      </w:r>
      <w:r>
        <w:rPr>
          <w:rStyle w:val="default"/>
          <w:rFonts w:cs="FrankRuehl"/>
          <w:rtl/>
        </w:rPr>
        <w:t>–</w:t>
      </w:r>
      <w:r>
        <w:rPr>
          <w:rStyle w:val="default"/>
          <w:rFonts w:cs="FrankRuehl" w:hint="cs"/>
          <w:rtl/>
        </w:rPr>
        <w:t xml:space="preserve"> ישיבה המיועדת למשרתים בשירות משולב, שנקבעה בהמלצת איגוד ישיבות ההסדר;</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 xml:space="preserve">"שירות משולב" </w:t>
      </w:r>
      <w:r>
        <w:rPr>
          <w:rStyle w:val="default"/>
          <w:rFonts w:cs="FrankRuehl"/>
          <w:rtl/>
        </w:rPr>
        <w:t>–</w:t>
      </w:r>
      <w:r>
        <w:rPr>
          <w:rStyle w:val="default"/>
          <w:rFonts w:cs="FrankRuehl" w:hint="cs"/>
          <w:rtl/>
        </w:rPr>
        <w:t xml:space="preserve"> שירות סדיר המשלב פרק זמן או פרקי זמן של שירות צבאי פעיל ופרקי זמן של לימוד בישיבת הסדר בתנאים של שירות ללא תשלום.</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יוצא צבא רשאי לשרת בשירות משולב ובלבד שבקשתו אושרה על פי הכללים שנקבעו בפקודות הצבא.</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(ג)</w:t>
      </w:r>
      <w:r>
        <w:rPr>
          <w:rStyle w:val="default"/>
          <w:rFonts w:cs="FrankRuehl" w:hint="cs"/>
          <w:rtl/>
        </w:rPr>
        <w:tab/>
        <w:t>מיועד לשירות ביטחון שבקשתו לשרת בשירות משולב אושרה, ייקרא לשירות משולב לתקופה שלא תפחת מתקופת השירות שהוא חייב בה לפי חוק שירות ביטחון, בתוספת של 12 חודשים.</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(ד)</w:t>
      </w:r>
      <w:r>
        <w:rPr>
          <w:rStyle w:val="default"/>
          <w:rFonts w:cs="FrankRuehl" w:hint="cs"/>
          <w:rtl/>
        </w:rPr>
        <w:tab/>
        <w:t>השר יקבע את הכללים להפעלת השירות המשולב ואת אמות המידה לאישור בקשות לפי סעיף זה.</w:t>
      </w:r>
    </w:p>
    <w:p w:rsidR="00B702CE" w:rsidRDefault="00B702CE">
      <w:pPr>
        <w:pStyle w:val="P00"/>
        <w:tabs>
          <w:tab w:val="left" w:pos="1647"/>
        </w:tabs>
        <w:spacing w:before="72"/>
        <w:ind w:left="0" w:right="1134"/>
        <w:rPr>
          <w:rStyle w:val="default"/>
          <w:rFonts w:cs="FrankRuehl" w:hint="cs"/>
          <w:rtl/>
        </w:rPr>
      </w:pPr>
      <w:bookmarkStart w:id="10" w:name="Seif9"/>
      <w:bookmarkEnd w:id="10"/>
      <w:r>
        <w:rPr>
          <w:rFonts w:cs="Miriam"/>
          <w:szCs w:val="32"/>
          <w:rtl/>
          <w:lang w:val="he-IL"/>
        </w:rPr>
        <w:pict>
          <v:shape id="_x0000_s2071" type="#_x0000_t202" style="position:absolute;left:0;text-align:left;margin-left:470.25pt;margin-top:4.25pt;width:1in;height:16.8pt;z-index:251658240" filled="f" stroked="f">
            <v:textbox style="mso-next-textbox:#_x0000_s2071" inset="1mm,,1mm">
              <w:txbxContent>
                <w:p w:rsidR="00B702CE" w:rsidRDefault="00B702CE">
                  <w:pPr>
                    <w:spacing w:line="160" w:lineRule="exact"/>
                    <w:jc w:val="left"/>
                    <w:rPr>
                      <w:rFonts w:cs="Miriam" w:hint="cs"/>
                      <w:szCs w:val="18"/>
                      <w:rtl/>
                    </w:rPr>
                  </w:pPr>
                  <w:r>
                    <w:rPr>
                      <w:rFonts w:cs="Miriam" w:hint="cs"/>
                      <w:szCs w:val="18"/>
                      <w:rtl/>
                    </w:rPr>
                    <w:t>חישוב גילים</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חישוב גילים לפי חוק זה יהיה לפי הלוח העברי, והוראות סעיף 2(2) לחוק שירות ביטחון לא יחולו.</w:t>
      </w:r>
    </w:p>
    <w:p w:rsidR="00B702CE" w:rsidRDefault="00B702CE">
      <w:pPr>
        <w:pStyle w:val="P00"/>
        <w:tabs>
          <w:tab w:val="left" w:pos="1647"/>
        </w:tabs>
        <w:spacing w:before="72"/>
        <w:ind w:left="0" w:right="1134"/>
        <w:rPr>
          <w:rStyle w:val="default"/>
          <w:rFonts w:cs="FrankRuehl" w:hint="cs"/>
          <w:rtl/>
        </w:rPr>
      </w:pPr>
      <w:bookmarkStart w:id="11" w:name="Seif10"/>
      <w:bookmarkEnd w:id="11"/>
      <w:r>
        <w:rPr>
          <w:rFonts w:cs="Miriam"/>
          <w:szCs w:val="32"/>
          <w:rtl/>
          <w:lang w:val="he-IL"/>
        </w:rPr>
        <w:pict>
          <v:shape id="_x0000_s2072" type="#_x0000_t202" style="position:absolute;left:0;text-align:left;margin-left:470.25pt;margin-top:5.35pt;width:1in;height:16.8pt;z-index:251659264" filled="f" stroked="f">
            <v:textbox inset="1mm,,1mm">
              <w:txbxContent>
                <w:p w:rsidR="00B702CE" w:rsidRDefault="00B702CE">
                  <w:pPr>
                    <w:spacing w:line="160" w:lineRule="exact"/>
                    <w:jc w:val="left"/>
                    <w:rPr>
                      <w:rFonts w:cs="Miriam" w:hint="cs"/>
                      <w:szCs w:val="18"/>
                      <w:rtl/>
                    </w:rPr>
                  </w:pPr>
                  <w:r>
                    <w:rPr>
                      <w:rFonts w:cs="Miriam" w:hint="cs"/>
                      <w:szCs w:val="18"/>
                      <w:rtl/>
                    </w:rPr>
                    <w:t>עונשין</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סעיפים 46 עד 48 לחוק שירות ביטחון יחולו בכל הנוגע לחוק זה, בשינויים המחויבים.</w:t>
      </w:r>
    </w:p>
    <w:p w:rsidR="00B702CE" w:rsidRDefault="00B702CE">
      <w:pPr>
        <w:pStyle w:val="P00"/>
        <w:tabs>
          <w:tab w:val="left" w:pos="1647"/>
        </w:tabs>
        <w:spacing w:before="72"/>
        <w:ind w:left="0" w:right="1134"/>
        <w:rPr>
          <w:rStyle w:val="default"/>
          <w:rFonts w:cs="FrankRuehl" w:hint="cs"/>
          <w:rtl/>
        </w:rPr>
      </w:pPr>
      <w:bookmarkStart w:id="12" w:name="Seif11"/>
      <w:bookmarkEnd w:id="12"/>
      <w:r w:rsidRPr="00A90CAA">
        <w:rPr>
          <w:rFonts w:cs="Miriam"/>
          <w:szCs w:val="32"/>
          <w:rtl/>
          <w:lang w:val="he-IL"/>
        </w:rPr>
        <w:pict>
          <v:shape id="_x0000_s2073" type="#_x0000_t202" style="position:absolute;left:0;text-align:left;margin-left:462pt;margin-top:7.1pt;width:80.25pt;height:22.4pt;z-index:251660288" filled="f" stroked="f">
            <v:textbox inset="1mm,0,1mm,0">
              <w:txbxContent>
                <w:p w:rsidR="00B702CE" w:rsidRDefault="00B702CE">
                  <w:pPr>
                    <w:spacing w:line="160" w:lineRule="exact"/>
                    <w:jc w:val="left"/>
                    <w:rPr>
                      <w:rFonts w:cs="Miriam" w:hint="cs"/>
                      <w:szCs w:val="18"/>
                      <w:rtl/>
                    </w:rPr>
                  </w:pPr>
                  <w:r>
                    <w:rPr>
                      <w:rFonts w:cs="Miriam" w:hint="cs"/>
                      <w:szCs w:val="18"/>
                      <w:rtl/>
                    </w:rPr>
                    <w:t>שמירת הוראות חוק שירות ביטחון</w:t>
                  </w:r>
                </w:p>
              </w:txbxContent>
            </v:textbox>
            <w10:anchorlock/>
          </v:shape>
        </w:pict>
      </w:r>
      <w:r w:rsidRPr="00A90CAA">
        <w:rPr>
          <w:rStyle w:val="default"/>
          <w:rFonts w:cs="Miriam" w:hint="cs"/>
          <w:sz w:val="32"/>
          <w:szCs w:val="32"/>
          <w:rtl/>
        </w:rPr>
        <w:t>12</w:t>
      </w:r>
      <w:r w:rsidR="00803350" w:rsidRPr="00A90CAA">
        <w:rPr>
          <w:rStyle w:val="a6"/>
          <w:rFonts w:cs="FrankRuehl"/>
          <w:sz w:val="26"/>
          <w:rtl/>
        </w:rPr>
        <w:footnoteReference w:id="3"/>
      </w:r>
      <w:r w:rsidRPr="00A90CAA">
        <w:rPr>
          <w:rStyle w:val="default"/>
          <w:rFonts w:cs="FrankRuehl" w:hint="cs"/>
          <w:rtl/>
        </w:rPr>
        <w:t>.</w:t>
      </w:r>
      <w:r w:rsidRPr="00A90CAA">
        <w:rPr>
          <w:rStyle w:val="default"/>
          <w:rFonts w:cs="FrankRuehl" w:hint="cs"/>
          <w:rtl/>
        </w:rPr>
        <w:tab/>
        <w:t>(א)</w:t>
      </w:r>
      <w:r w:rsidRPr="00A90CAA">
        <w:rPr>
          <w:rStyle w:val="default"/>
          <w:rFonts w:cs="FrankRuehl" w:hint="cs"/>
          <w:rtl/>
        </w:rPr>
        <w:tab/>
        <w:t>אין בהוראות חוק זה כדי לגרוע מסמכות השר לפי סעיף 36 לחוק שירות ביטחון.</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37 ו-38 לחוק שירות ביטחון יחולו על צווים לפי חוק זה, בשינויים המחויבים.</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(ג)</w:t>
      </w:r>
      <w:r>
        <w:rPr>
          <w:rStyle w:val="default"/>
          <w:rFonts w:cs="FrankRuehl" w:hint="cs"/>
          <w:rtl/>
        </w:rPr>
        <w:tab/>
        <w:t>בכל ענין שלא הוסדר בחוק זה, יחולו הוראות חוק שירות ביטחון.</w:t>
      </w:r>
    </w:p>
    <w:p w:rsidR="00B702CE" w:rsidRDefault="00B702CE">
      <w:pPr>
        <w:pStyle w:val="P00"/>
        <w:tabs>
          <w:tab w:val="left" w:pos="1647"/>
        </w:tabs>
        <w:spacing w:before="72"/>
        <w:ind w:left="0" w:right="1134"/>
        <w:rPr>
          <w:rStyle w:val="default"/>
          <w:rFonts w:cs="FrankRuehl" w:hint="cs"/>
          <w:rtl/>
        </w:rPr>
      </w:pPr>
      <w:bookmarkStart w:id="13" w:name="Seif12"/>
      <w:bookmarkEnd w:id="13"/>
      <w:r>
        <w:rPr>
          <w:rFonts w:cs="Miriam"/>
          <w:szCs w:val="32"/>
          <w:rtl/>
          <w:lang w:val="he-IL"/>
        </w:rPr>
        <w:pict>
          <v:shape id="_x0000_s2074" type="#_x0000_t202" style="position:absolute;left:0;text-align:left;margin-left:470.25pt;margin-top:3.35pt;width:1in;height:16.8pt;z-index:251661312" filled="f" stroked="f">
            <v:textbox inset="1mm,,1mm">
              <w:txbxContent>
                <w:p w:rsidR="00B702CE" w:rsidRDefault="00B702CE">
                  <w:pPr>
                    <w:spacing w:line="160" w:lineRule="exact"/>
                    <w:jc w:val="left"/>
                    <w:rPr>
                      <w:rFonts w:cs="Miriam" w:hint="cs"/>
                      <w:szCs w:val="18"/>
                      <w:rtl/>
                    </w:rPr>
                  </w:pPr>
                  <w:r>
                    <w:rPr>
                      <w:rFonts w:cs="Miriam" w:hint="cs"/>
                      <w:szCs w:val="18"/>
                      <w:rtl/>
                    </w:rPr>
                    <w:t>ביצוע ותקנות</w:t>
                  </w:r>
                </w:p>
              </w:txbxContent>
            </v:textbox>
            <w10:anchorlock/>
          </v:shape>
        </w:pict>
      </w:r>
      <w:r>
        <w:rPr>
          <w:rStyle w:val="default"/>
          <w:rFonts w:cs="Miriam" w:hint="cs"/>
          <w:sz w:val="32"/>
          <w:szCs w:val="32"/>
          <w:rtl/>
        </w:rPr>
        <w:t>13</w:t>
      </w:r>
      <w:r>
        <w:rPr>
          <w:rStyle w:val="default"/>
          <w:rFonts w:cs="FrankRuehl" w:hint="cs"/>
          <w:rtl/>
        </w:rPr>
        <w:t>.</w:t>
      </w:r>
      <w:r>
        <w:rPr>
          <w:rStyle w:val="default"/>
          <w:rFonts w:cs="FrankRuehl" w:hint="cs"/>
          <w:rtl/>
        </w:rPr>
        <w:tab/>
        <w:t>(א)</w:t>
      </w:r>
      <w:r>
        <w:rPr>
          <w:rStyle w:val="default"/>
          <w:rFonts w:cs="FrankRuehl" w:hint="cs"/>
          <w:rtl/>
        </w:rPr>
        <w:tab/>
        <w:t>השר ממונה על ביצוע חוק זה, והוא רשאי להתקין תקנות לביצועו, בין השאר בענינים אלה:</w:t>
      </w:r>
    </w:p>
    <w:p w:rsidR="00B702CE" w:rsidRDefault="00B702CE">
      <w:pPr>
        <w:pStyle w:val="P00"/>
        <w:tabs>
          <w:tab w:val="left" w:pos="1647"/>
        </w:tabs>
        <w:spacing w:before="72"/>
        <w:ind w:left="1021" w:right="1134"/>
        <w:rPr>
          <w:rStyle w:val="default"/>
          <w:rFonts w:cs="FrankRuehl" w:hint="cs"/>
          <w:rtl/>
        </w:rPr>
      </w:pPr>
      <w:r>
        <w:rPr>
          <w:rStyle w:val="default"/>
          <w:rFonts w:cs="FrankRuehl" w:hint="cs"/>
          <w:rtl/>
        </w:rPr>
        <w:t>(1)</w:t>
      </w:r>
      <w:r>
        <w:rPr>
          <w:rStyle w:val="default"/>
          <w:rFonts w:cs="FrankRuehl" w:hint="cs"/>
          <w:rtl/>
        </w:rPr>
        <w:tab/>
        <w:t>הדרכים והמועדים להגשת בקשות לפי חוק זה;</w:t>
      </w:r>
    </w:p>
    <w:p w:rsidR="00B702CE" w:rsidRDefault="00B702CE">
      <w:pPr>
        <w:pStyle w:val="P00"/>
        <w:tabs>
          <w:tab w:val="left" w:pos="1647"/>
        </w:tabs>
        <w:spacing w:before="72"/>
        <w:ind w:left="1021" w:right="1134"/>
        <w:rPr>
          <w:rStyle w:val="default"/>
          <w:rFonts w:cs="FrankRuehl" w:hint="cs"/>
          <w:rtl/>
        </w:rPr>
      </w:pPr>
      <w:r>
        <w:rPr>
          <w:rStyle w:val="default"/>
          <w:rFonts w:cs="FrankRuehl" w:hint="cs"/>
          <w:rtl/>
        </w:rPr>
        <w:t>(2)</w:t>
      </w:r>
      <w:r>
        <w:rPr>
          <w:rStyle w:val="default"/>
          <w:rFonts w:cs="FrankRuehl" w:hint="cs"/>
          <w:rtl/>
        </w:rPr>
        <w:tab/>
        <w:t>תנאים מוקדמים להגשת בקשה לפי סעיף 2;</w:t>
      </w:r>
    </w:p>
    <w:p w:rsidR="00B702CE" w:rsidRDefault="00B702CE">
      <w:pPr>
        <w:pStyle w:val="P00"/>
        <w:tabs>
          <w:tab w:val="left" w:pos="1647"/>
        </w:tabs>
        <w:spacing w:before="72"/>
        <w:ind w:left="1021" w:right="1134"/>
        <w:rPr>
          <w:rStyle w:val="default"/>
          <w:rFonts w:cs="FrankRuehl" w:hint="cs"/>
          <w:rtl/>
        </w:rPr>
      </w:pPr>
      <w:r>
        <w:rPr>
          <w:rStyle w:val="default"/>
          <w:rFonts w:cs="FrankRuehl" w:hint="cs"/>
          <w:rtl/>
        </w:rPr>
        <w:t>(3)</w:t>
      </w:r>
      <w:r>
        <w:rPr>
          <w:rStyle w:val="default"/>
          <w:rFonts w:cs="FrankRuehl" w:hint="cs"/>
          <w:rtl/>
        </w:rPr>
        <w:tab/>
        <w:t>הטיפול בבקשות לשרת שירות אזרחי לפי סעיף 6(ה) ואמות המידה לאישורן;</w:t>
      </w:r>
    </w:p>
    <w:p w:rsidR="00B702CE" w:rsidRDefault="00B702CE">
      <w:pPr>
        <w:pStyle w:val="P00"/>
        <w:tabs>
          <w:tab w:val="left" w:pos="1647"/>
        </w:tabs>
        <w:spacing w:before="72"/>
        <w:ind w:left="1021" w:right="1134"/>
        <w:rPr>
          <w:rStyle w:val="default"/>
          <w:rFonts w:cs="FrankRuehl" w:hint="cs"/>
          <w:rtl/>
        </w:rPr>
      </w:pPr>
      <w:r>
        <w:rPr>
          <w:rStyle w:val="default"/>
          <w:rFonts w:cs="FrankRuehl" w:hint="cs"/>
          <w:rtl/>
        </w:rPr>
        <w:t>(4)</w:t>
      </w:r>
      <w:r>
        <w:rPr>
          <w:rStyle w:val="default"/>
          <w:rFonts w:cs="FrankRuehl" w:hint="cs"/>
          <w:rtl/>
        </w:rPr>
        <w:tab/>
        <w:t>התנאים והכללים להכרה בישיבה לפי סעיף 8 ואופן פרסום רשימת הישיבות.</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לפי חוק זה, למעט תקנות לפי סעיף 6(א), טעונות אישור ועדת החוץ והביטחון של הכנסת.</w:t>
      </w:r>
    </w:p>
    <w:p w:rsidR="00B702CE" w:rsidRDefault="00B702CE">
      <w:pPr>
        <w:pStyle w:val="P00"/>
        <w:tabs>
          <w:tab w:val="left" w:pos="1647"/>
        </w:tabs>
        <w:spacing w:before="72"/>
        <w:ind w:left="0" w:right="1134"/>
        <w:rPr>
          <w:rStyle w:val="default"/>
          <w:rFonts w:cs="FrankRuehl" w:hint="cs"/>
          <w:rtl/>
        </w:rPr>
      </w:pPr>
      <w:bookmarkStart w:id="14" w:name="Seif13"/>
      <w:bookmarkEnd w:id="14"/>
      <w:r>
        <w:rPr>
          <w:rFonts w:cs="Miriam"/>
          <w:szCs w:val="32"/>
          <w:rtl/>
          <w:lang w:val="he-IL"/>
        </w:rPr>
        <w:pict>
          <v:shape id="_x0000_s2075" type="#_x0000_t202" style="position:absolute;left:0;text-align:left;margin-left:470.25pt;margin-top:3.2pt;width:1in;height:16.8pt;z-index:251662336" filled="f" stroked="f">
            <v:textbox inset="1mm,,1mm">
              <w:txbxContent>
                <w:p w:rsidR="00B702CE" w:rsidRDefault="00B702CE">
                  <w:pPr>
                    <w:spacing w:line="160" w:lineRule="exact"/>
                    <w:jc w:val="left"/>
                    <w:rPr>
                      <w:rFonts w:cs="Miriam" w:hint="cs"/>
                      <w:szCs w:val="18"/>
                      <w:rtl/>
                    </w:rPr>
                  </w:pPr>
                  <w:r>
                    <w:rPr>
                      <w:rFonts w:cs="Miriam" w:hint="cs"/>
                      <w:szCs w:val="18"/>
                      <w:rtl/>
                    </w:rPr>
                    <w:t>הוראת מעבר</w:t>
                  </w:r>
                </w:p>
              </w:txbxContent>
            </v:textbox>
            <w10:anchorlock/>
          </v:shape>
        </w:pict>
      </w:r>
      <w:r>
        <w:rPr>
          <w:rStyle w:val="default"/>
          <w:rFonts w:cs="Miriam" w:hint="cs"/>
          <w:sz w:val="32"/>
          <w:szCs w:val="32"/>
          <w:rtl/>
        </w:rPr>
        <w:t>14</w:t>
      </w:r>
      <w:r>
        <w:rPr>
          <w:rStyle w:val="default"/>
          <w:rFonts w:cs="FrankRuehl" w:hint="cs"/>
          <w:rtl/>
        </w:rPr>
        <w:t>.</w:t>
      </w:r>
      <w:r>
        <w:rPr>
          <w:rStyle w:val="default"/>
          <w:rFonts w:cs="FrankRuehl" w:hint="cs"/>
          <w:rtl/>
        </w:rPr>
        <w:tab/>
        <w:t>צו שניתן לפני תחילתו של חוק זה, לפי סעיף 36 לחוק שירות ביטחון או לפי חוק שירות ביטחון (מיועד לשירות ביטחון שתורתו אומנותו) (הוראת שעה), התשס"א-2001, או לפי חוק דחיית שירות ביטחון לתלמידי ישיבות שתורתם אומנותם (הוראת שעה), התשס"א-2001, ולפיו נדחה מועד ההתייצבות לרישום, לבדיקה רפואית או לשירות סדיר של מיועד לשירות ביטחון שתורתו אומנותו, יראו אותו כאילו ניתן לפי חוק זה, והוראות חוק זה יחולו עליו.</w:t>
      </w:r>
    </w:p>
    <w:p w:rsidR="00B702CE" w:rsidRDefault="00B702CE">
      <w:pPr>
        <w:pStyle w:val="P00"/>
        <w:tabs>
          <w:tab w:val="left" w:pos="1647"/>
        </w:tabs>
        <w:spacing w:before="72"/>
        <w:ind w:left="0" w:right="1134"/>
        <w:rPr>
          <w:rStyle w:val="default"/>
          <w:rFonts w:cs="FrankRuehl" w:hint="cs"/>
          <w:rtl/>
        </w:rPr>
      </w:pPr>
      <w:bookmarkStart w:id="15" w:name="Seif14"/>
      <w:bookmarkEnd w:id="15"/>
      <w:r>
        <w:rPr>
          <w:rFonts w:cs="Miriam"/>
          <w:szCs w:val="32"/>
          <w:rtl/>
          <w:lang w:val="he-IL"/>
        </w:rPr>
        <w:pict>
          <v:shape id="_x0000_s2076" type="#_x0000_t202" style="position:absolute;left:0;text-align:left;margin-left:470.25pt;margin-top:2.25pt;width:1in;height:39.2pt;z-index:251663360" filled="f" stroked="f">
            <v:textbox inset="1mm,,1mm">
              <w:txbxContent>
                <w:p w:rsidR="00B702CE" w:rsidRDefault="00B702CE">
                  <w:pPr>
                    <w:spacing w:line="160" w:lineRule="exact"/>
                    <w:jc w:val="left"/>
                    <w:rPr>
                      <w:rFonts w:cs="Miriam" w:hint="cs"/>
                      <w:szCs w:val="18"/>
                      <w:rtl/>
                    </w:rPr>
                  </w:pPr>
                  <w:r>
                    <w:rPr>
                      <w:rFonts w:cs="Miriam" w:hint="cs"/>
                      <w:szCs w:val="18"/>
                      <w:rtl/>
                    </w:rPr>
                    <w:t>ביטול חוק דחיית שירות ביטחון לתלמידי ישיבות שתורתם אומנותם</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t xml:space="preserve">חוק דחיית שירות ביטחון לתלמידי ישיבות שתורתם אומנותם (הוראת שעה), התשס"א-2001 </w:t>
      </w:r>
      <w:r>
        <w:rPr>
          <w:rStyle w:val="default"/>
          <w:rFonts w:cs="FrankRuehl"/>
          <w:rtl/>
        </w:rPr>
        <w:t>–</w:t>
      </w:r>
      <w:r>
        <w:rPr>
          <w:rStyle w:val="default"/>
          <w:rFonts w:cs="FrankRuehl" w:hint="cs"/>
          <w:rtl/>
        </w:rPr>
        <w:t xml:space="preserve"> בטל.</w:t>
      </w:r>
    </w:p>
    <w:p w:rsidR="00B702CE" w:rsidRPr="00A90CAA" w:rsidRDefault="00B702CE">
      <w:pPr>
        <w:pStyle w:val="P00"/>
        <w:tabs>
          <w:tab w:val="left" w:pos="1647"/>
        </w:tabs>
        <w:spacing w:before="72"/>
        <w:ind w:left="0" w:right="1134"/>
        <w:rPr>
          <w:rStyle w:val="default"/>
          <w:rFonts w:cs="FrankRuehl" w:hint="cs"/>
          <w:rtl/>
        </w:rPr>
      </w:pPr>
      <w:bookmarkStart w:id="16" w:name="Seif15"/>
      <w:bookmarkEnd w:id="16"/>
      <w:r>
        <w:rPr>
          <w:rFonts w:cs="Miriam"/>
          <w:szCs w:val="32"/>
          <w:rtl/>
          <w:lang w:val="he-IL"/>
        </w:rPr>
        <w:pict>
          <v:shape id="_x0000_s2077" type="#_x0000_t202" style="position:absolute;left:0;text-align:left;margin-left:470.25pt;margin-top:6.55pt;width:1in;height:16.8pt;z-index:251664384" filled="f" stroked="f">
            <v:textbox inset="1mm,,1mm">
              <w:txbxContent>
                <w:p w:rsidR="00B702CE" w:rsidRDefault="00B702CE">
                  <w:pPr>
                    <w:spacing w:line="160" w:lineRule="exact"/>
                    <w:jc w:val="left"/>
                    <w:rPr>
                      <w:rFonts w:cs="Miriam" w:hint="cs"/>
                      <w:szCs w:val="18"/>
                      <w:rtl/>
                    </w:rPr>
                  </w:pPr>
                  <w:r>
                    <w:rPr>
                      <w:rFonts w:cs="Miriam" w:hint="cs"/>
                      <w:szCs w:val="18"/>
                      <w:rtl/>
                    </w:rPr>
                    <w:t>הוראת שעה</w:t>
                  </w:r>
                </w:p>
              </w:txbxContent>
            </v:textbox>
            <w10:anchorlock/>
          </v:shape>
        </w:pict>
      </w:r>
      <w:r>
        <w:rPr>
          <w:rStyle w:val="default"/>
          <w:rFonts w:cs="Miriam" w:hint="cs"/>
          <w:sz w:val="32"/>
          <w:szCs w:val="32"/>
          <w:rtl/>
        </w:rPr>
        <w:t>16</w:t>
      </w:r>
      <w:r>
        <w:rPr>
          <w:rStyle w:val="default"/>
          <w:rFonts w:cs="FrankRuehl" w:hint="cs"/>
          <w:rtl/>
        </w:rPr>
        <w:t>.</w:t>
      </w:r>
      <w:r>
        <w:rPr>
          <w:rStyle w:val="default"/>
          <w:rFonts w:cs="FrankRuehl" w:hint="cs"/>
          <w:rtl/>
        </w:rPr>
        <w:tab/>
        <w:t>(א)</w:t>
      </w:r>
      <w:r>
        <w:rPr>
          <w:rStyle w:val="default"/>
          <w:rFonts w:cs="FrankRuehl" w:hint="cs"/>
          <w:rtl/>
        </w:rPr>
        <w:tab/>
        <w:t xml:space="preserve">חוק זה יעמוד בתוקפו חמש שנים מיום </w:t>
      </w:r>
      <w:r w:rsidRPr="00A90CAA">
        <w:rPr>
          <w:rStyle w:val="default"/>
          <w:rFonts w:cs="FrankRuehl" w:hint="cs"/>
          <w:rtl/>
        </w:rPr>
        <w:t>פרסומו</w:t>
      </w:r>
      <w:r w:rsidR="00A90CAA" w:rsidRPr="00024317">
        <w:rPr>
          <w:rStyle w:val="a6"/>
          <w:rFonts w:ascii="FrankRuehl" w:hAnsi="FrankRuehl" w:cs="FrankRuehl"/>
          <w:sz w:val="26"/>
        </w:rPr>
        <w:footnoteReference w:id="4"/>
      </w:r>
      <w:r w:rsidRPr="00A90CAA">
        <w:rPr>
          <w:rStyle w:val="default"/>
          <w:rFonts w:cs="FrankRuehl" w:hint="cs"/>
          <w:rtl/>
        </w:rPr>
        <w:t>.</w:t>
      </w:r>
    </w:p>
    <w:p w:rsidR="00B702CE" w:rsidRDefault="00B702CE" w:rsidP="00A90CAA">
      <w:pPr>
        <w:pStyle w:val="P00"/>
        <w:tabs>
          <w:tab w:val="left" w:pos="1647"/>
        </w:tabs>
        <w:spacing w:before="72"/>
        <w:ind w:left="0" w:right="1134"/>
        <w:rPr>
          <w:rStyle w:val="default"/>
          <w:rFonts w:cs="FrankRuehl" w:hint="cs"/>
          <w:rtl/>
        </w:rPr>
      </w:pPr>
      <w:r>
        <w:rPr>
          <w:rStyle w:val="default"/>
          <w:rFonts w:cs="FrankRuehl" w:hint="cs"/>
          <w:rtl/>
        </w:rPr>
        <w:tab/>
        <w:t>(ב)</w:t>
      </w:r>
      <w:r>
        <w:rPr>
          <w:rStyle w:val="default"/>
          <w:rFonts w:cs="FrankRuehl" w:hint="cs"/>
          <w:rtl/>
        </w:rPr>
        <w:tab/>
        <w:t>הכנסת רשאית, בהחלטה, להאריך את תוקפו של חוק זה לתקופות נוספות, שלא יעלו על חמש שנים כל אחת; דיון בהארכת תוקפו של החוק יתקיים בכנסת לא יאוחר משישה חודשים לפני תום תוקפו.</w:t>
      </w:r>
    </w:p>
    <w:p w:rsidR="00B702CE" w:rsidRDefault="00B702CE">
      <w:pPr>
        <w:pStyle w:val="P00"/>
        <w:tabs>
          <w:tab w:val="left" w:pos="1647"/>
        </w:tabs>
        <w:spacing w:before="72"/>
        <w:ind w:left="0" w:right="1134"/>
        <w:rPr>
          <w:rStyle w:val="default"/>
          <w:rFonts w:cs="FrankRuehl" w:hint="cs"/>
          <w:rtl/>
        </w:rPr>
      </w:pPr>
      <w:r>
        <w:rPr>
          <w:rStyle w:val="default"/>
          <w:rFonts w:cs="FrankRuehl" w:hint="cs"/>
          <w:rtl/>
        </w:rPr>
        <w:tab/>
        <w:t>(ג)</w:t>
      </w:r>
      <w:r>
        <w:rPr>
          <w:rStyle w:val="default"/>
          <w:rFonts w:cs="FrankRuehl" w:hint="cs"/>
          <w:rtl/>
        </w:rPr>
        <w:tab/>
        <w:t>על הארכת תוקפו של חוק זה תפורסם הודעה ברשומות מטעם הכנסת.</w:t>
      </w:r>
    </w:p>
    <w:p w:rsidR="00B702CE" w:rsidRDefault="00B702CE">
      <w:pPr>
        <w:pStyle w:val="P00"/>
        <w:tabs>
          <w:tab w:val="left" w:pos="1647"/>
        </w:tabs>
        <w:spacing w:before="72"/>
        <w:ind w:left="0" w:right="1134"/>
        <w:rPr>
          <w:rStyle w:val="default"/>
          <w:rFonts w:cs="FrankRuehl" w:hint="cs"/>
          <w:rtl/>
        </w:rPr>
      </w:pPr>
      <w:bookmarkStart w:id="17" w:name="Seif16"/>
      <w:bookmarkEnd w:id="17"/>
      <w:r>
        <w:rPr>
          <w:rFonts w:cs="Miriam"/>
          <w:szCs w:val="32"/>
          <w:rtl/>
          <w:lang w:val="he-IL"/>
        </w:rPr>
        <w:pict>
          <v:shape id="_x0000_s2078" type="#_x0000_t202" style="position:absolute;left:0;text-align:left;margin-left:470.25pt;margin-top:5.8pt;width:1in;height:16.8pt;z-index:251665408" filled="f" stroked="f">
            <v:textbox inset="1mm,,1mm">
              <w:txbxContent>
                <w:p w:rsidR="00B702CE" w:rsidRDefault="00B702CE">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17</w:t>
      </w:r>
      <w:r>
        <w:rPr>
          <w:rStyle w:val="default"/>
          <w:rFonts w:cs="FrankRuehl" w:hint="cs"/>
          <w:rtl/>
        </w:rPr>
        <w:t>.</w:t>
      </w:r>
      <w:r>
        <w:rPr>
          <w:rStyle w:val="default"/>
          <w:rFonts w:cs="FrankRuehl" w:hint="cs"/>
          <w:rtl/>
        </w:rPr>
        <w:tab/>
        <w:t>תחילתו של חוק זה שישה חודשים מיום פרסומו.</w:t>
      </w:r>
    </w:p>
    <w:p w:rsidR="00B702CE" w:rsidRDefault="00B702CE">
      <w:pPr>
        <w:pStyle w:val="P00"/>
        <w:tabs>
          <w:tab w:val="left" w:pos="1647"/>
        </w:tabs>
        <w:spacing w:before="72"/>
        <w:ind w:left="0" w:right="1134"/>
        <w:rPr>
          <w:rStyle w:val="default"/>
          <w:rFonts w:cs="FrankRuehl" w:hint="cs"/>
          <w:rtl/>
        </w:rPr>
      </w:pPr>
    </w:p>
    <w:p w:rsidR="00B702CE" w:rsidRDefault="00B702CE">
      <w:pPr>
        <w:pStyle w:val="P00"/>
        <w:tabs>
          <w:tab w:val="left" w:pos="1647"/>
        </w:tabs>
        <w:spacing w:before="72"/>
        <w:ind w:left="0" w:right="1134"/>
        <w:rPr>
          <w:rStyle w:val="default"/>
          <w:rFonts w:cs="FrankRuehl" w:hint="cs"/>
          <w:rtl/>
        </w:rPr>
      </w:pPr>
    </w:p>
    <w:p w:rsidR="00B702CE" w:rsidRDefault="00B702CE">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hint="cs"/>
          <w:rtl/>
        </w:rPr>
        <w:tab/>
        <w:t>אריאל שרון</w:t>
      </w:r>
      <w:r>
        <w:rPr>
          <w:rStyle w:val="default"/>
          <w:rFonts w:cs="FrankRuehl" w:hint="cs"/>
          <w:rtl/>
        </w:rPr>
        <w:tab/>
      </w:r>
      <w:r>
        <w:rPr>
          <w:rStyle w:val="default"/>
          <w:rFonts w:cs="FrankRuehl" w:hint="cs"/>
          <w:rtl/>
        </w:rPr>
        <w:tab/>
        <w:t>בנימין בן אליעזר</w:t>
      </w:r>
    </w:p>
    <w:p w:rsidR="00B702CE" w:rsidRDefault="00B702CE">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הביטחון</w:t>
      </w:r>
    </w:p>
    <w:p w:rsidR="00B702CE" w:rsidRDefault="00B702CE">
      <w:pPr>
        <w:pStyle w:val="sig-1"/>
        <w:widowControl/>
        <w:tabs>
          <w:tab w:val="clear" w:pos="851"/>
          <w:tab w:val="clear" w:pos="4820"/>
          <w:tab w:val="center" w:pos="1134"/>
          <w:tab w:val="center" w:pos="4536"/>
          <w:tab w:val="center" w:pos="6237"/>
        </w:tabs>
        <w:ind w:left="0" w:right="1134"/>
        <w:rPr>
          <w:rFonts w:cs="FrankRuehl" w:hint="cs"/>
          <w:sz w:val="22"/>
          <w:rtl/>
        </w:rPr>
      </w:pPr>
    </w:p>
    <w:p w:rsidR="00B702CE" w:rsidRDefault="00B702CE">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אברהם בורג</w:t>
      </w:r>
    </w:p>
    <w:p w:rsidR="00B702CE" w:rsidRDefault="00B702CE">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B702CE" w:rsidRDefault="00B702CE">
      <w:pPr>
        <w:pStyle w:val="P00"/>
        <w:tabs>
          <w:tab w:val="left" w:pos="1647"/>
        </w:tabs>
        <w:spacing w:before="72"/>
        <w:ind w:left="0" w:right="1134"/>
        <w:rPr>
          <w:rStyle w:val="default"/>
          <w:rFonts w:cs="FrankRuehl" w:hint="cs"/>
          <w:rtl/>
        </w:rPr>
      </w:pPr>
    </w:p>
    <w:p w:rsidR="00B702CE" w:rsidRDefault="00B702CE">
      <w:pPr>
        <w:pStyle w:val="P00"/>
        <w:tabs>
          <w:tab w:val="left" w:pos="1647"/>
        </w:tabs>
        <w:spacing w:before="72"/>
        <w:ind w:left="0" w:right="1134"/>
        <w:rPr>
          <w:rStyle w:val="default"/>
          <w:rFonts w:cs="FrankRuehl" w:hint="cs"/>
          <w:rtl/>
        </w:rPr>
      </w:pPr>
    </w:p>
    <w:p w:rsidR="00B702CE" w:rsidRDefault="00B702CE">
      <w:pPr>
        <w:pStyle w:val="P00"/>
        <w:tabs>
          <w:tab w:val="left" w:pos="1647"/>
        </w:tabs>
        <w:spacing w:before="72"/>
        <w:ind w:left="0" w:right="1134"/>
        <w:rPr>
          <w:rStyle w:val="default"/>
          <w:rFonts w:cs="FrankRuehl"/>
          <w:rtl/>
        </w:rPr>
      </w:pPr>
    </w:p>
    <w:sectPr w:rsidR="00B702C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1807" w:rsidRDefault="00A11807">
      <w:r>
        <w:separator/>
      </w:r>
    </w:p>
  </w:endnote>
  <w:endnote w:type="continuationSeparator" w:id="0">
    <w:p w:rsidR="00A11807" w:rsidRDefault="00A1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2CE" w:rsidRDefault="00B702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702CE" w:rsidRDefault="00B702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702CE" w:rsidRDefault="00B702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C:\Yael\hakika\032308\999_152.doc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2CE" w:rsidRDefault="00B702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D0C21">
      <w:rPr>
        <w:rFonts w:hAnsi="FrankRuehl" w:cs="FrankRuehl"/>
        <w:noProof/>
        <w:sz w:val="24"/>
        <w:szCs w:val="24"/>
        <w:rtl/>
      </w:rPr>
      <w:t>1</w:t>
    </w:r>
    <w:r>
      <w:rPr>
        <w:rFonts w:hAnsi="FrankRuehl" w:cs="FrankRuehl"/>
        <w:sz w:val="24"/>
        <w:szCs w:val="24"/>
        <w:rtl/>
      </w:rPr>
      <w:fldChar w:fldCharType="end"/>
    </w:r>
  </w:p>
  <w:p w:rsidR="00B702CE" w:rsidRDefault="00B702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702CE" w:rsidRDefault="00B702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C:\Yael\hakika\032308\999_152.doc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1807" w:rsidRDefault="00A11807">
      <w:pPr>
        <w:spacing w:before="60" w:line="240" w:lineRule="auto"/>
        <w:ind w:right="1134"/>
      </w:pPr>
      <w:r>
        <w:separator/>
      </w:r>
    </w:p>
  </w:footnote>
  <w:footnote w:type="continuationSeparator" w:id="0">
    <w:p w:rsidR="00A11807" w:rsidRDefault="00A11807">
      <w:r>
        <w:separator/>
      </w:r>
    </w:p>
  </w:footnote>
  <w:footnote w:id="1">
    <w:p w:rsidR="00B702CE" w:rsidRDefault="00B702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תשס"ב מס' 1862</w:t>
        </w:r>
      </w:hyperlink>
      <w:r>
        <w:rPr>
          <w:rFonts w:cs="FrankRuehl" w:hint="cs"/>
          <w:rtl/>
        </w:rPr>
        <w:t xml:space="preserve"> מיום 1.8.2002 עמ' 521 (</w:t>
      </w:r>
      <w:hyperlink r:id="rId2" w:history="1">
        <w:r>
          <w:rPr>
            <w:rStyle w:val="Hyperlink"/>
            <w:rFonts w:cs="FrankRuehl" w:hint="cs"/>
            <w:rtl/>
          </w:rPr>
          <w:t>ה"ח תש"ס מס' 2889</w:t>
        </w:r>
      </w:hyperlink>
      <w:r>
        <w:rPr>
          <w:rFonts w:cs="FrankRuehl" w:hint="cs"/>
          <w:rtl/>
        </w:rPr>
        <w:t xml:space="preserve"> עמ' 455).</w:t>
      </w:r>
    </w:p>
    <w:p w:rsidR="00B702CE" w:rsidRDefault="00A90CAA" w:rsidP="00A90C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00B702CE">
          <w:rPr>
            <w:rStyle w:val="Hyperlink"/>
            <w:rFonts w:cs="FrankRuehl" w:hint="cs"/>
            <w:rtl/>
          </w:rPr>
          <w:t>ס"ח תשס"ג מס' 1892</w:t>
        </w:r>
      </w:hyperlink>
      <w:r w:rsidR="00B702CE">
        <w:rPr>
          <w:rFonts w:cs="FrankRuehl" w:hint="cs"/>
          <w:rtl/>
        </w:rPr>
        <w:t xml:space="preserve"> מיום 1.6.2003 עמ' 494 (</w:t>
      </w:r>
      <w:hyperlink r:id="rId4" w:history="1">
        <w:r w:rsidR="00B702CE">
          <w:rPr>
            <w:rStyle w:val="Hyperlink"/>
            <w:rFonts w:cs="FrankRuehl" w:hint="cs"/>
            <w:rtl/>
          </w:rPr>
          <w:t>ה"ח הממשלה תשס"ג מס' 25</w:t>
        </w:r>
      </w:hyperlink>
      <w:r w:rsidR="00B702CE">
        <w:rPr>
          <w:rFonts w:cs="FrankRuehl" w:hint="cs"/>
          <w:rtl/>
        </w:rPr>
        <w:t xml:space="preserve"> עמ' 262) </w:t>
      </w:r>
      <w:r w:rsidR="00B702CE">
        <w:rPr>
          <w:rFonts w:cs="FrankRuehl"/>
          <w:rtl/>
        </w:rPr>
        <w:t>–</w:t>
      </w:r>
      <w:r w:rsidR="00B702CE">
        <w:rPr>
          <w:rFonts w:cs="FrankRuehl" w:hint="cs"/>
          <w:rtl/>
        </w:rPr>
        <w:t xml:space="preserve"> תיקון מס' 1 בסעיף 100 לחוק התכנית להבראת כלכלת ישראל (תיקוני חקיקה להשגת יעדי התקציב והמדיניות הכלכלית לשנות הכספים 2003 ו-2004), תשס"ג-2003; תחילתו ביום 1.6.2003.</w:t>
      </w:r>
      <w:r w:rsidR="00590E26">
        <w:rPr>
          <w:rFonts w:cs="FrankRuehl" w:hint="cs"/>
          <w:rtl/>
        </w:rPr>
        <w:t xml:space="preserve"> </w:t>
      </w:r>
    </w:p>
  </w:footnote>
  <w:footnote w:id="2">
    <w:p w:rsidR="00B702CE" w:rsidRDefault="00B702CE" w:rsidP="002206F3">
      <w:pPr>
        <w:pStyle w:val="a5"/>
        <w:spacing w:before="72" w:line="240" w:lineRule="auto"/>
        <w:ind w:right="1134"/>
        <w:rPr>
          <w:rFonts w:hint="cs"/>
          <w:rtl/>
        </w:rPr>
      </w:pPr>
      <w:r>
        <w:rPr>
          <w:rStyle w:val="a6"/>
        </w:rPr>
        <w:footnoteRef/>
      </w:r>
      <w:r>
        <w:rPr>
          <w:rFonts w:cs="FrankRuehl" w:hint="cs"/>
          <w:sz w:val="22"/>
          <w:szCs w:val="22"/>
          <w:rtl/>
        </w:rPr>
        <w:t xml:space="preserve"> סמכויותיו הועברו לראש הממשלה: </w:t>
      </w:r>
      <w:hyperlink r:id="rId5" w:history="1">
        <w:r>
          <w:rPr>
            <w:rStyle w:val="Hyperlink"/>
            <w:rFonts w:cs="FrankRuehl" w:hint="cs"/>
            <w:sz w:val="22"/>
            <w:szCs w:val="22"/>
            <w:rtl/>
          </w:rPr>
          <w:t>י"פ תשס"ח מס' 5784</w:t>
        </w:r>
      </w:hyperlink>
      <w:r>
        <w:rPr>
          <w:rFonts w:cs="FrankRuehl" w:hint="cs"/>
          <w:sz w:val="22"/>
          <w:szCs w:val="22"/>
          <w:rtl/>
        </w:rPr>
        <w:t xml:space="preserve"> מיום 10.3.2008 עמ' 2184.</w:t>
      </w:r>
      <w:r w:rsidR="00024317">
        <w:rPr>
          <w:rFonts w:cs="FrankRuehl"/>
          <w:szCs w:val="22"/>
          <w:rtl/>
        </w:rPr>
        <w:t xml:space="preserve"> הסמכויות הועברו לשר העבודה: </w:t>
      </w:r>
      <w:hyperlink r:id="rId6" w:history="1">
        <w:r w:rsidR="00024317">
          <w:rPr>
            <w:rStyle w:val="Hyperlink"/>
            <w:rFonts w:cs="FrankRuehl"/>
            <w:szCs w:val="22"/>
            <w:rtl/>
          </w:rPr>
          <w:t>י"פ תשפ"ג מס' 11103</w:t>
        </w:r>
      </w:hyperlink>
      <w:r w:rsidR="00024317">
        <w:rPr>
          <w:rFonts w:cs="FrankRuehl"/>
          <w:szCs w:val="22"/>
          <w:rtl/>
        </w:rPr>
        <w:t xml:space="preserve"> מיום 8.2.2023 עמ' 3642.</w:t>
      </w:r>
    </w:p>
  </w:footnote>
  <w:footnote w:id="3">
    <w:p w:rsidR="00803350" w:rsidRPr="00803350" w:rsidRDefault="00803350" w:rsidP="00A90CAA">
      <w:pPr>
        <w:pStyle w:val="a5"/>
        <w:spacing w:before="72" w:line="240" w:lineRule="auto"/>
        <w:ind w:right="1155"/>
        <w:rPr>
          <w:rFonts w:ascii="Cambria" w:hAnsi="Cambria" w:cs="FrankRuehl"/>
          <w:sz w:val="22"/>
          <w:szCs w:val="22"/>
          <w:rtl/>
        </w:rPr>
      </w:pPr>
      <w:r w:rsidRPr="00A90CAA">
        <w:rPr>
          <w:rStyle w:val="a6"/>
        </w:rPr>
        <w:footnoteRef/>
      </w:r>
      <w:r w:rsidRPr="00A90CAA">
        <w:rPr>
          <w:rtl/>
        </w:rPr>
        <w:t xml:space="preserve"> </w:t>
      </w:r>
      <w:r w:rsidRPr="00A90CAA">
        <w:rPr>
          <w:rFonts w:cs="FrankRuehl" w:hint="cs"/>
          <w:sz w:val="22"/>
          <w:szCs w:val="22"/>
          <w:rtl/>
        </w:rPr>
        <w:t xml:space="preserve">לאצילת סמכויות </w:t>
      </w:r>
      <w:r w:rsidR="00A90CAA" w:rsidRPr="00A90CAA">
        <w:rPr>
          <w:rFonts w:cs="FrankRuehl" w:hint="cs"/>
          <w:sz w:val="22"/>
          <w:szCs w:val="22"/>
          <w:rtl/>
        </w:rPr>
        <w:t>על ידי שר הביטחון לפי סעיף 54</w:t>
      </w:r>
      <w:r w:rsidRPr="00A90CAA">
        <w:rPr>
          <w:rFonts w:cs="FrankRuehl" w:hint="cs"/>
          <w:sz w:val="22"/>
          <w:szCs w:val="22"/>
          <w:rtl/>
        </w:rPr>
        <w:t xml:space="preserve"> לחוק שירות ביטחון [נוסח משולב], התשמ"ו-1986 ובהתאם לסעיף זה, </w:t>
      </w:r>
      <w:r w:rsidRPr="00A90CAA">
        <w:rPr>
          <w:rFonts w:ascii="Cambria" w:hAnsi="Cambria" w:cs="FrankRuehl"/>
          <w:sz w:val="22"/>
          <w:szCs w:val="22"/>
          <w:rtl/>
        </w:rPr>
        <w:t xml:space="preserve">ר' </w:t>
      </w:r>
      <w:hyperlink r:id="rId7" w:history="1">
        <w:r w:rsidRPr="00A90CAA">
          <w:rPr>
            <w:rStyle w:val="Hyperlink"/>
            <w:rFonts w:ascii="Cambria" w:hAnsi="Cambria" w:cs="FrankRuehl"/>
            <w:sz w:val="22"/>
            <w:szCs w:val="22"/>
            <w:rtl/>
          </w:rPr>
          <w:t>י"פ תשס"ט מס' 5912</w:t>
        </w:r>
      </w:hyperlink>
      <w:r w:rsidRPr="00A90CAA">
        <w:rPr>
          <w:rFonts w:ascii="Cambria" w:hAnsi="Cambria" w:cs="FrankRuehl"/>
          <w:sz w:val="22"/>
          <w:szCs w:val="22"/>
          <w:rtl/>
        </w:rPr>
        <w:t xml:space="preserve"> מיום 2.2.2009 עמ' 2253.</w:t>
      </w:r>
    </w:p>
  </w:footnote>
  <w:footnote w:id="4">
    <w:p w:rsidR="00A90CAA" w:rsidRDefault="00A90CAA" w:rsidP="00A90CAA">
      <w:pPr>
        <w:pStyle w:val="a5"/>
        <w:spacing w:before="72" w:line="240" w:lineRule="auto"/>
        <w:ind w:right="1134"/>
        <w:rPr>
          <w:rFonts w:hint="cs"/>
          <w:rtl/>
        </w:rPr>
      </w:pPr>
      <w:r>
        <w:rPr>
          <w:rStyle w:val="a6"/>
        </w:rPr>
        <w:footnoteRef/>
      </w:r>
      <w:r>
        <w:rPr>
          <w:rFonts w:hint="cs"/>
          <w:rtl/>
        </w:rPr>
        <w:t xml:space="preserve"> </w:t>
      </w:r>
      <w:r>
        <w:rPr>
          <w:rFonts w:cs="FrankRuehl" w:hint="cs"/>
          <w:sz w:val="22"/>
          <w:szCs w:val="22"/>
          <w:rtl/>
        </w:rPr>
        <w:t xml:space="preserve">ר' הארכת תוקף החוק בחמש שנים עד יום 1.8.2012: </w:t>
      </w:r>
      <w:hyperlink r:id="rId8" w:history="1">
        <w:r>
          <w:rPr>
            <w:rStyle w:val="Hyperlink"/>
            <w:rFonts w:cs="FrankRuehl" w:hint="cs"/>
            <w:sz w:val="22"/>
            <w:szCs w:val="22"/>
            <w:rtl/>
          </w:rPr>
          <w:t>י"פ תשס"ז מס' 5702</w:t>
        </w:r>
      </w:hyperlink>
      <w:r>
        <w:rPr>
          <w:rFonts w:cs="FrankRuehl" w:hint="cs"/>
          <w:sz w:val="22"/>
          <w:szCs w:val="22"/>
          <w:rtl/>
        </w:rPr>
        <w:t xml:space="preserve"> מיום 9.8.2007 עמ' 3910.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2CE" w:rsidRDefault="00B702C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בדבר קביעת משרות שלא תחול עליהן חובת מכרז, תשס"א–2001</w:t>
    </w:r>
  </w:p>
  <w:p w:rsidR="00B702CE" w:rsidRDefault="00B702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02CE" w:rsidRDefault="00B702C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2CE" w:rsidRDefault="00B702C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דחיית שירות לתלמידי ישיבות שתורתם אומנותם, תשס"ב-2002</w:t>
    </w:r>
  </w:p>
  <w:p w:rsidR="00B702CE" w:rsidRDefault="00B702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02CE" w:rsidRDefault="00B702C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6E3B"/>
    <w:rsid w:val="00024317"/>
    <w:rsid w:val="0003014B"/>
    <w:rsid w:val="00087D97"/>
    <w:rsid w:val="0009471B"/>
    <w:rsid w:val="001948D2"/>
    <w:rsid w:val="001B20F6"/>
    <w:rsid w:val="001B6E3B"/>
    <w:rsid w:val="002206F3"/>
    <w:rsid w:val="003E4574"/>
    <w:rsid w:val="004D14E3"/>
    <w:rsid w:val="004F7E6F"/>
    <w:rsid w:val="0050623D"/>
    <w:rsid w:val="00560CE4"/>
    <w:rsid w:val="005859E9"/>
    <w:rsid w:val="00590E26"/>
    <w:rsid w:val="005A0F52"/>
    <w:rsid w:val="0062145B"/>
    <w:rsid w:val="00652142"/>
    <w:rsid w:val="006D6D3B"/>
    <w:rsid w:val="00721A23"/>
    <w:rsid w:val="00787BFC"/>
    <w:rsid w:val="00803350"/>
    <w:rsid w:val="008C0EFB"/>
    <w:rsid w:val="008D1273"/>
    <w:rsid w:val="008D6F9F"/>
    <w:rsid w:val="009261B6"/>
    <w:rsid w:val="00A11807"/>
    <w:rsid w:val="00A31789"/>
    <w:rsid w:val="00A46EA9"/>
    <w:rsid w:val="00A90CAA"/>
    <w:rsid w:val="00B36EB9"/>
    <w:rsid w:val="00B510AB"/>
    <w:rsid w:val="00B702CE"/>
    <w:rsid w:val="00BA7312"/>
    <w:rsid w:val="00D2435D"/>
    <w:rsid w:val="00D45D4D"/>
    <w:rsid w:val="00D8699F"/>
    <w:rsid w:val="00D877B7"/>
    <w:rsid w:val="00DD0C21"/>
    <w:rsid w:val="00EE7B8E"/>
    <w:rsid w:val="00F71673"/>
    <w:rsid w:val="00F772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2"/>
    </o:shapelayout>
  </w:shapeDefaults>
  <w:decimalSymbol w:val="."/>
  <w:listSeparator w:val=","/>
  <w15:chartTrackingRefBased/>
  <w15:docId w15:val="{72E7BDBF-B900-483A-8CDE-5B65F0CF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5/MEMSHALA-25.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1892.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5702.pdf" TargetMode="External"/><Relationship Id="rId3" Type="http://schemas.openxmlformats.org/officeDocument/2006/relationships/hyperlink" Target="http://www.nevo.co.il/Law_word/law14/LAW-1892.pdf" TargetMode="External"/><Relationship Id="rId7" Type="http://schemas.openxmlformats.org/officeDocument/2006/relationships/hyperlink" Target="http://www.nevo.co.il/Law_word/law10/YALKUT-5912.pdf" TargetMode="External"/><Relationship Id="rId2" Type="http://schemas.openxmlformats.org/officeDocument/2006/relationships/hyperlink" Target="http://www.nevo.co.il/Law_word/law17/PROP-2889.pdf" TargetMode="External"/><Relationship Id="rId1" Type="http://schemas.openxmlformats.org/officeDocument/2006/relationships/hyperlink" Target="http://www.nevo.co.il/Law_word/law14/LAW-1862.pdf" TargetMode="External"/><Relationship Id="rId6" Type="http://schemas.openxmlformats.org/officeDocument/2006/relationships/hyperlink" Target="https://www.nevo.co.il/law_html/law10/yalkut-11103.pdf" TargetMode="External"/><Relationship Id="rId5" Type="http://schemas.openxmlformats.org/officeDocument/2006/relationships/hyperlink" Target="http://web1.nevo.co.il/Law_word/law10/yalkut-5784.pdf" TargetMode="External"/><Relationship Id="rId4" Type="http://schemas.openxmlformats.org/officeDocument/2006/relationships/hyperlink" Target="http://www.nevo.co.il/Law_word/law15/MEMSHALA-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7877</CharactersWithSpaces>
  <SharedDoc>false</SharedDoc>
  <HLinks>
    <vt:vector size="162" baseType="variant">
      <vt:variant>
        <vt:i4>2424923</vt:i4>
      </vt:variant>
      <vt:variant>
        <vt:i4>105</vt:i4>
      </vt:variant>
      <vt:variant>
        <vt:i4>0</vt:i4>
      </vt:variant>
      <vt:variant>
        <vt:i4>5</vt:i4>
      </vt:variant>
      <vt:variant>
        <vt:lpwstr>http://www.nevo.co.il/Law_word/law15/MEMSHALA-25.pdf</vt:lpwstr>
      </vt:variant>
      <vt:variant>
        <vt:lpwstr/>
      </vt:variant>
      <vt:variant>
        <vt:i4>7798787</vt:i4>
      </vt:variant>
      <vt:variant>
        <vt:i4>102</vt:i4>
      </vt:variant>
      <vt:variant>
        <vt:i4>0</vt:i4>
      </vt:variant>
      <vt:variant>
        <vt:i4>5</vt:i4>
      </vt:variant>
      <vt:variant>
        <vt:lpwstr>http://www.nevo.co.il/Law_word/law14/LAW-1892.pdf</vt:lpwstr>
      </vt:variant>
      <vt:variant>
        <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7602180</vt:i4>
      </vt:variant>
      <vt:variant>
        <vt:i4>21</vt:i4>
      </vt:variant>
      <vt:variant>
        <vt:i4>0</vt:i4>
      </vt:variant>
      <vt:variant>
        <vt:i4>5</vt:i4>
      </vt:variant>
      <vt:variant>
        <vt:lpwstr>http://www.nevo.co.il/Law_word/law10/yalkut-5702.pdf</vt:lpwstr>
      </vt:variant>
      <vt:variant>
        <vt:lpwstr/>
      </vt:variant>
      <vt:variant>
        <vt:i4>7995397</vt:i4>
      </vt:variant>
      <vt:variant>
        <vt:i4>18</vt:i4>
      </vt:variant>
      <vt:variant>
        <vt:i4>0</vt:i4>
      </vt:variant>
      <vt:variant>
        <vt:i4>5</vt:i4>
      </vt:variant>
      <vt:variant>
        <vt:lpwstr>http://www.nevo.co.il/Law_word/law10/YALKUT-5912.pdf</vt:lpwstr>
      </vt:variant>
      <vt:variant>
        <vt:lpwstr/>
      </vt:variant>
      <vt:variant>
        <vt:i4>7733332</vt:i4>
      </vt:variant>
      <vt:variant>
        <vt:i4>15</vt:i4>
      </vt:variant>
      <vt:variant>
        <vt:i4>0</vt:i4>
      </vt:variant>
      <vt:variant>
        <vt:i4>5</vt:i4>
      </vt:variant>
      <vt:variant>
        <vt:lpwstr>https://www.nevo.co.il/law_html/law10/yalkut-11103.pdf</vt:lpwstr>
      </vt:variant>
      <vt:variant>
        <vt:lpwstr/>
      </vt:variant>
      <vt:variant>
        <vt:i4>4980834</vt:i4>
      </vt:variant>
      <vt:variant>
        <vt:i4>12</vt:i4>
      </vt:variant>
      <vt:variant>
        <vt:i4>0</vt:i4>
      </vt:variant>
      <vt:variant>
        <vt:i4>5</vt:i4>
      </vt:variant>
      <vt:variant>
        <vt:lpwstr>http://web1.nevo.co.il/Law_word/law10/yalkut-5784.pdf</vt:lpwstr>
      </vt:variant>
      <vt:variant>
        <vt:lpwstr/>
      </vt:variant>
      <vt:variant>
        <vt:i4>2424923</vt:i4>
      </vt:variant>
      <vt:variant>
        <vt:i4>9</vt:i4>
      </vt:variant>
      <vt:variant>
        <vt:i4>0</vt:i4>
      </vt:variant>
      <vt:variant>
        <vt:i4>5</vt:i4>
      </vt:variant>
      <vt:variant>
        <vt:lpwstr>http://www.nevo.co.il/Law_word/law15/MEMSHALA-25.pdf</vt:lpwstr>
      </vt:variant>
      <vt:variant>
        <vt:lpwstr/>
      </vt:variant>
      <vt:variant>
        <vt:i4>7798787</vt:i4>
      </vt:variant>
      <vt:variant>
        <vt:i4>6</vt:i4>
      </vt:variant>
      <vt:variant>
        <vt:i4>0</vt:i4>
      </vt:variant>
      <vt:variant>
        <vt:i4>5</vt:i4>
      </vt:variant>
      <vt:variant>
        <vt:lpwstr>http://www.nevo.co.il/Law_word/law14/LAW-1892.pdf</vt:lpwstr>
      </vt:variant>
      <vt:variant>
        <vt:lpwstr/>
      </vt:variant>
      <vt:variant>
        <vt:i4>524407</vt:i4>
      </vt:variant>
      <vt:variant>
        <vt:i4>3</vt:i4>
      </vt:variant>
      <vt:variant>
        <vt:i4>0</vt:i4>
      </vt:variant>
      <vt:variant>
        <vt:i4>5</vt:i4>
      </vt:variant>
      <vt:variant>
        <vt:lpwstr>http://www.nevo.co.il/Law_word/law17/PROP-2889.pdf</vt:lpwstr>
      </vt:variant>
      <vt:variant>
        <vt:lpwstr/>
      </vt:variant>
      <vt:variant>
        <vt:i4>7864323</vt:i4>
      </vt:variant>
      <vt:variant>
        <vt:i4>0</vt:i4>
      </vt:variant>
      <vt:variant>
        <vt:i4>0</vt:i4>
      </vt:variant>
      <vt:variant>
        <vt:i4>5</vt:i4>
      </vt:variant>
      <vt:variant>
        <vt:lpwstr>http://www.nevo.co.il/Law_word/law14/LAW-1862.pdf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LAWNAME">
    <vt:lpwstr>חוק דחיית שירות לתלמידי ישיבות שתורתם אומנותם, תשס"ב-2002</vt:lpwstr>
  </property>
  <property fmtid="{D5CDD505-2E9C-101B-9397-08002B2CF9AE}" pid="4" name="LAWNUMBER">
    <vt:lpwstr>0152</vt:lpwstr>
  </property>
  <property fmtid="{D5CDD505-2E9C-101B-9397-08002B2CF9AE}" pid="5" name="TYPE">
    <vt:lpwstr>01</vt:lpwstr>
  </property>
  <property fmtid="{D5CDD505-2E9C-101B-9397-08002B2CF9AE}" pid="6" name="CHNAME">
    <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שירות בטחון</vt:lpwstr>
  </property>
  <property fmtid="{D5CDD505-2E9C-101B-9397-08002B2CF9AE}" pid="25" name="NOSE41">
    <vt:lpwstr>דחיית שירות לתלמידי ישיבות</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