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3F6" w:rsidRDefault="00B833F6">
      <w:pPr>
        <w:pStyle w:val="big-header"/>
        <w:ind w:left="0" w:right="1134"/>
      </w:pPr>
      <w:r>
        <w:rPr>
          <w:rFonts w:hint="cs"/>
          <w:rtl/>
        </w:rPr>
        <w:t>חוק דם טבורי, תשס"ז-2007</w:t>
      </w:r>
    </w:p>
    <w:p w:rsidR="00594D50" w:rsidRPr="00594D50" w:rsidRDefault="00594D50" w:rsidP="00594D50">
      <w:pPr>
        <w:spacing w:line="320" w:lineRule="auto"/>
        <w:jc w:val="left"/>
        <w:rPr>
          <w:rFonts w:cs="FrankRuehl"/>
          <w:szCs w:val="26"/>
          <w:rtl/>
        </w:rPr>
      </w:pPr>
    </w:p>
    <w:p w:rsidR="000E4689" w:rsidRDefault="000E4689" w:rsidP="000E4689">
      <w:pPr>
        <w:spacing w:line="320" w:lineRule="auto"/>
        <w:jc w:val="left"/>
        <w:rPr>
          <w:rtl/>
        </w:rPr>
      </w:pPr>
    </w:p>
    <w:p w:rsidR="00594D50" w:rsidRPr="000E4689" w:rsidRDefault="000E4689" w:rsidP="000E4689">
      <w:pPr>
        <w:spacing w:line="320" w:lineRule="auto"/>
        <w:jc w:val="left"/>
        <w:rPr>
          <w:rFonts w:cs="Miriam"/>
          <w:szCs w:val="22"/>
          <w:rtl/>
        </w:rPr>
      </w:pPr>
      <w:r w:rsidRPr="000E4689">
        <w:rPr>
          <w:rFonts w:cs="Miriam"/>
          <w:szCs w:val="22"/>
          <w:rtl/>
        </w:rPr>
        <w:t>בריאות</w:t>
      </w:r>
      <w:r w:rsidRPr="000E4689">
        <w:rPr>
          <w:rFonts w:cs="FrankRuehl"/>
          <w:szCs w:val="26"/>
          <w:rtl/>
        </w:rPr>
        <w:t xml:space="preserve"> – הריונות – דם טבורי</w:t>
      </w:r>
    </w:p>
    <w:p w:rsidR="00B833F6" w:rsidRDefault="00B833F6">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0" w:tooltip="הגדרות"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הגדרות</w:t>
            </w:r>
          </w:p>
        </w:tc>
        <w:tc>
          <w:tcPr>
            <w:tcW w:w="1247" w:type="dxa"/>
          </w:tcPr>
          <w:p w:rsidR="00B833F6" w:rsidRDefault="00B833F6">
            <w:pPr>
              <w:spacing w:line="240" w:lineRule="auto"/>
              <w:jc w:val="left"/>
              <w:rPr>
                <w:rFonts w:cs="Frankruhel" w:hint="cs"/>
                <w:sz w:val="24"/>
              </w:rPr>
            </w:pPr>
            <w:r>
              <w:rPr>
                <w:rFonts w:cs="Frankruhel"/>
                <w:sz w:val="24"/>
                <w:rtl/>
              </w:rPr>
              <w:t xml:space="preserve">סעיף 1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1" w:tooltip="פעולות לעניין מנת דם טבורי"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פעולות לעניין מנת דם טבורי</w:t>
            </w:r>
          </w:p>
        </w:tc>
        <w:tc>
          <w:tcPr>
            <w:tcW w:w="1247" w:type="dxa"/>
          </w:tcPr>
          <w:p w:rsidR="00B833F6" w:rsidRDefault="00B833F6">
            <w:pPr>
              <w:spacing w:line="240" w:lineRule="auto"/>
              <w:jc w:val="left"/>
              <w:rPr>
                <w:rFonts w:cs="Frankruhel" w:hint="cs"/>
                <w:sz w:val="24"/>
              </w:rPr>
            </w:pPr>
            <w:r>
              <w:rPr>
                <w:rFonts w:cs="Frankruhel"/>
                <w:sz w:val="24"/>
                <w:rtl/>
              </w:rPr>
              <w:t xml:space="preserve">סעיף 2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2" w:tooltip="איסוף מנת דם טבורי"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איסוף מנת דם טבורי</w:t>
            </w:r>
          </w:p>
        </w:tc>
        <w:tc>
          <w:tcPr>
            <w:tcW w:w="1247" w:type="dxa"/>
          </w:tcPr>
          <w:p w:rsidR="00B833F6" w:rsidRDefault="00B833F6">
            <w:pPr>
              <w:spacing w:line="240" w:lineRule="auto"/>
              <w:jc w:val="left"/>
              <w:rPr>
                <w:rFonts w:cs="Frankruhel" w:hint="cs"/>
                <w:sz w:val="24"/>
              </w:rPr>
            </w:pPr>
            <w:r>
              <w:rPr>
                <w:rFonts w:cs="Frankruhel"/>
                <w:sz w:val="24"/>
                <w:rtl/>
              </w:rPr>
              <w:t xml:space="preserve">סעיף 3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3" w:tooltip="הסכמה מדעת לאיסוף מנת דם טבורי וטיפול בה"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הסכמה מדעת לאיסוף מנת דם טבורי וטיפול בה</w:t>
            </w:r>
          </w:p>
        </w:tc>
        <w:tc>
          <w:tcPr>
            <w:tcW w:w="1247" w:type="dxa"/>
          </w:tcPr>
          <w:p w:rsidR="00B833F6" w:rsidRDefault="00B833F6">
            <w:pPr>
              <w:spacing w:line="240" w:lineRule="auto"/>
              <w:jc w:val="left"/>
              <w:rPr>
                <w:rFonts w:cs="Frankruhel" w:hint="cs"/>
                <w:sz w:val="24"/>
              </w:rPr>
            </w:pPr>
            <w:r>
              <w:rPr>
                <w:rFonts w:cs="Frankruhel"/>
                <w:sz w:val="24"/>
                <w:rtl/>
              </w:rPr>
              <w:t xml:space="preserve">סעיף 4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4" w:tooltip="טיפול במנת דם טבורי"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טיפול במנת דם טבורי</w:t>
            </w:r>
          </w:p>
        </w:tc>
        <w:tc>
          <w:tcPr>
            <w:tcW w:w="1247" w:type="dxa"/>
          </w:tcPr>
          <w:p w:rsidR="00B833F6" w:rsidRDefault="00B833F6">
            <w:pPr>
              <w:spacing w:line="240" w:lineRule="auto"/>
              <w:jc w:val="left"/>
              <w:rPr>
                <w:rFonts w:cs="Frankruhel" w:hint="cs"/>
                <w:sz w:val="24"/>
              </w:rPr>
            </w:pPr>
            <w:r>
              <w:rPr>
                <w:rFonts w:cs="Frankruhel"/>
                <w:sz w:val="24"/>
                <w:rtl/>
              </w:rPr>
              <w:t xml:space="preserve">סעיף 5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5" w:tooltip="היתר הקמה והפעלה"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היתר הקמה והפעלה</w:t>
            </w:r>
          </w:p>
        </w:tc>
        <w:tc>
          <w:tcPr>
            <w:tcW w:w="1247" w:type="dxa"/>
          </w:tcPr>
          <w:p w:rsidR="00B833F6" w:rsidRDefault="00B833F6">
            <w:pPr>
              <w:spacing w:line="240" w:lineRule="auto"/>
              <w:jc w:val="left"/>
              <w:rPr>
                <w:rFonts w:cs="Frankruhel" w:hint="cs"/>
                <w:sz w:val="24"/>
              </w:rPr>
            </w:pPr>
            <w:r>
              <w:rPr>
                <w:rFonts w:cs="Frankruhel"/>
                <w:sz w:val="24"/>
                <w:rtl/>
              </w:rPr>
              <w:t xml:space="preserve">סעיף 6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Seif6</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6" w:tooltip="ביטול היתר, הגבלתו או התלייתו"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ביטול היתר, הגבלתו או התלייתו</w:t>
            </w:r>
          </w:p>
        </w:tc>
        <w:tc>
          <w:tcPr>
            <w:tcW w:w="1247" w:type="dxa"/>
          </w:tcPr>
          <w:p w:rsidR="00B833F6" w:rsidRDefault="00B833F6">
            <w:pPr>
              <w:spacing w:line="240" w:lineRule="auto"/>
              <w:jc w:val="left"/>
              <w:rPr>
                <w:rFonts w:cs="Frankruhel" w:hint="cs"/>
                <w:sz w:val="24"/>
              </w:rPr>
            </w:pPr>
            <w:r>
              <w:rPr>
                <w:rFonts w:cs="Frankruhel"/>
                <w:sz w:val="24"/>
                <w:rtl/>
              </w:rPr>
              <w:t xml:space="preserve">סעיף 7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Seif7</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7" w:tooltip="איסור העברת היתר"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איסור העברת היתר</w:t>
            </w:r>
          </w:p>
        </w:tc>
        <w:tc>
          <w:tcPr>
            <w:tcW w:w="1247" w:type="dxa"/>
          </w:tcPr>
          <w:p w:rsidR="00B833F6" w:rsidRDefault="00B833F6">
            <w:pPr>
              <w:spacing w:line="240" w:lineRule="auto"/>
              <w:jc w:val="left"/>
              <w:rPr>
                <w:rFonts w:cs="Frankruhel" w:hint="cs"/>
                <w:sz w:val="24"/>
              </w:rPr>
            </w:pPr>
            <w:r>
              <w:rPr>
                <w:rFonts w:cs="Frankruhel"/>
                <w:sz w:val="24"/>
                <w:rtl/>
              </w:rPr>
              <w:t xml:space="preserve">סעיף 8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Seif8</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8" w:tooltip="זכויות קניין במנת דם טבורי"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זכויות קניין במנת דם טבורי</w:t>
            </w:r>
          </w:p>
        </w:tc>
        <w:tc>
          <w:tcPr>
            <w:tcW w:w="1247" w:type="dxa"/>
          </w:tcPr>
          <w:p w:rsidR="00B833F6" w:rsidRDefault="00B833F6">
            <w:pPr>
              <w:spacing w:line="240" w:lineRule="auto"/>
              <w:jc w:val="left"/>
              <w:rPr>
                <w:rFonts w:cs="Frankruhel" w:hint="cs"/>
                <w:sz w:val="24"/>
              </w:rPr>
            </w:pPr>
            <w:r>
              <w:rPr>
                <w:rFonts w:cs="Frankruhel"/>
                <w:sz w:val="24"/>
                <w:rtl/>
              </w:rPr>
              <w:t xml:space="preserve">סעיף 9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Seif9</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9" w:tooltip="שמירת מנת דם טבורי בבנק דם טבורי ציבורי לצורכי השתלה במטופל מסוים"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שמירת מנת דם טבורי בבנק דם טבורי ציבורי לצורכי השתלה במטופל מסוים</w:t>
            </w:r>
          </w:p>
        </w:tc>
        <w:tc>
          <w:tcPr>
            <w:tcW w:w="1247" w:type="dxa"/>
          </w:tcPr>
          <w:p w:rsidR="00B833F6" w:rsidRDefault="00B833F6">
            <w:pPr>
              <w:spacing w:line="240" w:lineRule="auto"/>
              <w:jc w:val="left"/>
              <w:rPr>
                <w:rFonts w:cs="Frankruhel" w:hint="cs"/>
                <w:sz w:val="24"/>
              </w:rPr>
            </w:pPr>
            <w:r>
              <w:rPr>
                <w:rFonts w:cs="Frankruhel"/>
                <w:sz w:val="24"/>
                <w:rtl/>
              </w:rPr>
              <w:t xml:space="preserve">סעיף 10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10" w:tooltip="הפסקת הפעלתו של בנק דם טבורי"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הפסקת הפעלתו של בנק דם טבורי</w:t>
            </w:r>
          </w:p>
        </w:tc>
        <w:tc>
          <w:tcPr>
            <w:tcW w:w="1247" w:type="dxa"/>
          </w:tcPr>
          <w:p w:rsidR="00B833F6" w:rsidRDefault="00B833F6">
            <w:pPr>
              <w:spacing w:line="240" w:lineRule="auto"/>
              <w:jc w:val="left"/>
              <w:rPr>
                <w:rFonts w:cs="Frankruhel" w:hint="cs"/>
                <w:sz w:val="24"/>
              </w:rPr>
            </w:pPr>
            <w:r>
              <w:rPr>
                <w:rFonts w:cs="Frankruhel"/>
                <w:sz w:val="24"/>
                <w:rtl/>
              </w:rPr>
              <w:t xml:space="preserve">סעיף 11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11" w:tooltip="שמירת סודיות"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שמירת סודיות</w:t>
            </w:r>
          </w:p>
        </w:tc>
        <w:tc>
          <w:tcPr>
            <w:tcW w:w="1247" w:type="dxa"/>
          </w:tcPr>
          <w:p w:rsidR="00B833F6" w:rsidRDefault="00B833F6">
            <w:pPr>
              <w:spacing w:line="240" w:lineRule="auto"/>
              <w:jc w:val="left"/>
              <w:rPr>
                <w:rFonts w:cs="Frankruhel" w:hint="cs"/>
                <w:sz w:val="24"/>
              </w:rPr>
            </w:pPr>
            <w:r>
              <w:rPr>
                <w:rFonts w:cs="Frankruhel"/>
                <w:sz w:val="24"/>
                <w:rtl/>
              </w:rPr>
              <w:t xml:space="preserve">סעיף 12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12" w:tooltip="מימון"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מימון</w:t>
            </w:r>
          </w:p>
        </w:tc>
        <w:tc>
          <w:tcPr>
            <w:tcW w:w="1247" w:type="dxa"/>
          </w:tcPr>
          <w:p w:rsidR="00B833F6" w:rsidRDefault="00B833F6">
            <w:pPr>
              <w:spacing w:line="240" w:lineRule="auto"/>
              <w:jc w:val="left"/>
              <w:rPr>
                <w:rFonts w:cs="Frankruhel" w:hint="cs"/>
                <w:sz w:val="24"/>
              </w:rPr>
            </w:pPr>
            <w:r>
              <w:rPr>
                <w:rFonts w:cs="Frankruhel"/>
                <w:sz w:val="24"/>
                <w:rtl/>
              </w:rPr>
              <w:t xml:space="preserve">סעיף 13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13" w:tooltip="ביצוע ותקנות"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ביצוע ותקנות</w:t>
            </w:r>
          </w:p>
        </w:tc>
        <w:tc>
          <w:tcPr>
            <w:tcW w:w="1247" w:type="dxa"/>
          </w:tcPr>
          <w:p w:rsidR="00B833F6" w:rsidRDefault="00B833F6">
            <w:pPr>
              <w:spacing w:line="240" w:lineRule="auto"/>
              <w:jc w:val="left"/>
              <w:rPr>
                <w:rFonts w:cs="Frankruhel" w:hint="cs"/>
                <w:sz w:val="24"/>
              </w:rPr>
            </w:pPr>
            <w:r>
              <w:rPr>
                <w:rFonts w:cs="Frankruhel"/>
                <w:sz w:val="24"/>
                <w:rtl/>
              </w:rPr>
              <w:t xml:space="preserve">סעיף 14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14" w:tooltip="תחילה"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תחילה</w:t>
            </w:r>
          </w:p>
        </w:tc>
        <w:tc>
          <w:tcPr>
            <w:tcW w:w="1247" w:type="dxa"/>
          </w:tcPr>
          <w:p w:rsidR="00B833F6" w:rsidRDefault="00B833F6">
            <w:pPr>
              <w:spacing w:line="240" w:lineRule="auto"/>
              <w:jc w:val="left"/>
              <w:rPr>
                <w:rFonts w:cs="Frankruhel" w:hint="cs"/>
                <w:sz w:val="24"/>
              </w:rPr>
            </w:pPr>
            <w:r>
              <w:rPr>
                <w:rFonts w:cs="Frankruhel"/>
                <w:sz w:val="24"/>
                <w:rtl/>
              </w:rPr>
              <w:t xml:space="preserve">סעיף 15 </w:t>
            </w:r>
          </w:p>
        </w:tc>
      </w:tr>
      <w:tr w:rsidR="00B833F6">
        <w:tblPrEx>
          <w:tblCellMar>
            <w:top w:w="0" w:type="dxa"/>
            <w:bottom w:w="0" w:type="dxa"/>
          </w:tblCellMar>
        </w:tblPrEx>
        <w:trPr>
          <w:jc w:val="right"/>
        </w:trPr>
        <w:tc>
          <w:tcPr>
            <w:tcW w:w="850" w:type="dxa"/>
          </w:tcPr>
          <w:p w:rsidR="00B833F6" w:rsidRDefault="00B833F6">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Seif15</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B833F6" w:rsidRDefault="00B833F6">
            <w:pPr>
              <w:spacing w:line="240" w:lineRule="auto"/>
              <w:jc w:val="left"/>
              <w:rPr>
                <w:rFonts w:cs="Frankruhel" w:hint="cs"/>
                <w:sz w:val="24"/>
              </w:rPr>
            </w:pPr>
            <w:hyperlink w:anchor="Seif15" w:tooltip="הוראות מעבר" w:history="1">
              <w:r>
                <w:rPr>
                  <w:rStyle w:val="Hyperlink"/>
                </w:rPr>
                <w:t>Go</w:t>
              </w:r>
            </w:hyperlink>
          </w:p>
        </w:tc>
        <w:tc>
          <w:tcPr>
            <w:tcW w:w="5669" w:type="dxa"/>
          </w:tcPr>
          <w:p w:rsidR="00B833F6" w:rsidRDefault="00B833F6">
            <w:pPr>
              <w:spacing w:line="240" w:lineRule="auto"/>
              <w:jc w:val="left"/>
              <w:rPr>
                <w:rFonts w:cs="Frankruhel"/>
                <w:sz w:val="24"/>
                <w:rtl/>
              </w:rPr>
            </w:pPr>
            <w:r>
              <w:rPr>
                <w:rFonts w:cs="Frankruhel"/>
                <w:sz w:val="24"/>
                <w:rtl/>
              </w:rPr>
              <w:t>הוראות מעבר</w:t>
            </w:r>
          </w:p>
        </w:tc>
        <w:tc>
          <w:tcPr>
            <w:tcW w:w="1247" w:type="dxa"/>
          </w:tcPr>
          <w:p w:rsidR="00B833F6" w:rsidRDefault="00B833F6">
            <w:pPr>
              <w:spacing w:line="240" w:lineRule="auto"/>
              <w:jc w:val="left"/>
              <w:rPr>
                <w:rFonts w:cs="Frankruhel" w:hint="cs"/>
                <w:sz w:val="24"/>
              </w:rPr>
            </w:pPr>
            <w:r>
              <w:rPr>
                <w:rFonts w:cs="Frankruhel"/>
                <w:sz w:val="24"/>
                <w:rtl/>
              </w:rPr>
              <w:t xml:space="preserve">סעיף 16 </w:t>
            </w:r>
          </w:p>
        </w:tc>
      </w:tr>
    </w:tbl>
    <w:p w:rsidR="00B833F6" w:rsidRDefault="00B833F6">
      <w:pPr>
        <w:pStyle w:val="P00"/>
        <w:spacing w:before="72"/>
        <w:ind w:left="0" w:right="1134"/>
        <w:rPr>
          <w:rFonts w:hint="cs"/>
          <w:rtl/>
        </w:rPr>
      </w:pPr>
    </w:p>
    <w:p w:rsidR="00B833F6" w:rsidRDefault="00B833F6" w:rsidP="00594D50">
      <w:pPr>
        <w:pStyle w:val="big-header"/>
        <w:ind w:left="0" w:right="1134"/>
        <w:rPr>
          <w:rStyle w:val="default"/>
          <w:rFonts w:cs="FrankRuehl"/>
          <w:rtl/>
        </w:rPr>
      </w:pPr>
      <w:r>
        <w:rPr>
          <w:rtl/>
        </w:rPr>
        <w:br w:type="page"/>
      </w:r>
      <w:r>
        <w:rPr>
          <w:rFonts w:hint="cs"/>
          <w:rtl/>
        </w:rPr>
        <w:lastRenderedPageBreak/>
        <w:t>חוק דם טבורי, תשס"ז-2007</w:t>
      </w:r>
      <w:r>
        <w:rPr>
          <w:rStyle w:val="default"/>
          <w:sz w:val="22"/>
          <w:szCs w:val="22"/>
          <w:rtl/>
        </w:rPr>
        <w:footnoteReference w:customMarkFollows="1" w:id="1"/>
        <w:t>*</w:t>
      </w:r>
    </w:p>
    <w:p w:rsidR="00B833F6" w:rsidRDefault="00B833F6">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4pt;z-index:251650048" o:allowincell="f" filled="f" stroked="f" strokecolor="lime" strokeweight=".25pt">
            <v:textbox style="mso-next-textbox:#_x0000_s1026" inset="0,0,0,0">
              <w:txbxContent>
                <w:p w:rsidR="00B833F6" w:rsidRDefault="00B833F6">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"בית חולים" – מוסד רפואי הרשום כבית חולים לפי פקודת בריאות העם;</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"בנק דם טבורי"</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מקום להקפאה, לאחסון ולניפוק של מנות דם טבורי, המיועדות</w:t>
      </w:r>
      <w:r>
        <w:rPr>
          <w:rStyle w:val="default"/>
          <w:rFonts w:cs="FrankRuehl" w:hint="cs"/>
          <w:rtl/>
        </w:rPr>
        <w:t xml:space="preserve"> </w:t>
      </w:r>
      <w:r>
        <w:rPr>
          <w:rStyle w:val="default"/>
          <w:rFonts w:cs="FrankRuehl"/>
          <w:rtl/>
        </w:rPr>
        <w:t>לשימור לשם השתלה באדם או לשם מחקר רפואי;</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"בנק דם טבורי פרטי</w:t>
      </w:r>
      <w:r>
        <w:rPr>
          <w:rStyle w:val="default"/>
          <w:rFonts w:cs="FrankRuehl" w:hint="cs"/>
          <w:rtl/>
        </w:rPr>
        <w:t>"</w:t>
      </w:r>
      <w:r>
        <w:rPr>
          <w:rStyle w:val="default"/>
          <w:rFonts w:cs="FrankRuehl"/>
          <w:rtl/>
        </w:rPr>
        <w:t xml:space="preserve"> – בנק דם טבורי שמנות הדם הטבורי בו נשמרות לטובת השתלה עצמית או לטובת השתלה בהתאם להוראות האדם שהדם הטבורי נאסף לאחר לידתו, או בהתאם להוראות אפוטרופסו של אותו אדם, בלבד;</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"בנק דם טבורי ציבורי"</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בנק דם טבורי שמנות הדם הטבורי בו נתרמו לטובת הכלל</w:t>
      </w:r>
      <w:r>
        <w:rPr>
          <w:rStyle w:val="default"/>
          <w:rFonts w:cs="FrankRuehl" w:hint="cs"/>
          <w:rtl/>
        </w:rPr>
        <w:t xml:space="preserve"> </w:t>
      </w:r>
      <w:r>
        <w:rPr>
          <w:rStyle w:val="default"/>
          <w:rFonts w:cs="FrankRuehl"/>
          <w:rtl/>
        </w:rPr>
        <w:t>והן זמינות לכל אדם הזקוק להשתלת תאי</w:t>
      </w:r>
      <w:r>
        <w:rPr>
          <w:rStyle w:val="default"/>
          <w:rFonts w:cs="FrankRuehl" w:hint="cs"/>
          <w:rtl/>
        </w:rPr>
        <w:t>-</w:t>
      </w:r>
      <w:r>
        <w:rPr>
          <w:rStyle w:val="default"/>
          <w:rFonts w:cs="FrankRuehl"/>
          <w:rtl/>
        </w:rPr>
        <w:t>אב, ולצורכי מחקר רפואי;</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"דם טבורי</w:t>
      </w:r>
      <w:r>
        <w:rPr>
          <w:rStyle w:val="default"/>
          <w:rFonts w:cs="FrankRuehl" w:hint="cs"/>
          <w:rtl/>
        </w:rPr>
        <w:t>"</w:t>
      </w:r>
      <w:r>
        <w:rPr>
          <w:rStyle w:val="default"/>
          <w:rFonts w:cs="FrankRuehl"/>
          <w:rtl/>
        </w:rPr>
        <w:t xml:space="preserve"> – דם חבל הטבור הנאסף מהשליה לאחר ניתוק חבל הטבור מיילוד לאחר לידתו, לרבות תאי</w:t>
      </w:r>
      <w:r>
        <w:rPr>
          <w:rStyle w:val="default"/>
          <w:rFonts w:cs="FrankRuehl" w:hint="cs"/>
          <w:rtl/>
        </w:rPr>
        <w:t>-</w:t>
      </w:r>
      <w:r>
        <w:rPr>
          <w:rStyle w:val="default"/>
          <w:rFonts w:cs="FrankRuehl"/>
          <w:rtl/>
        </w:rPr>
        <w:t>אב שהופקו מדם טבורי;</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"היתר"</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היתר</w:t>
      </w:r>
      <w:r>
        <w:rPr>
          <w:rStyle w:val="default"/>
          <w:rFonts w:cs="FrankRuehl" w:hint="cs"/>
          <w:rtl/>
        </w:rPr>
        <w:t xml:space="preserve"> </w:t>
      </w:r>
      <w:r>
        <w:rPr>
          <w:rStyle w:val="default"/>
          <w:rFonts w:cs="FrankRuehl"/>
          <w:rtl/>
        </w:rPr>
        <w:t>להפעלה</w:t>
      </w:r>
      <w:r>
        <w:rPr>
          <w:rStyle w:val="default"/>
          <w:rFonts w:cs="FrankRuehl" w:hint="cs"/>
          <w:rtl/>
        </w:rPr>
        <w:t xml:space="preserve"> </w:t>
      </w:r>
      <w:r>
        <w:rPr>
          <w:rStyle w:val="default"/>
          <w:rFonts w:cs="FrankRuehl"/>
          <w:rtl/>
        </w:rPr>
        <w:t>ולהקמה</w:t>
      </w:r>
      <w:r>
        <w:rPr>
          <w:rStyle w:val="default"/>
          <w:rFonts w:cs="FrankRuehl" w:hint="cs"/>
          <w:rtl/>
        </w:rPr>
        <w:t xml:space="preserve"> </w:t>
      </w:r>
      <w:r>
        <w:rPr>
          <w:rStyle w:val="default"/>
          <w:rFonts w:cs="FrankRuehl"/>
          <w:rtl/>
        </w:rPr>
        <w:t>של</w:t>
      </w:r>
      <w:r>
        <w:rPr>
          <w:rStyle w:val="default"/>
          <w:rFonts w:cs="FrankRuehl" w:hint="cs"/>
          <w:rtl/>
        </w:rPr>
        <w:t xml:space="preserve"> </w:t>
      </w:r>
      <w:r>
        <w:rPr>
          <w:rStyle w:val="default"/>
          <w:rFonts w:cs="FrankRuehl"/>
          <w:rtl/>
        </w:rPr>
        <w:t>בנק</w:t>
      </w:r>
      <w:r>
        <w:rPr>
          <w:rStyle w:val="default"/>
          <w:rFonts w:cs="FrankRuehl" w:hint="cs"/>
          <w:rtl/>
        </w:rPr>
        <w:t xml:space="preserve"> </w:t>
      </w:r>
      <w:r>
        <w:rPr>
          <w:rStyle w:val="default"/>
          <w:rFonts w:cs="FrankRuehl"/>
          <w:rtl/>
        </w:rPr>
        <w:t>דם</w:t>
      </w:r>
      <w:r>
        <w:rPr>
          <w:rStyle w:val="default"/>
          <w:rFonts w:cs="FrankRuehl" w:hint="cs"/>
          <w:rtl/>
        </w:rPr>
        <w:t xml:space="preserve"> </w:t>
      </w:r>
      <w:r>
        <w:rPr>
          <w:rStyle w:val="default"/>
          <w:rFonts w:cs="FrankRuehl"/>
          <w:rtl/>
        </w:rPr>
        <w:t>טבורי</w:t>
      </w:r>
      <w:r>
        <w:rPr>
          <w:rStyle w:val="default"/>
          <w:rFonts w:cs="FrankRuehl" w:hint="cs"/>
          <w:rtl/>
        </w:rPr>
        <w:t xml:space="preserve"> </w:t>
      </w:r>
      <w:r>
        <w:rPr>
          <w:rStyle w:val="default"/>
          <w:rFonts w:cs="FrankRuehl"/>
          <w:rtl/>
        </w:rPr>
        <w:t>שניתן</w:t>
      </w:r>
      <w:r>
        <w:rPr>
          <w:rStyle w:val="default"/>
          <w:rFonts w:cs="FrankRuehl" w:hint="cs"/>
          <w:rtl/>
        </w:rPr>
        <w:t xml:space="preserve"> </w:t>
      </w:r>
      <w:r>
        <w:rPr>
          <w:rStyle w:val="default"/>
          <w:rFonts w:cs="FrankRuehl"/>
          <w:rtl/>
        </w:rPr>
        <w:t>לפי</w:t>
      </w:r>
      <w:r>
        <w:rPr>
          <w:rStyle w:val="default"/>
          <w:rFonts w:cs="FrankRuehl" w:hint="cs"/>
          <w:rtl/>
        </w:rPr>
        <w:t xml:space="preserve"> </w:t>
      </w:r>
      <w:r>
        <w:rPr>
          <w:rStyle w:val="default"/>
          <w:rFonts w:cs="FrankRuehl"/>
          <w:rtl/>
        </w:rPr>
        <w:t>הוראות</w:t>
      </w:r>
      <w:r>
        <w:rPr>
          <w:rStyle w:val="default"/>
          <w:rFonts w:cs="FrankRuehl" w:hint="cs"/>
          <w:rtl/>
        </w:rPr>
        <w:t xml:space="preserve"> </w:t>
      </w:r>
      <w:r>
        <w:rPr>
          <w:rStyle w:val="default"/>
          <w:rFonts w:cs="FrankRuehl"/>
          <w:rtl/>
        </w:rPr>
        <w:t xml:space="preserve">סעיף </w:t>
      </w:r>
      <w:r>
        <w:rPr>
          <w:rStyle w:val="default"/>
          <w:rFonts w:cs="FrankRuehl" w:hint="cs"/>
          <w:rtl/>
        </w:rPr>
        <w:t>6;</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"המנהל" – המנהל הכללי של משרד הבריאות או מי שהוא הסמיך לעניין חוק זה;</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"הסכמה מדעת" – כמשמעותה בסעיף 13 לחוק זכויות החולה, התשנ"ו</w:t>
      </w:r>
      <w:r>
        <w:rPr>
          <w:rStyle w:val="default"/>
          <w:rFonts w:cs="FrankRuehl" w:hint="cs"/>
          <w:rtl/>
        </w:rPr>
        <w:t>-</w:t>
      </w:r>
      <w:r>
        <w:rPr>
          <w:rStyle w:val="default"/>
          <w:rFonts w:cs="FrankRuehl"/>
          <w:rtl/>
        </w:rPr>
        <w:t>1996;</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"השתלה עצמית</w:t>
      </w:r>
      <w:r>
        <w:rPr>
          <w:rStyle w:val="default"/>
          <w:rFonts w:cs="FrankRuehl" w:hint="cs"/>
          <w:rtl/>
        </w:rPr>
        <w:t>"</w:t>
      </w:r>
      <w:r>
        <w:rPr>
          <w:rStyle w:val="default"/>
          <w:rFonts w:cs="FrankRuehl"/>
          <w:rtl/>
        </w:rPr>
        <w:t xml:space="preserve"> – השתלה של תאי</w:t>
      </w:r>
      <w:r>
        <w:rPr>
          <w:rStyle w:val="default"/>
          <w:rFonts w:cs="FrankRuehl" w:hint="cs"/>
          <w:rtl/>
        </w:rPr>
        <w:t>-</w:t>
      </w:r>
      <w:r>
        <w:rPr>
          <w:rStyle w:val="default"/>
          <w:rFonts w:cs="FrankRuehl"/>
          <w:rtl/>
        </w:rPr>
        <w:t>אב ממנת דם טבורי באדם שהדם הטבורי נאסף לאחר לידתו;</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"טיפול</w:t>
      </w:r>
      <w:r>
        <w:rPr>
          <w:rStyle w:val="default"/>
          <w:rFonts w:cs="FrankRuehl" w:hint="cs"/>
          <w:rtl/>
        </w:rPr>
        <w:t>"</w:t>
      </w:r>
      <w:r>
        <w:rPr>
          <w:rStyle w:val="default"/>
          <w:rFonts w:cs="FrankRuehl"/>
          <w:rtl/>
        </w:rPr>
        <w:t>, במנת דם טבורי –</w:t>
      </w:r>
      <w:r>
        <w:rPr>
          <w:rStyle w:val="default"/>
          <w:rFonts w:cs="FrankRuehl" w:hint="cs"/>
          <w:rtl/>
        </w:rPr>
        <w:t xml:space="preserve"> </w:t>
      </w:r>
      <w:r>
        <w:rPr>
          <w:rStyle w:val="default"/>
          <w:rFonts w:cs="FrankRuehl"/>
          <w:rtl/>
        </w:rPr>
        <w:t>איסוף מנת דם טבורי, בדיקתה, הפקת תאי</w:t>
      </w:r>
      <w:r>
        <w:rPr>
          <w:rStyle w:val="default"/>
          <w:rFonts w:cs="FrankRuehl" w:hint="cs"/>
          <w:rtl/>
        </w:rPr>
        <w:t>-</w:t>
      </w:r>
      <w:r>
        <w:rPr>
          <w:rStyle w:val="default"/>
          <w:rFonts w:cs="FrankRuehl"/>
          <w:rtl/>
        </w:rPr>
        <w:t>אב המצויים</w:t>
      </w:r>
      <w:r>
        <w:rPr>
          <w:rStyle w:val="default"/>
          <w:rFonts w:cs="FrankRuehl" w:hint="cs"/>
          <w:rtl/>
        </w:rPr>
        <w:t xml:space="preserve"> </w:t>
      </w:r>
      <w:r>
        <w:rPr>
          <w:rStyle w:val="default"/>
          <w:rFonts w:cs="FrankRuehl"/>
          <w:rtl/>
        </w:rPr>
        <w:t>בה, הקפאתה, שימורה וניפוקה;</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"מגן דוד אדום" –</w:t>
      </w:r>
      <w:r>
        <w:rPr>
          <w:rStyle w:val="default"/>
          <w:rFonts w:cs="FrankRuehl" w:hint="cs"/>
          <w:rtl/>
        </w:rPr>
        <w:t xml:space="preserve"> </w:t>
      </w:r>
      <w:r>
        <w:rPr>
          <w:rStyle w:val="default"/>
          <w:rFonts w:cs="FrankRuehl"/>
          <w:rtl/>
        </w:rPr>
        <w:t>האגודה "מגן דוד אדום בישראל" שהוקמה לפי חוק מגן דוד אדום, התש"י</w:t>
      </w:r>
      <w:r>
        <w:rPr>
          <w:rStyle w:val="default"/>
          <w:rFonts w:cs="FrankRuehl" w:hint="cs"/>
          <w:rtl/>
        </w:rPr>
        <w:t>-</w:t>
      </w:r>
      <w:r>
        <w:rPr>
          <w:rStyle w:val="default"/>
          <w:rFonts w:cs="FrankRuehl"/>
          <w:rtl/>
        </w:rPr>
        <w:t>1950;</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"מכון גנטי" ו"מעבדה לבדיקות גנטיות" –</w:t>
      </w:r>
      <w:r>
        <w:rPr>
          <w:rStyle w:val="default"/>
          <w:rFonts w:cs="FrankRuehl" w:hint="cs"/>
          <w:rtl/>
        </w:rPr>
        <w:t xml:space="preserve"> </w:t>
      </w:r>
      <w:r>
        <w:rPr>
          <w:rStyle w:val="default"/>
          <w:rFonts w:cs="FrankRuehl"/>
          <w:rtl/>
        </w:rPr>
        <w:t xml:space="preserve">כהגדרתם בסעיף 2 לחוק מידע גנטי, </w:t>
      </w:r>
      <w:r>
        <w:rPr>
          <w:rStyle w:val="default"/>
          <w:rFonts w:cs="FrankRuehl" w:hint="cs"/>
          <w:rtl/>
        </w:rPr>
        <w:t>התשס"א-2000;</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"מעבדה רפואית" – מעבדה רפואית הרשומה לפי פקודת בריאות העם;</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"סיווג רקמות"</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סדרת בדיקות המבוצעות לצורך קביעת ההתאמה הגנטית בין שתי</w:t>
      </w:r>
      <w:r>
        <w:rPr>
          <w:rStyle w:val="default"/>
          <w:rFonts w:cs="FrankRuehl" w:hint="cs"/>
          <w:rtl/>
        </w:rPr>
        <w:t xml:space="preserve"> </w:t>
      </w:r>
      <w:r>
        <w:rPr>
          <w:rStyle w:val="default"/>
          <w:rFonts w:cs="FrankRuehl"/>
          <w:rtl/>
        </w:rPr>
        <w:t>רקמות (</w:t>
      </w:r>
      <w:r>
        <w:rPr>
          <w:rStyle w:val="default"/>
          <w:rFonts w:cs="FrankRuehl"/>
        </w:rPr>
        <w:t>Tissue typing</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"פקודת בריאות העם" – פקודת בריאות העם</w:t>
      </w:r>
      <w:r>
        <w:rPr>
          <w:rStyle w:val="default"/>
          <w:rFonts w:cs="FrankRuehl" w:hint="cs"/>
          <w:rtl/>
        </w:rPr>
        <w:t xml:space="preserve">, </w:t>
      </w:r>
      <w:r>
        <w:rPr>
          <w:rStyle w:val="default"/>
          <w:rFonts w:cs="FrankRuehl"/>
          <w:rtl/>
        </w:rPr>
        <w:t>1940;</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"תאי</w:t>
      </w:r>
      <w:r>
        <w:rPr>
          <w:rStyle w:val="default"/>
          <w:rFonts w:cs="FrankRuehl" w:hint="cs"/>
          <w:rtl/>
        </w:rPr>
        <w:t>-</w:t>
      </w:r>
      <w:r>
        <w:rPr>
          <w:rStyle w:val="default"/>
          <w:rFonts w:cs="FrankRuehl"/>
          <w:rtl/>
        </w:rPr>
        <w:t>אב"</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 xml:space="preserve">תאים המסוגלים לייצר את כל סוגי תאי הדם בגוף האדם </w:t>
      </w:r>
      <w:r>
        <w:rPr>
          <w:rStyle w:val="default"/>
          <w:rFonts w:cs="FrankRuehl" w:hint="cs"/>
          <w:rtl/>
        </w:rPr>
        <w:t>(</w:t>
      </w:r>
      <w:r>
        <w:rPr>
          <w:rStyle w:val="default"/>
          <w:rFonts w:cs="FrankRuehl"/>
        </w:rPr>
        <w:t>Hematopoietic Stem Cells</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הבריאות</w:t>
      </w:r>
      <w:r>
        <w:rPr>
          <w:rStyle w:val="default"/>
          <w:rFonts w:cs="FrankRuehl" w:hint="cs"/>
          <w:rtl/>
        </w:rPr>
        <w:t>.</w:t>
      </w:r>
    </w:p>
    <w:p w:rsidR="00B833F6" w:rsidRDefault="00B833F6">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22.3pt;z-index:251651072" o:allowincell="f" filled="f" stroked="f" strokecolor="lime" strokeweight=".25pt">
            <v:textbox style="mso-next-textbox:#_x0000_s1027" inset="0,0,0,0">
              <w:txbxContent>
                <w:p w:rsidR="00B833F6" w:rsidRDefault="00B833F6">
                  <w:pPr>
                    <w:spacing w:line="160" w:lineRule="exact"/>
                    <w:jc w:val="left"/>
                    <w:rPr>
                      <w:rFonts w:cs="Miriam" w:hint="cs"/>
                      <w:szCs w:val="18"/>
                      <w:rtl/>
                    </w:rPr>
                  </w:pPr>
                  <w:r>
                    <w:rPr>
                      <w:rFonts w:cs="Miriam" w:hint="cs"/>
                      <w:szCs w:val="18"/>
                      <w:rtl/>
                    </w:rPr>
                    <w:t>פעולות לעניין מנת דם טבורי</w:t>
                  </w:r>
                </w:p>
              </w:txbxContent>
            </v:textbox>
            <w10:anchorlock/>
          </v:rect>
        </w:pict>
      </w:r>
      <w:r>
        <w:rPr>
          <w:rStyle w:val="big-number"/>
          <w:rtl/>
        </w:rPr>
        <w:t>2</w:t>
      </w:r>
      <w:r>
        <w:rPr>
          <w:rStyle w:val="default"/>
          <w:rFonts w:cs="FrankRuehl"/>
          <w:rtl/>
        </w:rPr>
        <w:t>.</w:t>
      </w:r>
      <w:r>
        <w:rPr>
          <w:rStyle w:val="default"/>
          <w:rFonts w:cs="FrankRuehl"/>
          <w:rtl/>
        </w:rPr>
        <w:tab/>
        <w:t>לא יאסוף אדם דם טבורי לשם הפקדה בבנק דם טבורי, לא יבצע בו כל טיפול ולא יבצע פעולות לעניין סיווג רקמות במנת דם טבורי שנאספה, אלא בהתאם להוראות חוק זה</w:t>
      </w:r>
      <w:r>
        <w:rPr>
          <w:rStyle w:val="default"/>
          <w:rFonts w:cs="FrankRuehl" w:hint="cs"/>
          <w:rtl/>
        </w:rPr>
        <w:t>.</w:t>
      </w:r>
    </w:p>
    <w:p w:rsidR="00B833F6" w:rsidRDefault="00B833F6">
      <w:pPr>
        <w:pStyle w:val="P00"/>
        <w:spacing w:before="72"/>
        <w:ind w:left="0" w:right="1134"/>
        <w:rPr>
          <w:rStyle w:val="default"/>
          <w:rFonts w:cs="FrankRuehl" w:hint="cs"/>
          <w:rtl/>
        </w:rPr>
      </w:pPr>
      <w:bookmarkStart w:id="2" w:name="Seif2"/>
      <w:bookmarkEnd w:id="2"/>
      <w:r>
        <w:rPr>
          <w:lang w:val="he-IL"/>
        </w:rPr>
        <w:pict>
          <v:rect id="_x0000_s1273" style="position:absolute;left:0;text-align:left;margin-left:464.5pt;margin-top:8.05pt;width:75.05pt;height:12.75pt;z-index:251652096" o:allowincell="f" filled="f" stroked="f" strokecolor="lime" strokeweight=".25pt">
            <v:textbox style="mso-next-textbox:#_x0000_s1273" inset="0,0,0,0">
              <w:txbxContent>
                <w:p w:rsidR="00B833F6" w:rsidRDefault="00B833F6">
                  <w:pPr>
                    <w:spacing w:line="160" w:lineRule="exact"/>
                    <w:jc w:val="left"/>
                    <w:rPr>
                      <w:rFonts w:cs="Miriam" w:hint="cs"/>
                      <w:szCs w:val="18"/>
                      <w:rtl/>
                    </w:rPr>
                  </w:pPr>
                  <w:r>
                    <w:rPr>
                      <w:rFonts w:cs="Miriam" w:hint="cs"/>
                      <w:szCs w:val="18"/>
                      <w:rtl/>
                    </w:rPr>
                    <w:t>איסוף מנת דם טבורי</w:t>
                  </w:r>
                </w:p>
              </w:txbxContent>
            </v:textbox>
            <w10:anchorlock/>
          </v:rect>
        </w:pict>
      </w:r>
      <w:r>
        <w:rPr>
          <w:rStyle w:val="big-number"/>
          <w:rFonts w:hint="cs"/>
          <w:rtl/>
        </w:rPr>
        <w:t>3</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איסוף דם טבורי יבוצע רק בבית חולים שלפי תנאי רישומו יש בו מחלקת יולדות</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המנהל רשאי לקבוע את התנאים והתשלומים למתן שירות לאיסוף דם טבורי על</w:t>
      </w:r>
      <w:r>
        <w:rPr>
          <w:rStyle w:val="default"/>
          <w:rFonts w:cs="FrankRuehl" w:hint="cs"/>
          <w:rtl/>
        </w:rPr>
        <w:t xml:space="preserve"> </w:t>
      </w:r>
      <w:r>
        <w:rPr>
          <w:rStyle w:val="default"/>
          <w:rFonts w:cs="FrankRuehl"/>
          <w:rtl/>
        </w:rPr>
        <w:t>ידי בתי חולים ציבוריים לשם הפקדתו בבנק דם טבורי, ויכול שיקבע תנאים ותשלומים שונים לעניין בנק דם טבורי פרטי ולעניין בנק דם טבורי ציבורי</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w:t>
      </w:r>
      <w:r>
        <w:rPr>
          <w:rStyle w:val="default"/>
          <w:rFonts w:cs="FrankRuehl" w:hint="cs"/>
          <w:rtl/>
        </w:rPr>
        <w:t xml:space="preserve"> "</w:t>
      </w:r>
      <w:r>
        <w:rPr>
          <w:rStyle w:val="default"/>
          <w:rFonts w:cs="FrankRuehl"/>
          <w:rtl/>
        </w:rPr>
        <w:t>בית חולים ציבורי</w:t>
      </w:r>
      <w:r>
        <w:rPr>
          <w:rStyle w:val="default"/>
          <w:rFonts w:cs="FrankRuehl" w:hint="cs"/>
          <w:rtl/>
        </w:rPr>
        <w:t>"</w:t>
      </w:r>
      <w:r>
        <w:rPr>
          <w:rStyle w:val="default"/>
          <w:rFonts w:cs="FrankRuehl"/>
          <w:rtl/>
        </w:rPr>
        <w:t xml:space="preserve"> – בית חולים ממשלתי, בית חולים שבבעלות קופת</w:t>
      </w:r>
      <w:r>
        <w:rPr>
          <w:rStyle w:val="default"/>
          <w:rFonts w:cs="FrankRuehl" w:hint="cs"/>
          <w:rtl/>
        </w:rPr>
        <w:t xml:space="preserve"> </w:t>
      </w:r>
      <w:r>
        <w:rPr>
          <w:rStyle w:val="default"/>
          <w:rFonts w:cs="FrankRuehl"/>
          <w:rtl/>
        </w:rPr>
        <w:t>חולים, בית חולים שבבעלות רשות מקומית וכל בית חולים שהוא תאגיד שהוא מוסד ציבורי כמשמעותו בפקודת מס הכנסה; לעניין סעיף קטן זה,</w:t>
      </w:r>
      <w:r>
        <w:rPr>
          <w:rStyle w:val="default"/>
          <w:rFonts w:cs="FrankRuehl" w:hint="cs"/>
          <w:rtl/>
        </w:rPr>
        <w:t xml:space="preserve"> "</w:t>
      </w:r>
      <w:r>
        <w:rPr>
          <w:rStyle w:val="default"/>
          <w:rFonts w:cs="FrankRuehl"/>
          <w:rtl/>
        </w:rPr>
        <w:t>בית חולים ממשלתי"</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לרבות פעילות המתבצעת בו בידי תאגיד בריאות כהגדרתו בסעיף 21 לחוק יסודות התקציב, התשמ"ה</w:t>
      </w:r>
      <w:r>
        <w:rPr>
          <w:rStyle w:val="default"/>
          <w:rFonts w:cs="FrankRuehl" w:hint="cs"/>
          <w:rtl/>
        </w:rPr>
        <w:t>-</w:t>
      </w:r>
      <w:r>
        <w:rPr>
          <w:rStyle w:val="default"/>
          <w:rFonts w:cs="FrankRuehl"/>
          <w:rtl/>
        </w:rPr>
        <w:t>1985</w:t>
      </w:r>
      <w:r>
        <w:rPr>
          <w:rStyle w:val="default"/>
          <w:rFonts w:cs="FrankRuehl" w:hint="cs"/>
          <w:rtl/>
        </w:rPr>
        <w:t xml:space="preserve"> </w:t>
      </w:r>
      <w:r>
        <w:rPr>
          <w:rStyle w:val="default"/>
          <w:rFonts w:cs="FrankRuehl" w:hint="cs"/>
          <w:rtl/>
        </w:rPr>
        <w:lastRenderedPageBreak/>
        <w:t>(</w:t>
      </w:r>
      <w:r>
        <w:rPr>
          <w:rStyle w:val="default"/>
          <w:rFonts w:cs="FrankRuehl"/>
          <w:rtl/>
        </w:rPr>
        <w:t>בחוק זה – חוק יסודות התקציב)</w:t>
      </w:r>
      <w:r>
        <w:rPr>
          <w:rStyle w:val="default"/>
          <w:rFonts w:cs="FrankRuehl" w:hint="cs"/>
          <w:rtl/>
        </w:rPr>
        <w:t>.</w:t>
      </w:r>
    </w:p>
    <w:p w:rsidR="00B833F6" w:rsidRDefault="00B833F6">
      <w:pPr>
        <w:pStyle w:val="P00"/>
        <w:spacing w:before="72"/>
        <w:ind w:left="0" w:right="1134"/>
        <w:rPr>
          <w:rStyle w:val="default"/>
          <w:rFonts w:cs="FrankRuehl" w:hint="cs"/>
          <w:rtl/>
        </w:rPr>
      </w:pPr>
      <w:bookmarkStart w:id="3" w:name="Seif3"/>
      <w:bookmarkEnd w:id="3"/>
      <w:r>
        <w:rPr>
          <w:lang w:val="he-IL"/>
        </w:rPr>
        <w:pict>
          <v:rect id="_x0000_s1274" style="position:absolute;left:0;text-align:left;margin-left:464.5pt;margin-top:8.05pt;width:75.05pt;height:28.4pt;z-index:251653120" o:allowincell="f" filled="f" stroked="f" strokecolor="lime" strokeweight=".25pt">
            <v:textbox style="mso-next-textbox:#_x0000_s1274" inset="0,0,0,0">
              <w:txbxContent>
                <w:p w:rsidR="00B833F6" w:rsidRDefault="00B833F6">
                  <w:pPr>
                    <w:spacing w:line="160" w:lineRule="exact"/>
                    <w:jc w:val="left"/>
                    <w:rPr>
                      <w:rFonts w:cs="Miriam" w:hint="cs"/>
                      <w:szCs w:val="18"/>
                      <w:rtl/>
                    </w:rPr>
                  </w:pPr>
                  <w:r>
                    <w:rPr>
                      <w:rFonts w:cs="Miriam" w:hint="cs"/>
                      <w:szCs w:val="18"/>
                      <w:rtl/>
                    </w:rPr>
                    <w:t>הסכמה מדעת לאיסוף מנת דם טבורי וטיפול בה</w:t>
                  </w:r>
                </w:p>
              </w:txbxContent>
            </v:textbox>
            <w10:anchorlock/>
          </v:rect>
        </w:pict>
      </w:r>
      <w:r>
        <w:rPr>
          <w:rStyle w:val="big-number"/>
          <w:rFonts w:hint="cs"/>
          <w:rtl/>
        </w:rPr>
        <w:t>4</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לא יאסוף אדם דם טבורי ולא יבצע בו כל טיפול, אלא אם כן ניתנה לכך הסכמה מדעת של היולדת ושל אבי היילוד, ככל שיש אפשרות סבירה לזהותו, למצאו או לברר את דעתו</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הסכמה מדעת לעניין סעיף זה תינתן בכתב, לפני הלידה; השר יקבע הוראות</w:t>
      </w:r>
      <w:r>
        <w:rPr>
          <w:rStyle w:val="default"/>
          <w:rFonts w:cs="FrankRuehl" w:hint="cs"/>
          <w:rtl/>
        </w:rPr>
        <w:t xml:space="preserve"> </w:t>
      </w:r>
      <w:r>
        <w:rPr>
          <w:rStyle w:val="default"/>
          <w:rFonts w:cs="FrankRuehl"/>
          <w:rtl/>
        </w:rPr>
        <w:t>לעניין זה, לרבות לעניין המידע שיש למסור ליולדת ולאבי היילוד לשם קבלת הסכמתם ולעניין טופס ההסכמה</w:t>
      </w:r>
      <w:r>
        <w:rPr>
          <w:rStyle w:val="default"/>
          <w:rFonts w:cs="FrankRuehl" w:hint="cs"/>
          <w:rtl/>
        </w:rPr>
        <w:t>.</w:t>
      </w:r>
    </w:p>
    <w:p w:rsidR="00B833F6" w:rsidRDefault="00B833F6">
      <w:pPr>
        <w:pStyle w:val="P00"/>
        <w:spacing w:before="72"/>
        <w:ind w:left="0" w:right="1134"/>
        <w:rPr>
          <w:rStyle w:val="default"/>
          <w:rFonts w:cs="FrankRuehl" w:hint="cs"/>
          <w:rtl/>
        </w:rPr>
      </w:pPr>
      <w:bookmarkStart w:id="4" w:name="Seif4"/>
      <w:bookmarkEnd w:id="4"/>
      <w:r>
        <w:rPr>
          <w:lang w:val="he-IL"/>
        </w:rPr>
        <w:pict>
          <v:rect id="_x0000_s1275" style="position:absolute;left:0;text-align:left;margin-left:464.5pt;margin-top:8.05pt;width:75.05pt;height:20.1pt;z-index:251654144" o:allowincell="f" filled="f" stroked="f" strokecolor="lime" strokeweight=".25pt">
            <v:textbox style="mso-next-textbox:#_x0000_s1275" inset="0,0,0,0">
              <w:txbxContent>
                <w:p w:rsidR="00B833F6" w:rsidRDefault="00B833F6">
                  <w:pPr>
                    <w:spacing w:line="160" w:lineRule="exact"/>
                    <w:jc w:val="left"/>
                    <w:rPr>
                      <w:rFonts w:cs="Miriam" w:hint="cs"/>
                      <w:szCs w:val="18"/>
                      <w:rtl/>
                    </w:rPr>
                  </w:pPr>
                  <w:r>
                    <w:rPr>
                      <w:rFonts w:cs="Miriam" w:hint="cs"/>
                      <w:szCs w:val="18"/>
                      <w:rtl/>
                    </w:rPr>
                    <w:t>טיפול במנת דם טבורי</w:t>
                  </w:r>
                </w:p>
              </w:txbxContent>
            </v:textbox>
            <w10:anchorlock/>
          </v:rect>
        </w:pict>
      </w:r>
      <w:r>
        <w:rPr>
          <w:rStyle w:val="big-number"/>
          <w:rFonts w:hint="cs"/>
          <w:rtl/>
        </w:rPr>
        <w:t>5</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מנת דם טבורי תיבדק לשם הקפאתה בבדיקות לסיווג רקמות ובבדיקות נוספות הדרושות לשם הבטחת איכות מנת הדם הטבורי ובטיחותה ולשם התאמתה להשתלה, כפי שיקבע המנהל בנוהלי משרד הבריאות, ובלבד שבנק דם טבורי פרטי לא יחויב לבצע בדיקות לסיווג רקמות; המנהל רשאי לקבוע נהלים שונים לעניין זה לגבי בנק דם טבורי פרטי ובנק דם טבורי ציבורי</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בדיקות לסיווג רקמות לא יבוצעו אלא במכון גנטי או במעבדה לבדיקות גנטיות; בדיקות אחרות לא יבוצעו אלא במעבדה רפואית המתאימה לביצוען על פי תנאי רישומה, או בשירות אגירת דם של מגן דוד אדום</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המנהל יקבע בנוהלי משרד הבריאות הוראות בעניינים אלה:</w:t>
      </w:r>
    </w:p>
    <w:p w:rsidR="00B833F6" w:rsidRDefault="00B833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מידע רפואי שיש לקבל מיולדת בקשר לאיסוף דם טבורי ומצבים שבהם</w:t>
      </w:r>
      <w:r>
        <w:rPr>
          <w:rStyle w:val="default"/>
          <w:rFonts w:cs="FrankRuehl" w:hint="cs"/>
          <w:rtl/>
        </w:rPr>
        <w:t xml:space="preserve"> </w:t>
      </w:r>
      <w:r>
        <w:rPr>
          <w:rStyle w:val="default"/>
          <w:rFonts w:cs="FrankRuehl"/>
          <w:rtl/>
        </w:rPr>
        <w:t>אין לאסוף דם טבורי מיולדת;</w:t>
      </w:r>
    </w:p>
    <w:p w:rsidR="00B833F6" w:rsidRDefault="00B833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כמות התאים המזערית ותנאים נוספים הנחוצים כדי להבטיח כי מנת הדם</w:t>
      </w:r>
      <w:r>
        <w:rPr>
          <w:rStyle w:val="default"/>
          <w:rFonts w:cs="FrankRuehl" w:hint="cs"/>
          <w:rtl/>
        </w:rPr>
        <w:t xml:space="preserve"> </w:t>
      </w:r>
      <w:r>
        <w:rPr>
          <w:rStyle w:val="default"/>
          <w:rFonts w:cs="FrankRuehl"/>
          <w:rtl/>
        </w:rPr>
        <w:t xml:space="preserve">הטבורי שנאספה מתאימה להשתלה, וכן הוראות לעניין דרכי הטיפול במנת דם טבורי שאינה עומדת בדרישות שנקבעו כאמור, לרבות לעניין העברתה לצורכי מחקר רפואי, בהתאם לתנאים שקבע השר לפי סעיף </w:t>
      </w:r>
      <w:r>
        <w:rPr>
          <w:rStyle w:val="default"/>
          <w:rFonts w:cs="FrankRuehl" w:hint="cs"/>
          <w:rtl/>
        </w:rPr>
        <w:t>14(א)(2);</w:t>
      </w:r>
    </w:p>
    <w:p w:rsidR="00B833F6" w:rsidRDefault="00B833F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הבטחת הטיפול במנת דם טבורי, לרבות הוראות לעניין סוג הבדיקות שישלבצע ואיכותן, תהליכי ההקפאה והשימור של מנת דם טבורי ובטיחות שימורה, ופרקי הזמן המזערי והמרבי לשמירת מנת דם טבורי;</w:t>
      </w:r>
    </w:p>
    <w:p w:rsidR="00B833F6" w:rsidRDefault="00B833F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הבטחת איכות מנת דם טבורי או תאי</w:t>
      </w:r>
      <w:r>
        <w:rPr>
          <w:rStyle w:val="default"/>
          <w:rFonts w:cs="FrankRuehl" w:hint="cs"/>
          <w:rtl/>
        </w:rPr>
        <w:t>-</w:t>
      </w:r>
      <w:r>
        <w:rPr>
          <w:rStyle w:val="default"/>
          <w:rFonts w:cs="FrankRuehl"/>
          <w:rtl/>
        </w:rPr>
        <w:t>אב ובטיחותם;</w:t>
      </w:r>
    </w:p>
    <w:p w:rsidR="00B833F6" w:rsidRDefault="00B833F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מידע שיש לקבל אודות היילוד שהדם הטבורי נאסף לאחר לידתו ובדיקות</w:t>
      </w:r>
      <w:r>
        <w:rPr>
          <w:rStyle w:val="default"/>
          <w:rFonts w:cs="FrankRuehl" w:hint="cs"/>
          <w:rtl/>
        </w:rPr>
        <w:t xml:space="preserve"> ש</w:t>
      </w:r>
      <w:r>
        <w:rPr>
          <w:rStyle w:val="default"/>
          <w:rFonts w:cs="FrankRuehl"/>
          <w:rtl/>
        </w:rPr>
        <w:t>יש לבצע במנת הדם הטבורי או בתאי</w:t>
      </w:r>
      <w:r>
        <w:rPr>
          <w:rStyle w:val="default"/>
          <w:rFonts w:cs="FrankRuehl" w:hint="cs"/>
          <w:rtl/>
        </w:rPr>
        <w:t>-</w:t>
      </w:r>
      <w:r>
        <w:rPr>
          <w:rStyle w:val="default"/>
          <w:rFonts w:cs="FrankRuehl"/>
          <w:rtl/>
        </w:rPr>
        <w:t>האב לפני העברתם להשתלה באדם</w:t>
      </w:r>
      <w:r>
        <w:rPr>
          <w:rStyle w:val="default"/>
          <w:rFonts w:cs="FrankRuehl" w:hint="cs"/>
          <w:rtl/>
        </w:rPr>
        <w:t>.</w:t>
      </w:r>
    </w:p>
    <w:p w:rsidR="00B833F6" w:rsidRDefault="00B833F6">
      <w:pPr>
        <w:pStyle w:val="P00"/>
        <w:spacing w:before="72"/>
        <w:ind w:left="0" w:right="1134"/>
        <w:rPr>
          <w:rStyle w:val="default"/>
          <w:rFonts w:cs="FrankRuehl" w:hint="cs"/>
          <w:rtl/>
        </w:rPr>
      </w:pPr>
      <w:bookmarkStart w:id="5" w:name="Seif5"/>
      <w:bookmarkEnd w:id="5"/>
      <w:r>
        <w:rPr>
          <w:lang w:val="he-IL"/>
        </w:rPr>
        <w:pict>
          <v:rect id="_x0000_s1276" style="position:absolute;left:0;text-align:left;margin-left:464.5pt;margin-top:8.05pt;width:75.05pt;height:11.75pt;z-index:251655168" o:allowincell="f" filled="f" stroked="f" strokecolor="lime" strokeweight=".25pt">
            <v:textbox style="mso-next-textbox:#_x0000_s1276" inset="0,0,0,0">
              <w:txbxContent>
                <w:p w:rsidR="00B833F6" w:rsidRDefault="00B833F6">
                  <w:pPr>
                    <w:spacing w:line="160" w:lineRule="exact"/>
                    <w:jc w:val="left"/>
                    <w:rPr>
                      <w:rFonts w:cs="Miriam" w:hint="cs"/>
                      <w:szCs w:val="18"/>
                      <w:rtl/>
                    </w:rPr>
                  </w:pPr>
                  <w:r>
                    <w:rPr>
                      <w:rFonts w:cs="Miriam" w:hint="cs"/>
                      <w:szCs w:val="18"/>
                      <w:rtl/>
                    </w:rPr>
                    <w:t>היתר הקמה והפעלה</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הקמה והפעלה של בנק דם טבורי טעונות היתר מאת המנהל</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בקשה להיתר תוגש למנהל בכתב; המנהל רשאי לקבוע נהלים להגשת בקשה</w:t>
      </w:r>
      <w:r>
        <w:rPr>
          <w:rStyle w:val="default"/>
          <w:rFonts w:cs="FrankRuehl" w:hint="cs"/>
          <w:rtl/>
        </w:rPr>
        <w:t xml:space="preserve"> </w:t>
      </w:r>
      <w:r>
        <w:rPr>
          <w:rStyle w:val="default"/>
          <w:rFonts w:cs="FrankRuehl"/>
          <w:rtl/>
        </w:rPr>
        <w:t>להיתר, לרבות לעניין מסמכים שעל מבקש ההיתר לצרף לבקשתו</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יינתן היתר אם מבקש ההיתר או מי שמיועד לנהל את בנק הדם הטבורי</w:t>
      </w:r>
      <w:r>
        <w:rPr>
          <w:rStyle w:val="default"/>
          <w:rFonts w:cs="FrankRuehl" w:hint="cs"/>
          <w:rtl/>
        </w:rPr>
        <w:t xml:space="preserve"> </w:t>
      </w:r>
      <w:r>
        <w:rPr>
          <w:rStyle w:val="default"/>
          <w:rFonts w:cs="FrankRuehl"/>
          <w:rtl/>
        </w:rPr>
        <w:t>הורשע בעבירה שמפאת חומרתה, מהותה או נסיבותיה, אין זה ראוי שיפעיל או ינהל, לפי העניין, בנק דם טבורי</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המנהל רשאי שלא לתת היתר בהתחשב, בין השאר, בשיקולים האלה:</w:t>
      </w:r>
    </w:p>
    <w:p w:rsidR="00B833F6" w:rsidRDefault="00B833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הצורך בבנק דם טבורי ציבורי נוסף בהתאם לצורכי האוכלוסייה</w:t>
      </w:r>
      <w:r>
        <w:rPr>
          <w:rStyle w:val="default"/>
          <w:rFonts w:cs="FrankRuehl" w:hint="cs"/>
          <w:rtl/>
        </w:rPr>
        <w:t xml:space="preserve"> </w:t>
      </w:r>
      <w:r>
        <w:rPr>
          <w:rStyle w:val="default"/>
          <w:rFonts w:cs="FrankRuehl"/>
          <w:rtl/>
        </w:rPr>
        <w:t>בישראל;</w:t>
      </w:r>
    </w:p>
    <w:p w:rsidR="00B833F6" w:rsidRDefault="00B833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הוצאות ההפעלה השוטפות של בנק דם טבורי ציבורי והשלכתן על</w:t>
      </w:r>
      <w:r>
        <w:rPr>
          <w:rStyle w:val="default"/>
          <w:rFonts w:cs="FrankRuehl" w:hint="cs"/>
          <w:rtl/>
        </w:rPr>
        <w:t xml:space="preserve"> </w:t>
      </w:r>
      <w:r>
        <w:rPr>
          <w:rStyle w:val="default"/>
          <w:rFonts w:cs="FrankRuehl"/>
          <w:rtl/>
        </w:rPr>
        <w:t>ההוצאה הלאומית והציבורית לבריאות בישראל</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המנהל רשאי לפטור בנק דם טבורי ציבורי המופעל בידי תאגיד שהוקם בחוק, מחובת קבלת היתר, אך אין במתן פטור כאמור כדי לפטור בנק דם טבורי כאמור מחובתו לפעול בהתאם להוראות לפי חוק זה, לרבות לפי נוהלי משרד הבריאות</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השר יקבע הוראות לעניין דרישות ותנאים לקבלת היתר, לרבות לעניין </w:t>
      </w:r>
      <w:r>
        <w:rPr>
          <w:rStyle w:val="default"/>
          <w:rFonts w:cs="FrankRuehl"/>
          <w:rtl/>
        </w:rPr>
        <w:t>–</w:t>
      </w:r>
    </w:p>
    <w:p w:rsidR="00B833F6" w:rsidRDefault="00B833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ציוד ומכשור רפואי הנדרשים לצורך הפעלת בנק דם טבורי;</w:t>
      </w:r>
    </w:p>
    <w:p w:rsidR="00B833F6" w:rsidRDefault="00B833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קיומם של ערבויות ותנאים להבטחת המשכיות השירות על ידי בנק דם טבורי פרטי.</w:t>
      </w:r>
    </w:p>
    <w:p w:rsidR="00B833F6" w:rsidRDefault="00B833F6">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השר רשאי לקבוע חובת ביטוח שתחול על בנק דם טבורי פרטי, כתנאי לקבלת היתר, לרבות ביטוח אחריות בית החולים שבו נאסף הדם הטבורי, ביטוח מנות הדם הטבורי המופקדות בבנק הדם הטבורי, ביטוח נזקים לצד שלישי ולהבטחת כספם של לקוחות, וכל ביטוח נוסף שיראה השר לנכון.</w:t>
      </w:r>
    </w:p>
    <w:p w:rsidR="00B833F6" w:rsidRDefault="00B833F6">
      <w:pPr>
        <w:pStyle w:val="P00"/>
        <w:spacing w:before="72"/>
        <w:ind w:left="0" w:right="1134"/>
        <w:rPr>
          <w:rStyle w:val="default"/>
          <w:rFonts w:cs="FrankRuehl"/>
          <w:rtl/>
        </w:rPr>
      </w:pPr>
      <w:bookmarkStart w:id="6" w:name="Seif6"/>
      <w:bookmarkEnd w:id="6"/>
      <w:r>
        <w:rPr>
          <w:lang w:val="he-IL"/>
        </w:rPr>
        <w:pict>
          <v:rect id="_x0000_s1277" style="position:absolute;left:0;text-align:left;margin-left:464.5pt;margin-top:8.05pt;width:75.05pt;height:22.3pt;z-index:251656192" o:allowincell="f" filled="f" stroked="f" strokecolor="lime" strokeweight=".25pt">
            <v:textbox style="mso-next-textbox:#_x0000_s1277" inset="0,0,0,0">
              <w:txbxContent>
                <w:p w:rsidR="00B833F6" w:rsidRDefault="00B833F6">
                  <w:pPr>
                    <w:spacing w:line="160" w:lineRule="exact"/>
                    <w:jc w:val="left"/>
                    <w:rPr>
                      <w:rFonts w:cs="Miriam" w:hint="cs"/>
                      <w:szCs w:val="18"/>
                      <w:rtl/>
                    </w:rPr>
                  </w:pPr>
                  <w:r>
                    <w:rPr>
                      <w:rFonts w:cs="Miriam" w:hint="cs"/>
                      <w:szCs w:val="18"/>
                      <w:rtl/>
                    </w:rPr>
                    <w:t>ביטול היתר, הגבלתו או התלייתו</w:t>
                  </w:r>
                </w:p>
              </w:txbxContent>
            </v:textbox>
            <w10:anchorlock/>
          </v:rect>
        </w:pict>
      </w:r>
      <w:r>
        <w:rPr>
          <w:rStyle w:val="big-number"/>
          <w:rFonts w:hint="cs"/>
          <w:rtl/>
        </w:rPr>
        <w:t>7</w:t>
      </w:r>
      <w:r>
        <w:rPr>
          <w:rStyle w:val="default"/>
          <w:rFonts w:cs="FrankRuehl"/>
          <w:rtl/>
        </w:rPr>
        <w:t>.</w:t>
      </w:r>
      <w:r>
        <w:rPr>
          <w:rStyle w:val="default"/>
          <w:rFonts w:cs="FrankRuehl"/>
          <w:rtl/>
        </w:rPr>
        <w:tab/>
        <w:t>המנהל רשאי לבטל היתר, להגבילו או להתלותו, לפי העניין, לאחר שניתנה לבעל</w:t>
      </w:r>
      <w:r>
        <w:rPr>
          <w:rStyle w:val="default"/>
          <w:rFonts w:cs="FrankRuehl" w:hint="cs"/>
          <w:rtl/>
        </w:rPr>
        <w:t xml:space="preserve"> </w:t>
      </w:r>
      <w:r>
        <w:rPr>
          <w:rStyle w:val="default"/>
          <w:rFonts w:cs="FrankRuehl"/>
          <w:rtl/>
        </w:rPr>
        <w:t>ההיתר הזדמנות להשמיע את טענותיו, בהתקיים אחד מאלה:</w:t>
      </w:r>
    </w:p>
    <w:p w:rsidR="00B833F6" w:rsidRDefault="00B833F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בעל ההיתר ביקש לבטל את ההיתר שניתן לו, בכפוף להוראות סעיף 11</w:t>
      </w:r>
      <w:r>
        <w:rPr>
          <w:rStyle w:val="default"/>
          <w:rFonts w:cs="FrankRuehl" w:hint="cs"/>
          <w:rtl/>
        </w:rPr>
        <w:t>;</w:t>
      </w:r>
    </w:p>
    <w:p w:rsidR="00B833F6" w:rsidRDefault="00B833F6">
      <w:pPr>
        <w:pStyle w:val="P00"/>
        <w:spacing w:before="72"/>
        <w:ind w:left="624"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בעל ההיתר הפר תנאי מהותי מתנאי ההיתר;</w:t>
      </w:r>
    </w:p>
    <w:p w:rsidR="00B833F6" w:rsidRDefault="00B833F6">
      <w:pPr>
        <w:pStyle w:val="P00"/>
        <w:spacing w:before="72"/>
        <w:ind w:left="624" w:right="1134"/>
        <w:rPr>
          <w:rStyle w:val="default"/>
          <w:rFonts w:cs="FrankRuehl"/>
          <w:rtl/>
        </w:rPr>
      </w:pPr>
      <w:r>
        <w:rPr>
          <w:rStyle w:val="default"/>
          <w:rFonts w:cs="FrankRuehl" w:hint="cs"/>
          <w:rtl/>
        </w:rPr>
        <w:t>(3)</w:t>
      </w:r>
      <w:r>
        <w:rPr>
          <w:rStyle w:val="default"/>
          <w:rFonts w:cs="FrankRuehl" w:hint="cs"/>
          <w:rtl/>
        </w:rPr>
        <w:tab/>
      </w:r>
      <w:r>
        <w:rPr>
          <w:rStyle w:val="default"/>
          <w:rFonts w:cs="FrankRuehl"/>
          <w:rtl/>
        </w:rPr>
        <w:t>בעל ההיתר הורשע בעבירה שמפאת חומרתה, מהותה, או נסיבותיה, אין זה ראוי</w:t>
      </w:r>
      <w:r>
        <w:rPr>
          <w:rStyle w:val="default"/>
          <w:rFonts w:cs="FrankRuehl" w:hint="cs"/>
          <w:rtl/>
        </w:rPr>
        <w:t xml:space="preserve"> </w:t>
      </w:r>
      <w:r>
        <w:rPr>
          <w:rStyle w:val="default"/>
          <w:rFonts w:cs="FrankRuehl"/>
          <w:rtl/>
        </w:rPr>
        <w:t>שיפעיל בנק דם טבורי;</w:t>
      </w:r>
    </w:p>
    <w:p w:rsidR="00B833F6" w:rsidRDefault="00B833F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אם מצא כי הדבר נדרש מטעמים של שמירה על בריאות הציבור</w:t>
      </w:r>
      <w:r>
        <w:rPr>
          <w:rStyle w:val="default"/>
          <w:rFonts w:cs="FrankRuehl" w:hint="cs"/>
          <w:rtl/>
        </w:rPr>
        <w:t>.</w:t>
      </w:r>
    </w:p>
    <w:p w:rsidR="00B833F6" w:rsidRDefault="00B833F6">
      <w:pPr>
        <w:pStyle w:val="P00"/>
        <w:spacing w:before="72"/>
        <w:ind w:left="0" w:right="1134"/>
        <w:rPr>
          <w:rStyle w:val="default"/>
          <w:rFonts w:cs="FrankRuehl" w:hint="cs"/>
          <w:rtl/>
        </w:rPr>
      </w:pPr>
      <w:bookmarkStart w:id="7" w:name="Seif7"/>
      <w:bookmarkEnd w:id="7"/>
      <w:r>
        <w:rPr>
          <w:lang w:val="he-IL"/>
        </w:rPr>
        <w:pict>
          <v:rect id="_x0000_s1278" style="position:absolute;left:0;text-align:left;margin-left:464.5pt;margin-top:8.05pt;width:75.05pt;height:13.65pt;z-index:251657216" o:allowincell="f" filled="f" stroked="f" strokecolor="lime" strokeweight=".25pt">
            <v:textbox style="mso-next-textbox:#_x0000_s1278" inset="0,0,0,0">
              <w:txbxContent>
                <w:p w:rsidR="00B833F6" w:rsidRDefault="00B833F6">
                  <w:pPr>
                    <w:spacing w:line="160" w:lineRule="exact"/>
                    <w:jc w:val="left"/>
                    <w:rPr>
                      <w:rFonts w:cs="Miriam" w:hint="cs"/>
                      <w:szCs w:val="18"/>
                      <w:rtl/>
                    </w:rPr>
                  </w:pPr>
                  <w:r>
                    <w:rPr>
                      <w:rFonts w:cs="Miriam" w:hint="cs"/>
                      <w:szCs w:val="18"/>
                      <w:rtl/>
                    </w:rPr>
                    <w:t>איסור העברת היתר</w:t>
                  </w:r>
                </w:p>
              </w:txbxContent>
            </v:textbox>
            <w10:anchorlock/>
          </v:rect>
        </w:pict>
      </w:r>
      <w:r>
        <w:rPr>
          <w:rStyle w:val="big-number"/>
          <w:rFonts w:hint="cs"/>
          <w:rtl/>
        </w:rPr>
        <w:t>8</w:t>
      </w:r>
      <w:r>
        <w:rPr>
          <w:rStyle w:val="default"/>
          <w:rFonts w:cs="FrankRuehl"/>
          <w:rtl/>
        </w:rPr>
        <w:t>.</w:t>
      </w:r>
      <w:r>
        <w:rPr>
          <w:rStyle w:val="default"/>
          <w:rFonts w:cs="FrankRuehl"/>
          <w:rtl/>
        </w:rPr>
        <w:tab/>
        <w:t>היתר שניתן לפי סעיף 6 הוא אישי ואינו ניתן להעברה אלא באישור מראש ובכתב של</w:t>
      </w:r>
      <w:r>
        <w:rPr>
          <w:rStyle w:val="default"/>
          <w:rFonts w:cs="FrankRuehl" w:hint="cs"/>
          <w:rtl/>
        </w:rPr>
        <w:t xml:space="preserve"> </w:t>
      </w:r>
      <w:r>
        <w:rPr>
          <w:rStyle w:val="default"/>
          <w:rFonts w:cs="FrankRuehl"/>
          <w:rtl/>
        </w:rPr>
        <w:t>המנהל, ורשאי המנהל לקבוע כי העברה כאמור טעונה קבלת היתר חדש</w:t>
      </w:r>
      <w:r>
        <w:rPr>
          <w:rStyle w:val="default"/>
          <w:rFonts w:cs="FrankRuehl" w:hint="cs"/>
          <w:rtl/>
        </w:rPr>
        <w:t>.</w:t>
      </w:r>
    </w:p>
    <w:p w:rsidR="00B833F6" w:rsidRDefault="00B833F6">
      <w:pPr>
        <w:pStyle w:val="P00"/>
        <w:spacing w:before="72"/>
        <w:ind w:left="0" w:right="1134"/>
        <w:rPr>
          <w:rStyle w:val="default"/>
          <w:rFonts w:cs="FrankRuehl" w:hint="cs"/>
          <w:rtl/>
        </w:rPr>
      </w:pPr>
      <w:bookmarkStart w:id="8" w:name="Seif8"/>
      <w:bookmarkEnd w:id="8"/>
      <w:r>
        <w:rPr>
          <w:lang w:val="he-IL"/>
        </w:rPr>
        <w:pict>
          <v:rect id="_x0000_s1279" style="position:absolute;left:0;text-align:left;margin-left:464.5pt;margin-top:8.05pt;width:75.05pt;height:22.3pt;z-index:251658240" o:allowincell="f" filled="f" stroked="f" strokecolor="lime" strokeweight=".25pt">
            <v:textbox style="mso-next-textbox:#_x0000_s1279" inset="0,0,0,0">
              <w:txbxContent>
                <w:p w:rsidR="00B833F6" w:rsidRDefault="00B833F6">
                  <w:pPr>
                    <w:spacing w:line="160" w:lineRule="exact"/>
                    <w:jc w:val="left"/>
                    <w:rPr>
                      <w:rFonts w:cs="Miriam" w:hint="cs"/>
                      <w:szCs w:val="18"/>
                      <w:rtl/>
                    </w:rPr>
                  </w:pPr>
                  <w:r>
                    <w:rPr>
                      <w:rFonts w:cs="Miriam" w:hint="cs"/>
                      <w:szCs w:val="18"/>
                      <w:rtl/>
                    </w:rPr>
                    <w:t>זכויות קניין במנת דם טבורי</w:t>
                  </w:r>
                </w:p>
              </w:txbxContent>
            </v:textbox>
            <w10:anchorlock/>
          </v:rect>
        </w:pict>
      </w:r>
      <w:r>
        <w:rPr>
          <w:rStyle w:val="big-number"/>
          <w:rFonts w:hint="cs"/>
          <w:rtl/>
        </w:rPr>
        <w:t>9</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מנת דם טבורי שהופקדה בבנק דם טבורי פרטי שייכת לאדם שהדם הטבורי נאסף</w:t>
      </w:r>
      <w:r>
        <w:rPr>
          <w:rStyle w:val="default"/>
          <w:rFonts w:cs="FrankRuehl" w:hint="cs"/>
          <w:rtl/>
        </w:rPr>
        <w:t xml:space="preserve"> </w:t>
      </w:r>
      <w:r>
        <w:rPr>
          <w:rStyle w:val="default"/>
          <w:rFonts w:cs="FrankRuehl"/>
          <w:rtl/>
        </w:rPr>
        <w:t>לאחר לידתו, ולא תועבר להשתלה אלא לפי הוראותיו או לפי הוראות אפוטרופסו, לפי</w:t>
      </w:r>
      <w:r>
        <w:rPr>
          <w:rStyle w:val="default"/>
          <w:rFonts w:cs="FrankRuehl" w:hint="cs"/>
          <w:rtl/>
        </w:rPr>
        <w:t xml:space="preserve"> </w:t>
      </w:r>
      <w:r>
        <w:rPr>
          <w:rStyle w:val="default"/>
          <w:rFonts w:cs="FrankRuehl"/>
          <w:rtl/>
        </w:rPr>
        <w:t>העניין</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מנת דם טבורי אינה ניתנת לעיקול או לשעבוד</w:t>
      </w:r>
      <w:r>
        <w:rPr>
          <w:rStyle w:val="default"/>
          <w:rFonts w:cs="FrankRuehl" w:hint="cs"/>
          <w:rtl/>
        </w:rPr>
        <w:t>.</w:t>
      </w:r>
    </w:p>
    <w:p w:rsidR="00B833F6" w:rsidRDefault="00B833F6">
      <w:pPr>
        <w:pStyle w:val="P00"/>
        <w:spacing w:before="72"/>
        <w:ind w:left="0" w:right="1134"/>
        <w:rPr>
          <w:rStyle w:val="default"/>
          <w:rFonts w:cs="FrankRuehl" w:hint="cs"/>
          <w:rtl/>
        </w:rPr>
      </w:pPr>
      <w:bookmarkStart w:id="9" w:name="Seif9"/>
      <w:bookmarkEnd w:id="9"/>
      <w:r>
        <w:rPr>
          <w:lang w:val="he-IL"/>
        </w:rPr>
        <w:pict>
          <v:rect id="_x0000_s1280" style="position:absolute;left:0;text-align:left;margin-left:464.5pt;margin-top:8.05pt;width:75.05pt;height:39.45pt;z-index:251659264" o:allowincell="f" filled="f" stroked="f" strokecolor="lime" strokeweight=".25pt">
            <v:textbox style="mso-next-textbox:#_x0000_s1280" inset="0,0,0,0">
              <w:txbxContent>
                <w:p w:rsidR="00B833F6" w:rsidRDefault="00B833F6">
                  <w:pPr>
                    <w:spacing w:line="160" w:lineRule="exact"/>
                    <w:jc w:val="left"/>
                    <w:rPr>
                      <w:rFonts w:cs="Miriam" w:hint="cs"/>
                      <w:szCs w:val="18"/>
                      <w:rtl/>
                    </w:rPr>
                  </w:pPr>
                  <w:r>
                    <w:rPr>
                      <w:rFonts w:cs="Miriam" w:hint="cs"/>
                      <w:szCs w:val="18"/>
                      <w:rtl/>
                    </w:rPr>
                    <w:t>שמירת מנת דם טבורי בבנק דם טבורי ציבורי לצורכי השתלה במטופל מסוים</w:t>
                  </w:r>
                </w:p>
              </w:txbxContent>
            </v:textbox>
            <w10:anchorlock/>
          </v:rect>
        </w:pict>
      </w:r>
      <w:r>
        <w:rPr>
          <w:rStyle w:val="big-number"/>
          <w:rFonts w:hint="cs"/>
          <w:rtl/>
        </w:rPr>
        <w:t>10</w:t>
      </w:r>
      <w:r>
        <w:rPr>
          <w:rStyle w:val="default"/>
          <w:rFonts w:cs="FrankRuehl"/>
          <w:rtl/>
        </w:rPr>
        <w:t>.</w:t>
      </w:r>
      <w:r>
        <w:rPr>
          <w:rStyle w:val="default"/>
          <w:rFonts w:cs="FrankRuehl"/>
          <w:rtl/>
        </w:rPr>
        <w:tab/>
        <w:t>בנק דם טבורי ציבורי רשאי לבדוק, להקפיא ולשמור מנת דם טבורי שלא נתרמה לטובת</w:t>
      </w:r>
      <w:r>
        <w:rPr>
          <w:rStyle w:val="default"/>
          <w:rFonts w:cs="FrankRuehl" w:hint="cs"/>
          <w:rtl/>
        </w:rPr>
        <w:t xml:space="preserve"> </w:t>
      </w:r>
      <w:r>
        <w:rPr>
          <w:rStyle w:val="default"/>
          <w:rFonts w:cs="FrankRuehl"/>
          <w:rtl/>
        </w:rPr>
        <w:t>הכלל או לצורכי מחקר רפואי, בהתקיים כל אלה:</w:t>
      </w:r>
    </w:p>
    <w:p w:rsidR="00B833F6" w:rsidRDefault="00B833F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מנת הדם הטבורי נשמרת לשם השתלת תאי-אב במטופל מסוים שזהותו ידועה בעת איסוף הדם הטבורי;</w:t>
      </w:r>
    </w:p>
    <w:p w:rsidR="00B833F6" w:rsidRDefault="00B833F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רופא מומחה קבע כי המטופל כאמור בפסקה (1) חולה במחלה שהטיפול בה דורש השתלת תאי-אב שהופקדו מדם טבורי; בפסקה זו, "רופא מומחה" </w:t>
      </w:r>
      <w:r>
        <w:rPr>
          <w:rStyle w:val="default"/>
          <w:rFonts w:cs="FrankRuehl"/>
          <w:rtl/>
        </w:rPr>
        <w:t>–</w:t>
      </w:r>
      <w:r>
        <w:rPr>
          <w:rStyle w:val="default"/>
          <w:rFonts w:cs="FrankRuehl" w:hint="cs"/>
          <w:rtl/>
        </w:rPr>
        <w:t xml:space="preserve"> בעל תואר מומחה לפי פקודת הרופאים [נוסח חדש], התשל"ז-1976;</w:t>
      </w:r>
    </w:p>
    <w:p w:rsidR="00B833F6" w:rsidRDefault="00B833F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היילוד, שהדם הטבורי נאסף לאחר לידתו ונשמר כאמור, הוא בן משפחה מדרגה ראשונה של המטופל כאמור בפסקה (1).</w:t>
      </w:r>
    </w:p>
    <w:p w:rsidR="00B833F6" w:rsidRDefault="00B833F6">
      <w:pPr>
        <w:pStyle w:val="P00"/>
        <w:spacing w:before="72"/>
        <w:ind w:left="0" w:right="1134"/>
        <w:rPr>
          <w:rStyle w:val="default"/>
          <w:rFonts w:cs="FrankRuehl" w:hint="cs"/>
          <w:rtl/>
        </w:rPr>
      </w:pPr>
      <w:bookmarkStart w:id="10" w:name="Seif10"/>
      <w:bookmarkEnd w:id="10"/>
      <w:r>
        <w:rPr>
          <w:lang w:val="he-IL"/>
        </w:rPr>
        <w:pict>
          <v:rect id="_x0000_s1281" style="position:absolute;left:0;text-align:left;margin-left:464.5pt;margin-top:8.05pt;width:75.05pt;height:22.3pt;z-index:251660288" o:allowincell="f" filled="f" stroked="f" strokecolor="lime" strokeweight=".25pt">
            <v:textbox style="mso-next-textbox:#_x0000_s1281" inset="0,0,0,0">
              <w:txbxContent>
                <w:p w:rsidR="00B833F6" w:rsidRDefault="00B833F6">
                  <w:pPr>
                    <w:spacing w:line="160" w:lineRule="exact"/>
                    <w:jc w:val="left"/>
                    <w:rPr>
                      <w:rFonts w:cs="Miriam" w:hint="cs"/>
                      <w:szCs w:val="18"/>
                      <w:rtl/>
                    </w:rPr>
                  </w:pPr>
                  <w:r>
                    <w:rPr>
                      <w:rFonts w:cs="Miriam" w:hint="cs"/>
                      <w:szCs w:val="18"/>
                      <w:rtl/>
                    </w:rPr>
                    <w:t>הפסקת הפעלתו של בנק דם טבורי</w:t>
                  </w:r>
                </w:p>
              </w:txbxContent>
            </v:textbox>
            <w10:anchorlock/>
          </v:rect>
        </w:pict>
      </w:r>
      <w:r>
        <w:rPr>
          <w:rStyle w:val="big-number"/>
          <w:rFonts w:hint="cs"/>
          <w:rtl/>
        </w:rPr>
        <w:t>11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אדם המחזיק, מפעיל או מנהל בנק דם טבורי יודיע למנהל לפחות שלושה חודשים מראש על כוונתו להפסיק את הפעלתו של הבנק, ויעביר את מנות הדם הטבורי המופקדות באותו בנק לבנק דם טבורי אחר, באישור המנהל; במתן אישור להעברת המנות יתחשב המנהל, בין השאר, בהסכם בין בנק הדם הטבורי שיש כוונה להפסיק את פעילותו לבין מפקידי מנות הדם הטבורי, ובמידת הצורך </w:t>
      </w:r>
      <w:r>
        <w:rPr>
          <w:rStyle w:val="default"/>
          <w:rFonts w:cs="FrankRuehl"/>
          <w:rtl/>
        </w:rPr>
        <w:t>–</w:t>
      </w:r>
      <w:r>
        <w:rPr>
          <w:rStyle w:val="default"/>
          <w:rFonts w:cs="FrankRuehl" w:hint="cs"/>
          <w:rtl/>
        </w:rPr>
        <w:t xml:space="preserve"> גם בשימושים האפשריים במנות הדם הטבורי המופקדות באותו בנק.</w:t>
      </w:r>
    </w:p>
    <w:p w:rsidR="00B833F6" w:rsidRDefault="00B833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קטן (א) כדי להקנות למדינה זכות קניינית או אחרת במנות הדם הטבורי המופקדות בבנק הדם הטבורי שהפעלתו הופסקה.</w:t>
      </w:r>
    </w:p>
    <w:p w:rsidR="00B833F6" w:rsidRDefault="00B833F6">
      <w:pPr>
        <w:pStyle w:val="P00"/>
        <w:spacing w:before="72"/>
        <w:ind w:left="0" w:right="1134"/>
        <w:rPr>
          <w:rStyle w:val="default"/>
          <w:rFonts w:cs="FrankRuehl" w:hint="cs"/>
          <w:rtl/>
        </w:rPr>
      </w:pPr>
      <w:bookmarkStart w:id="11" w:name="Seif11"/>
      <w:bookmarkEnd w:id="11"/>
      <w:r>
        <w:rPr>
          <w:lang w:val="he-IL"/>
        </w:rPr>
        <w:pict>
          <v:rect id="_x0000_s1282" style="position:absolute;left:0;text-align:left;margin-left:464.5pt;margin-top:8.05pt;width:75.05pt;height:15.8pt;z-index:251661312" o:allowincell="f" filled="f" stroked="f" strokecolor="lime" strokeweight=".25pt">
            <v:textbox style="mso-next-textbox:#_x0000_s1282" inset="0,0,0,0">
              <w:txbxContent>
                <w:p w:rsidR="00B833F6" w:rsidRDefault="00B833F6">
                  <w:pPr>
                    <w:spacing w:line="160" w:lineRule="exact"/>
                    <w:jc w:val="left"/>
                    <w:rPr>
                      <w:rFonts w:cs="Miriam" w:hint="cs"/>
                      <w:szCs w:val="18"/>
                      <w:rtl/>
                    </w:rPr>
                  </w:pPr>
                  <w:r>
                    <w:rPr>
                      <w:rFonts w:cs="Miriam" w:hint="cs"/>
                      <w:szCs w:val="18"/>
                      <w:rtl/>
                    </w:rPr>
                    <w:t>שמירת סודיות</w:t>
                  </w:r>
                </w:p>
              </w:txbxContent>
            </v:textbox>
            <w10:anchorlock/>
          </v:rect>
        </w:pict>
      </w:r>
      <w:r>
        <w:rPr>
          <w:rStyle w:val="big-number"/>
          <w:rFonts w:hint="cs"/>
          <w:rtl/>
        </w:rPr>
        <w:t>12</w:t>
      </w:r>
      <w:r>
        <w:rPr>
          <w:rStyle w:val="default"/>
          <w:rFonts w:cs="FrankRuehl"/>
          <w:rtl/>
        </w:rPr>
        <w:t>.</w:t>
      </w:r>
      <w:r>
        <w:rPr>
          <w:rStyle w:val="default"/>
          <w:rFonts w:cs="FrankRuehl"/>
          <w:rtl/>
        </w:rPr>
        <w:tab/>
      </w:r>
      <w:r>
        <w:rPr>
          <w:rStyle w:val="default"/>
          <w:rFonts w:cs="FrankRuehl" w:hint="cs"/>
          <w:rtl/>
        </w:rPr>
        <w:t>בעל היתר וכל מי שמועסק על ידו ישמרו בסוד ולא יעבירו לאחר כל מידע או מסמך שהגיע אליהם תוך כדי מילוי תפקידם או במהלך עבודתם, אלא במידה הנדרשת לביצוע הוראות חוק זה ובכפוף להוראות כל דין או על פי צו בית משפט.</w:t>
      </w:r>
    </w:p>
    <w:p w:rsidR="00B833F6" w:rsidRDefault="00B833F6">
      <w:pPr>
        <w:pStyle w:val="P00"/>
        <w:spacing w:before="72"/>
        <w:ind w:left="0" w:right="1134"/>
        <w:rPr>
          <w:rStyle w:val="default"/>
          <w:rFonts w:cs="FrankRuehl" w:hint="cs"/>
          <w:rtl/>
        </w:rPr>
      </w:pPr>
      <w:bookmarkStart w:id="12" w:name="Seif12"/>
      <w:bookmarkEnd w:id="12"/>
      <w:r>
        <w:rPr>
          <w:lang w:val="he-IL"/>
        </w:rPr>
        <w:pict>
          <v:rect id="_x0000_s1283" style="position:absolute;left:0;text-align:left;margin-left:464.5pt;margin-top:8.05pt;width:75.05pt;height:9.05pt;z-index:251662336" o:allowincell="f" filled="f" stroked="f" strokecolor="lime" strokeweight=".25pt">
            <v:textbox style="mso-next-textbox:#_x0000_s1283" inset="0,0,0,0">
              <w:txbxContent>
                <w:p w:rsidR="00B833F6" w:rsidRDefault="00B833F6">
                  <w:pPr>
                    <w:spacing w:line="160" w:lineRule="exact"/>
                    <w:jc w:val="left"/>
                    <w:rPr>
                      <w:rFonts w:cs="Miriam" w:hint="cs"/>
                      <w:szCs w:val="18"/>
                      <w:rtl/>
                    </w:rPr>
                  </w:pPr>
                  <w:r>
                    <w:rPr>
                      <w:rFonts w:cs="Miriam" w:hint="cs"/>
                      <w:szCs w:val="18"/>
                      <w:rtl/>
                    </w:rPr>
                    <w:t>מימון</w:t>
                  </w:r>
                </w:p>
              </w:txbxContent>
            </v:textbox>
            <w10:anchorlock/>
          </v:rect>
        </w:pict>
      </w:r>
      <w:r>
        <w:rPr>
          <w:rStyle w:val="big-number"/>
          <w:rFonts w:hint="cs"/>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בחוק תקציב שנתי, בסעיף תקציב משרד הבריאות, ייקבע, בתכנית נפרדת </w:t>
      </w:r>
      <w:r>
        <w:rPr>
          <w:rStyle w:val="default"/>
          <w:rFonts w:cs="FrankRuehl"/>
          <w:rtl/>
        </w:rPr>
        <w:t>–</w:t>
      </w:r>
    </w:p>
    <w:p w:rsidR="00B833F6" w:rsidRDefault="00B833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תקציב שנתי למימון ההוצאות הדרושות לטיפול ב-1,000 מנות דם טבורי, לכל היותר, המתאימות להשתלה בבנק דם טבורי ציבורי;</w:t>
      </w:r>
    </w:p>
    <w:p w:rsidR="00B833F6" w:rsidRDefault="00B833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הוצאות משרד הבריאות ליישום חוק זה ולפיקוח על פעילות בנקי דם טבורי, לרבות באמצעות הקצאת כוח אדם לשם כך;</w:t>
      </w:r>
    </w:p>
    <w:p w:rsidR="00B833F6" w:rsidRDefault="00B833F6">
      <w:pPr>
        <w:pStyle w:val="P00"/>
        <w:spacing w:before="72"/>
        <w:ind w:left="0" w:right="1134"/>
        <w:rPr>
          <w:rStyle w:val="default"/>
          <w:rFonts w:cs="FrankRuehl" w:hint="cs"/>
          <w:rtl/>
        </w:rPr>
      </w:pPr>
      <w:r>
        <w:rPr>
          <w:rStyle w:val="default"/>
          <w:rFonts w:cs="FrankRuehl" w:hint="cs"/>
          <w:rtl/>
        </w:rPr>
        <w:t xml:space="preserve">בסעיף קטן זה, "תכנית" ו"סעיף תקציב" </w:t>
      </w:r>
      <w:r>
        <w:rPr>
          <w:rStyle w:val="default"/>
          <w:rFonts w:cs="FrankRuehl"/>
          <w:rtl/>
        </w:rPr>
        <w:t>–</w:t>
      </w:r>
      <w:r>
        <w:rPr>
          <w:rStyle w:val="default"/>
          <w:rFonts w:cs="FrankRuehl" w:hint="cs"/>
          <w:rtl/>
        </w:rPr>
        <w:t xml:space="preserve"> כהגדרתם בחוק תקציב שנתי, כמשמעותו בחוק יסודות התקציב.</w:t>
      </w:r>
    </w:p>
    <w:p w:rsidR="00B833F6" w:rsidRDefault="00B833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להורות כי מנות דם טבורי שיטופלו במימון אוצר המדינה כאמור בסעיף זה ייאספו מקבוצות מוגדרות באוכלוסייה, בתמהיל ובסדרי קדימות כפי שיורה; בהוראות כאמור יתחשב המנהל בהרכב האוכלוסייה בישראל ובמידת הזמינות של פתרונות חלופיים בעבור קבוצות אוכלוסייה בישראל.</w:t>
      </w:r>
    </w:p>
    <w:p w:rsidR="00B833F6" w:rsidRDefault="00B833F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יקבע את הכמות המירבית ואת התמהיל הרצוי של מנות דם טבורי בבנקי דם טבורי ציבוריים, הדרושים לצורכי האוכלוסייה בישראל; נאספה הכמות המרבית בתמהיל הרצוי כאמור, ימומנו מאוצר המדינה רק ההוצאות לטיפול במנות דם טבורי, הדרושות לשמירה על הכמות והתמהיל האמורים.</w:t>
      </w:r>
    </w:p>
    <w:p w:rsidR="00B833F6" w:rsidRDefault="00B833F6">
      <w:pPr>
        <w:pStyle w:val="P00"/>
        <w:spacing w:before="72"/>
        <w:ind w:left="0" w:right="1134"/>
        <w:rPr>
          <w:rStyle w:val="default"/>
          <w:rFonts w:cs="FrankRuehl" w:hint="cs"/>
          <w:rtl/>
        </w:rPr>
      </w:pPr>
      <w:bookmarkStart w:id="13" w:name="Seif13"/>
      <w:bookmarkEnd w:id="13"/>
      <w:r>
        <w:rPr>
          <w:lang w:val="he-IL"/>
        </w:rPr>
        <w:pict>
          <v:rect id="_x0000_s1284" style="position:absolute;left:0;text-align:left;margin-left:464.5pt;margin-top:8.05pt;width:75.05pt;height:12pt;z-index:251663360" o:allowincell="f" filled="f" stroked="f" strokecolor="lime" strokeweight=".25pt">
            <v:textbox style="mso-next-textbox:#_x0000_s1284" inset="0,0,0,0">
              <w:txbxContent>
                <w:p w:rsidR="00B833F6" w:rsidRDefault="00B833F6">
                  <w:pPr>
                    <w:spacing w:line="160" w:lineRule="exact"/>
                    <w:jc w:val="left"/>
                    <w:rPr>
                      <w:rFonts w:cs="Miriam" w:hint="cs"/>
                      <w:szCs w:val="18"/>
                      <w:rtl/>
                    </w:rPr>
                  </w:pPr>
                  <w:r>
                    <w:rPr>
                      <w:rFonts w:cs="Miriam" w:hint="cs"/>
                      <w:szCs w:val="18"/>
                      <w:rtl/>
                    </w:rPr>
                    <w:t>ביצוע ותקנות</w:t>
                  </w:r>
                </w:p>
              </w:txbxContent>
            </v:textbox>
            <w10:anchorlock/>
          </v:rect>
        </w:pict>
      </w:r>
      <w:r>
        <w:rPr>
          <w:rStyle w:val="big-number"/>
          <w:rFonts w:hint="cs"/>
          <w:rtl/>
        </w:rPr>
        <w:t>14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השר ממונה על ביצוע חוק זה והוא רשאי להתקין תקנות בכל הנוגע לביצועו, לרבות הוראות לעניין </w:t>
      </w:r>
      <w:r>
        <w:rPr>
          <w:rStyle w:val="default"/>
          <w:rFonts w:cs="FrankRuehl"/>
          <w:rtl/>
        </w:rPr>
        <w:t>–</w:t>
      </w:r>
    </w:p>
    <w:p w:rsidR="00B833F6" w:rsidRDefault="00B833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השבת כספם של לקוחות לגבי מנת דם טבורי שנמצאה בלתי מתאימה להקפאה, לשימוש או לשימוש;</w:t>
      </w:r>
    </w:p>
    <w:p w:rsidR="00B833F6" w:rsidRDefault="00B833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התנאים להעברת מנות דם טבורי המופקדות בבנק גם טבורי ציבורי, לצורכי מחקר רפואי.</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הוראות סעיפים </w:t>
      </w:r>
      <w:r>
        <w:rPr>
          <w:rStyle w:val="default"/>
          <w:rFonts w:cs="FrankRuehl" w:hint="cs"/>
          <w:rtl/>
        </w:rPr>
        <w:t xml:space="preserve">29, </w:t>
      </w:r>
      <w:r>
        <w:rPr>
          <w:rStyle w:val="default"/>
          <w:rFonts w:cs="FrankRuehl"/>
          <w:rtl/>
        </w:rPr>
        <w:t>29א ו</w:t>
      </w:r>
      <w:r>
        <w:rPr>
          <w:rStyle w:val="default"/>
          <w:rFonts w:cs="FrankRuehl" w:hint="cs"/>
          <w:rtl/>
        </w:rPr>
        <w:t>-</w:t>
      </w:r>
      <w:r>
        <w:rPr>
          <w:rStyle w:val="default"/>
          <w:rFonts w:cs="FrankRuehl"/>
          <w:rtl/>
        </w:rPr>
        <w:t>30 לפקודת בריאות העם יחולו גם על בנק דם טבורי ציבורי, בשינויים המחויבים</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נהלים שקבע המנהל לפי חוק זה יפורסמו באתר האינטרנט של משרד הבריאות</w:t>
      </w:r>
      <w:r>
        <w:rPr>
          <w:rStyle w:val="default"/>
          <w:rFonts w:cs="FrankRuehl" w:hint="cs"/>
          <w:rtl/>
        </w:rPr>
        <w:t>.</w:t>
      </w:r>
    </w:p>
    <w:p w:rsidR="00B833F6" w:rsidRDefault="00B833F6">
      <w:pPr>
        <w:pStyle w:val="P00"/>
        <w:spacing w:before="72"/>
        <w:ind w:left="0" w:right="1134"/>
        <w:rPr>
          <w:rStyle w:val="default"/>
          <w:rFonts w:cs="FrankRuehl" w:hint="cs"/>
          <w:rtl/>
        </w:rPr>
      </w:pPr>
      <w:bookmarkStart w:id="14" w:name="Seif14"/>
      <w:bookmarkEnd w:id="14"/>
      <w:r>
        <w:rPr>
          <w:lang w:val="he-IL"/>
        </w:rPr>
        <w:pict>
          <v:rect id="_x0000_s1285" style="position:absolute;left:0;text-align:left;margin-left:464.5pt;margin-top:8.05pt;width:75.05pt;height:13.65pt;z-index:251664384" o:allowincell="f" filled="f" stroked="f" strokecolor="lime" strokeweight=".25pt">
            <v:textbox style="mso-next-textbox:#_x0000_s1285" inset="0,0,0,0">
              <w:txbxContent>
                <w:p w:rsidR="00B833F6" w:rsidRDefault="00B833F6">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15</w:t>
      </w:r>
      <w:r>
        <w:rPr>
          <w:rStyle w:val="default"/>
          <w:rFonts w:cs="FrankRuehl"/>
          <w:rtl/>
        </w:rPr>
        <w:t>.</w:t>
      </w:r>
      <w:r>
        <w:rPr>
          <w:rStyle w:val="default"/>
          <w:rFonts w:cs="FrankRuehl"/>
          <w:rtl/>
        </w:rPr>
        <w:tab/>
        <w:t>תחילתו של חוק זה שנה מיום פרסומו (להלן – יום התחילה)</w:t>
      </w:r>
      <w:r>
        <w:rPr>
          <w:rStyle w:val="default"/>
          <w:rFonts w:cs="FrankRuehl" w:hint="cs"/>
          <w:rtl/>
        </w:rPr>
        <w:t>.</w:t>
      </w:r>
    </w:p>
    <w:p w:rsidR="00B833F6" w:rsidRDefault="00B833F6">
      <w:pPr>
        <w:pStyle w:val="P00"/>
        <w:spacing w:before="72"/>
        <w:ind w:left="0" w:right="1134"/>
        <w:rPr>
          <w:rStyle w:val="default"/>
          <w:rFonts w:cs="FrankRuehl" w:hint="cs"/>
          <w:rtl/>
        </w:rPr>
      </w:pPr>
      <w:bookmarkStart w:id="15" w:name="Seif15"/>
      <w:bookmarkEnd w:id="15"/>
      <w:r>
        <w:rPr>
          <w:lang w:val="he-IL"/>
        </w:rPr>
        <w:pict>
          <v:rect id="_x0000_s1286" style="position:absolute;left:0;text-align:left;margin-left:464.5pt;margin-top:8.05pt;width:75.05pt;height:16.15pt;z-index:251665408" o:allowincell="f" filled="f" stroked="f" strokecolor="lime" strokeweight=".25pt">
            <v:textbox style="mso-next-textbox:#_x0000_s1286" inset="0,0,0,0">
              <w:txbxContent>
                <w:p w:rsidR="00B833F6" w:rsidRDefault="00B833F6">
                  <w:pPr>
                    <w:spacing w:line="160" w:lineRule="exact"/>
                    <w:jc w:val="left"/>
                    <w:rPr>
                      <w:rFonts w:cs="Miriam" w:hint="cs"/>
                      <w:szCs w:val="18"/>
                      <w:rtl/>
                    </w:rPr>
                  </w:pPr>
                  <w:r>
                    <w:rPr>
                      <w:rFonts w:cs="Miriam" w:hint="cs"/>
                      <w:szCs w:val="18"/>
                      <w:rtl/>
                    </w:rPr>
                    <w:t>הוראות מעבר</w:t>
                  </w:r>
                </w:p>
              </w:txbxContent>
            </v:textbox>
            <w10:anchorlock/>
          </v:rect>
        </w:pict>
      </w:r>
      <w:r>
        <w:rPr>
          <w:rStyle w:val="big-number"/>
          <w:rFonts w:hint="cs"/>
          <w:rtl/>
        </w:rPr>
        <w:t>16</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בנק דם טבורי שהיה קיים ערב יום התחילה (בסעיף זה –</w:t>
      </w:r>
      <w:r>
        <w:rPr>
          <w:rStyle w:val="default"/>
          <w:rFonts w:cs="FrankRuehl" w:hint="cs"/>
          <w:rtl/>
        </w:rPr>
        <w:t xml:space="preserve"> </w:t>
      </w:r>
      <w:r>
        <w:rPr>
          <w:rStyle w:val="default"/>
          <w:rFonts w:cs="FrankRuehl"/>
          <w:rtl/>
        </w:rPr>
        <w:t>בנק דם טבורי קיים) והגיש בקשה להיתר לפי סעיף 6 בתוך שישים ימים מיום שקבע השר הוראות לעניין קבלת היתר כאמור בסעיף 6</w:t>
      </w:r>
      <w:r>
        <w:rPr>
          <w:rStyle w:val="default"/>
          <w:rFonts w:cs="FrankRuehl" w:hint="cs"/>
          <w:rtl/>
        </w:rPr>
        <w:t>,</w:t>
      </w:r>
      <w:r>
        <w:rPr>
          <w:rStyle w:val="default"/>
          <w:rFonts w:cs="FrankRuehl"/>
          <w:rtl/>
        </w:rPr>
        <w:t xml:space="preserve"> רשאי להמשיך ולפעול עד להחלטת המנהל בבקשתו; המנהל רשאי לקבוע הוראות לעניין מתן פטור לבנק דם טבורי קיים, מקיום אחד או יותר מהדרישות או מהתנאים שקבע לקבלת היתר, אם שוכנע שאין בכך כדי לפגוע באיכות מנות הדם הטבורי המופקדות באותו בנק ובבטיחותן</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תקנות ראשונות לפי סעיף </w:t>
      </w:r>
      <w:r>
        <w:rPr>
          <w:rStyle w:val="default"/>
          <w:rFonts w:cs="FrankRuehl" w:hint="cs"/>
          <w:rtl/>
        </w:rPr>
        <w:t>6</w:t>
      </w:r>
      <w:r>
        <w:rPr>
          <w:rStyle w:val="default"/>
          <w:rFonts w:cs="FrankRuehl"/>
          <w:rtl/>
        </w:rPr>
        <w:t>(ו) יותקנו בתוך 180 ימים מיום התחילה</w:t>
      </w:r>
      <w:r>
        <w:rPr>
          <w:rStyle w:val="default"/>
          <w:rFonts w:cs="FrankRuehl" w:hint="cs"/>
          <w:rtl/>
        </w:rPr>
        <w:t>.</w:t>
      </w:r>
    </w:p>
    <w:p w:rsidR="00B833F6" w:rsidRDefault="00B833F6">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בנק דם טבורי קיים לא יחויב לבצע בדיקות לפי סעיף 5 במנות דם טבורי המופקדות</w:t>
      </w:r>
      <w:r>
        <w:rPr>
          <w:rStyle w:val="default"/>
          <w:rFonts w:cs="FrankRuehl" w:hint="cs"/>
          <w:rtl/>
        </w:rPr>
        <w:t xml:space="preserve"> </w:t>
      </w:r>
      <w:r>
        <w:rPr>
          <w:rStyle w:val="default"/>
          <w:rFonts w:cs="FrankRuehl"/>
          <w:rtl/>
        </w:rPr>
        <w:t xml:space="preserve">אצלו ושנאספו לפני יום התחילה, למעט בדיקות לפי סעיף </w:t>
      </w:r>
      <w:r>
        <w:rPr>
          <w:rStyle w:val="default"/>
          <w:rFonts w:cs="FrankRuehl" w:hint="cs"/>
          <w:rtl/>
        </w:rPr>
        <w:t>5(ג)(4) ו-(5).</w:t>
      </w:r>
      <w:r>
        <w:rPr>
          <w:rStyle w:val="default"/>
          <w:rFonts w:cs="FrankRuehl"/>
          <w:rtl/>
        </w:rPr>
        <w:t xml:space="preserve"> </w:t>
      </w:r>
    </w:p>
    <w:p w:rsidR="00B833F6" w:rsidRDefault="00B833F6">
      <w:pPr>
        <w:pStyle w:val="P00"/>
        <w:spacing w:before="72"/>
        <w:ind w:left="0" w:right="1134"/>
        <w:rPr>
          <w:rStyle w:val="default"/>
          <w:rFonts w:cs="FrankRuehl" w:hint="cs"/>
          <w:rtl/>
        </w:rPr>
      </w:pPr>
    </w:p>
    <w:p w:rsidR="00B833F6" w:rsidRDefault="00B833F6">
      <w:pPr>
        <w:pStyle w:val="P00"/>
        <w:spacing w:before="72"/>
        <w:ind w:left="0" w:right="1134"/>
        <w:rPr>
          <w:rtl/>
        </w:rPr>
      </w:pPr>
    </w:p>
    <w:p w:rsidR="00B833F6" w:rsidRDefault="00B833F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Pr>
          <w:rFonts w:hint="cs"/>
          <w:rtl/>
        </w:rPr>
        <w:tab/>
        <w:t>אהוד אולמרט</w:t>
      </w:r>
      <w:r>
        <w:rPr>
          <w:rFonts w:hint="cs"/>
          <w:rtl/>
        </w:rPr>
        <w:tab/>
      </w:r>
      <w:r>
        <w:rPr>
          <w:rFonts w:hint="cs"/>
          <w:rtl/>
        </w:rPr>
        <w:tab/>
        <w:t>יעקב בן-יזרי</w:t>
      </w:r>
    </w:p>
    <w:p w:rsidR="00B833F6" w:rsidRDefault="00B833F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sz w:val="22"/>
          <w:szCs w:val="22"/>
          <w:rtl/>
        </w:rPr>
      </w:pPr>
      <w:r>
        <w:rPr>
          <w:rFonts w:hint="cs"/>
          <w:sz w:val="22"/>
          <w:szCs w:val="22"/>
          <w:rtl/>
        </w:rPr>
        <w:tab/>
      </w:r>
      <w:r>
        <w:rPr>
          <w:rFonts w:hint="cs"/>
          <w:sz w:val="22"/>
          <w:szCs w:val="22"/>
          <w:rtl/>
        </w:rPr>
        <w:tab/>
        <w:t>ראש הממשלה</w:t>
      </w:r>
      <w:r>
        <w:rPr>
          <w:rFonts w:hint="cs"/>
          <w:sz w:val="22"/>
          <w:szCs w:val="22"/>
          <w:rtl/>
        </w:rPr>
        <w:tab/>
      </w:r>
      <w:r>
        <w:rPr>
          <w:rFonts w:hint="cs"/>
          <w:sz w:val="22"/>
          <w:szCs w:val="22"/>
          <w:rtl/>
        </w:rPr>
        <w:tab/>
        <w:t>שר הבריאות</w:t>
      </w:r>
    </w:p>
    <w:p w:rsidR="00B833F6" w:rsidRDefault="00B833F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t>שמעון פרס</w:t>
      </w:r>
      <w:r>
        <w:rPr>
          <w:rFonts w:hint="cs"/>
          <w:rtl/>
        </w:rPr>
        <w:tab/>
      </w:r>
      <w:r>
        <w:rPr>
          <w:rFonts w:hint="cs"/>
          <w:rtl/>
        </w:rPr>
        <w:tab/>
        <w:t>דליה איציק</w:t>
      </w:r>
    </w:p>
    <w:p w:rsidR="00B833F6" w:rsidRDefault="00B833F6">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sz w:val="22"/>
          <w:szCs w:val="22"/>
          <w:rtl/>
        </w:rPr>
      </w:pPr>
      <w:r>
        <w:rPr>
          <w:rFonts w:hint="cs"/>
          <w:sz w:val="22"/>
          <w:szCs w:val="22"/>
          <w:rtl/>
        </w:rPr>
        <w:tab/>
        <w:t>נשיא המדינה</w:t>
      </w:r>
      <w:r>
        <w:rPr>
          <w:rFonts w:hint="cs"/>
          <w:sz w:val="22"/>
          <w:szCs w:val="22"/>
          <w:rtl/>
        </w:rPr>
        <w:tab/>
      </w:r>
      <w:r>
        <w:rPr>
          <w:rFonts w:hint="cs"/>
          <w:sz w:val="22"/>
          <w:szCs w:val="22"/>
          <w:rtl/>
        </w:rPr>
        <w:tab/>
        <w:t>יושבת ראש הכנסת</w:t>
      </w:r>
    </w:p>
    <w:p w:rsidR="00B833F6" w:rsidRDefault="00B833F6">
      <w:pPr>
        <w:pStyle w:val="P00"/>
        <w:spacing w:before="72"/>
        <w:ind w:left="0" w:right="1134"/>
        <w:rPr>
          <w:rFonts w:hint="cs"/>
          <w:rtl/>
        </w:rPr>
      </w:pPr>
    </w:p>
    <w:p w:rsidR="00B833F6" w:rsidRDefault="00B833F6">
      <w:pPr>
        <w:pStyle w:val="P00"/>
        <w:spacing w:before="72"/>
        <w:ind w:left="0" w:right="1134"/>
        <w:rPr>
          <w:rFonts w:hint="cs"/>
          <w:rtl/>
        </w:rPr>
      </w:pPr>
    </w:p>
    <w:sectPr w:rsidR="00B833F6">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13B3" w:rsidRDefault="001313B3">
      <w:r>
        <w:separator/>
      </w:r>
    </w:p>
  </w:endnote>
  <w:endnote w:type="continuationSeparator" w:id="0">
    <w:p w:rsidR="001313B3" w:rsidRDefault="00131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3F6" w:rsidRDefault="00B833F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833F6" w:rsidRDefault="00B833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33F6" w:rsidRDefault="00B833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Z:\000000000000-law\yael\revadim\07-08-15-d\01\999_800.doc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3F6" w:rsidRDefault="00B833F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E4689">
      <w:rPr>
        <w:rFonts w:hAnsi="FrankRuehl"/>
        <w:noProof/>
        <w:sz w:val="24"/>
        <w:szCs w:val="24"/>
        <w:rtl/>
      </w:rPr>
      <w:t>2</w:t>
    </w:r>
    <w:r>
      <w:rPr>
        <w:rFonts w:hAnsi="FrankRuehl"/>
        <w:sz w:val="24"/>
        <w:szCs w:val="24"/>
        <w:rtl/>
      </w:rPr>
      <w:fldChar w:fldCharType="end"/>
    </w:r>
  </w:p>
  <w:p w:rsidR="00B833F6" w:rsidRDefault="00B833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33F6" w:rsidRDefault="00B833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Z:\000000000000-law\yael\revadim\07-08-15-d\01\999_800.doc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13B3" w:rsidRDefault="001313B3">
      <w:pPr>
        <w:spacing w:before="60" w:line="240" w:lineRule="auto"/>
        <w:ind w:right="1134"/>
      </w:pPr>
      <w:r>
        <w:separator/>
      </w:r>
    </w:p>
  </w:footnote>
  <w:footnote w:type="continuationSeparator" w:id="0">
    <w:p w:rsidR="001313B3" w:rsidRDefault="001313B3">
      <w:r>
        <w:separator/>
      </w:r>
    </w:p>
  </w:footnote>
  <w:footnote w:id="1">
    <w:p w:rsidR="00B833F6" w:rsidRDefault="00B833F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Pr>
            <w:rStyle w:val="Hyperlink"/>
            <w:rFonts w:hint="cs"/>
            <w:sz w:val="20"/>
            <w:rtl/>
          </w:rPr>
          <w:t>ס"ח תשס"ז מס' 2107</w:t>
        </w:r>
      </w:hyperlink>
      <w:r>
        <w:rPr>
          <w:rFonts w:hint="cs"/>
          <w:sz w:val="20"/>
          <w:rtl/>
        </w:rPr>
        <w:t xml:space="preserve"> מיום 2.8.2007 עמ' 418 (</w:t>
      </w:r>
      <w:hyperlink r:id="rId2" w:history="1">
        <w:r>
          <w:rPr>
            <w:rStyle w:val="Hyperlink"/>
            <w:rFonts w:hint="cs"/>
            <w:sz w:val="20"/>
            <w:rtl/>
          </w:rPr>
          <w:t>ה"ח הכנסת תשס"ו מס' 110</w:t>
        </w:r>
      </w:hyperlink>
      <w:r>
        <w:rPr>
          <w:rFonts w:hint="cs"/>
          <w:sz w:val="20"/>
          <w:rtl/>
        </w:rPr>
        <w:t xml:space="preserve"> עמ' 120).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3F6" w:rsidRDefault="00B833F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B833F6" w:rsidRDefault="00B833F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833F6" w:rsidRDefault="00B833F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3F6" w:rsidRDefault="00B833F6">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דם טבורי,</w:t>
    </w:r>
    <w:r>
      <w:rPr>
        <w:rFonts w:hAnsi="FrankRuehl"/>
        <w:color w:val="000000"/>
        <w:sz w:val="28"/>
        <w:szCs w:val="28"/>
        <w:rtl/>
      </w:rPr>
      <w:t xml:space="preserve"> 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rsidR="00B833F6" w:rsidRDefault="00B833F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833F6" w:rsidRDefault="00B833F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4D50"/>
    <w:rsid w:val="000E4689"/>
    <w:rsid w:val="001313B3"/>
    <w:rsid w:val="00594D50"/>
    <w:rsid w:val="00B833F6"/>
    <w:rsid w:val="00F370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ED386D6-8890-4041-A1D3-8C4A577F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110.pdf" TargetMode="External"/><Relationship Id="rId1" Type="http://schemas.openxmlformats.org/officeDocument/2006/relationships/hyperlink" Target="http://www.nevo.co.il/Law_word/law14/law-21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11079</CharactersWithSpaces>
  <SharedDoc>false</SharedDoc>
  <HLinks>
    <vt:vector size="108" baseType="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3276827</vt:i4>
      </vt:variant>
      <vt:variant>
        <vt:i4>3</vt:i4>
      </vt:variant>
      <vt:variant>
        <vt:i4>0</vt:i4>
      </vt:variant>
      <vt:variant>
        <vt:i4>5</vt:i4>
      </vt:variant>
      <vt:variant>
        <vt:lpwstr>http://www.nevo.co.il/Law_word/law16/KNESSET-110.pdf</vt:lpwstr>
      </vt:variant>
      <vt:variant>
        <vt:lpwstr/>
      </vt:variant>
      <vt:variant>
        <vt:i4>8192015</vt:i4>
      </vt:variant>
      <vt:variant>
        <vt:i4>0</vt:i4>
      </vt:variant>
      <vt:variant>
        <vt:i4>0</vt:i4>
      </vt:variant>
      <vt:variant>
        <vt:i4>5</vt:i4>
      </vt:variant>
      <vt:variant>
        <vt:lpwstr>http://www.nevo.co.il/Law_word/law14/law-2107.pdf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בריאות</vt:lpwstr>
  </property>
  <property fmtid="{D5CDD505-2E9C-101B-9397-08002B2CF9AE}" pid="4" name="LAWNAME">
    <vt:lpwstr>חוק דם טבורי, תשס"ז-2007</vt:lpwstr>
  </property>
  <property fmtid="{D5CDD505-2E9C-101B-9397-08002B2CF9AE}" pid="5" name="LAWNUMBER">
    <vt:lpwstr>0800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1">
    <vt:lpwstr>http://www.nevo.co.il/Law_word/law14/law-2107.pdf;רשומות - ספר חוקים#פורסם ס"ח תשס"ז מס' 2107 #מיום 2.8.2007 עמ' 418</vt:lpwstr>
  </property>
  <property fmtid="{D5CDD505-2E9C-101B-9397-08002B2CF9AE}" pid="20" name="LINKK2">
    <vt:lpwstr/>
  </property>
  <property fmtid="{D5CDD505-2E9C-101B-9397-08002B2CF9AE}" pid="21" name="LINKK3">
    <vt:lpwstr/>
  </property>
  <property fmtid="{D5CDD505-2E9C-101B-9397-08002B2CF9AE}" pid="22" name="NOSE11">
    <vt:lpwstr>בריאות</vt:lpwstr>
  </property>
  <property fmtid="{D5CDD505-2E9C-101B-9397-08002B2CF9AE}" pid="23" name="NOSE21">
    <vt:lpwstr>הריונות</vt:lpwstr>
  </property>
  <property fmtid="{D5CDD505-2E9C-101B-9397-08002B2CF9AE}" pid="24" name="NOSE31">
    <vt:lpwstr>דם טבורי</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