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7DE2" w:rsidRDefault="00620EA4">
      <w:pPr>
        <w:pStyle w:val="big-header"/>
        <w:ind w:left="0" w:right="1134"/>
        <w:rPr>
          <w:rFonts w:cs="FrankRuehl" w:hint="cs"/>
          <w:sz w:val="32"/>
          <w:rtl/>
        </w:rPr>
      </w:pPr>
      <w:r>
        <w:rPr>
          <w:rFonts w:cs="FrankRuehl" w:hint="cs"/>
          <w:sz w:val="32"/>
          <w:rtl/>
        </w:rPr>
        <w:t>חוק האחריות לפיצוי נזקי זיהום בשמן, תשס"ד-2004</w:t>
      </w:r>
    </w:p>
    <w:p w:rsidR="00620EA4" w:rsidRPr="00620EA4" w:rsidRDefault="00620EA4" w:rsidP="00620EA4">
      <w:pPr>
        <w:spacing w:line="320" w:lineRule="auto"/>
        <w:rPr>
          <w:rFonts w:cs="FrankRuehl"/>
          <w:szCs w:val="26"/>
          <w:rtl/>
        </w:rPr>
      </w:pPr>
    </w:p>
    <w:p w:rsidR="00620EA4" w:rsidRPr="00620EA4" w:rsidRDefault="00620EA4" w:rsidP="00620EA4">
      <w:pPr>
        <w:spacing w:line="320" w:lineRule="auto"/>
        <w:rPr>
          <w:rFonts w:cs="Miriam" w:hint="cs"/>
          <w:szCs w:val="22"/>
          <w:rtl/>
        </w:rPr>
      </w:pPr>
      <w:r w:rsidRPr="00620EA4">
        <w:rPr>
          <w:rFonts w:cs="Miriam"/>
          <w:szCs w:val="22"/>
          <w:rtl/>
        </w:rPr>
        <w:t>חקלאות טבע וסביבה</w:t>
      </w:r>
      <w:r w:rsidRPr="00620EA4">
        <w:rPr>
          <w:rFonts w:cs="FrankRuehl"/>
          <w:szCs w:val="26"/>
          <w:rtl/>
        </w:rPr>
        <w:t xml:space="preserve"> – איכות הסביבה – מניעת זיהום</w:t>
      </w:r>
    </w:p>
    <w:p w:rsidR="00620EA4" w:rsidRDefault="00620EA4">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פרק א': פרשנות</w:t>
            </w:r>
          </w:p>
        </w:tc>
        <w:tc>
          <w:tcPr>
            <w:tcW w:w="567" w:type="dxa"/>
          </w:tcPr>
          <w:p w:rsidR="00EA1758" w:rsidRPr="00EA1758" w:rsidRDefault="00EA1758" w:rsidP="00EA1758">
            <w:pPr>
              <w:rPr>
                <w:rStyle w:val="Hyperlink"/>
                <w:rtl/>
              </w:rPr>
            </w:pPr>
            <w:hyperlink w:anchor="med0" w:tooltip="פרק א: פרשנו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1 </w:t>
            </w:r>
          </w:p>
        </w:tc>
        <w:tc>
          <w:tcPr>
            <w:tcW w:w="5669" w:type="dxa"/>
          </w:tcPr>
          <w:p w:rsidR="00EA1758" w:rsidRPr="00EA1758" w:rsidRDefault="00EA1758" w:rsidP="00EA1758">
            <w:pPr>
              <w:rPr>
                <w:rFonts w:cs="Frankruhel"/>
                <w:rtl/>
              </w:rPr>
            </w:pPr>
            <w:r>
              <w:rPr>
                <w:rtl/>
              </w:rPr>
              <w:t>הגדרות</w:t>
            </w:r>
          </w:p>
        </w:tc>
        <w:tc>
          <w:tcPr>
            <w:tcW w:w="567" w:type="dxa"/>
          </w:tcPr>
          <w:p w:rsidR="00EA1758" w:rsidRPr="00EA1758" w:rsidRDefault="00EA1758" w:rsidP="00EA1758">
            <w:pPr>
              <w:rPr>
                <w:rStyle w:val="Hyperlink"/>
                <w:rtl/>
              </w:rPr>
            </w:pPr>
            <w:hyperlink w:anchor="Seif1" w:tooltip="הגדרו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2 </w:t>
            </w:r>
          </w:p>
        </w:tc>
        <w:tc>
          <w:tcPr>
            <w:tcW w:w="5669" w:type="dxa"/>
          </w:tcPr>
          <w:p w:rsidR="00EA1758" w:rsidRPr="00EA1758" w:rsidRDefault="00EA1758" w:rsidP="00EA1758">
            <w:pPr>
              <w:rPr>
                <w:rFonts w:cs="Frankruhel"/>
                <w:rtl/>
              </w:rPr>
            </w:pPr>
            <w:r>
              <w:rPr>
                <w:rtl/>
              </w:rPr>
              <w:t>תחולה לגבי נזק זיהום</w:t>
            </w:r>
          </w:p>
        </w:tc>
        <w:tc>
          <w:tcPr>
            <w:tcW w:w="567" w:type="dxa"/>
          </w:tcPr>
          <w:p w:rsidR="00EA1758" w:rsidRPr="00EA1758" w:rsidRDefault="00EA1758" w:rsidP="00EA1758">
            <w:pPr>
              <w:rPr>
                <w:rStyle w:val="Hyperlink"/>
                <w:rtl/>
              </w:rPr>
            </w:pPr>
            <w:hyperlink w:anchor="Seif2" w:tooltip="תחולה לגבי נזק זיהום"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3 </w:t>
            </w:r>
          </w:p>
        </w:tc>
        <w:tc>
          <w:tcPr>
            <w:tcW w:w="5669" w:type="dxa"/>
          </w:tcPr>
          <w:p w:rsidR="00EA1758" w:rsidRPr="00EA1758" w:rsidRDefault="00EA1758" w:rsidP="00EA1758">
            <w:pPr>
              <w:rPr>
                <w:rFonts w:cs="Frankruhel"/>
                <w:rtl/>
              </w:rPr>
            </w:pPr>
            <w:r>
              <w:rPr>
                <w:rtl/>
              </w:rPr>
              <w:t>סייד לתחולה</w:t>
            </w:r>
          </w:p>
        </w:tc>
        <w:tc>
          <w:tcPr>
            <w:tcW w:w="567" w:type="dxa"/>
          </w:tcPr>
          <w:p w:rsidR="00EA1758" w:rsidRPr="00EA1758" w:rsidRDefault="00EA1758" w:rsidP="00EA1758">
            <w:pPr>
              <w:rPr>
                <w:rStyle w:val="Hyperlink"/>
                <w:rtl/>
              </w:rPr>
            </w:pPr>
            <w:hyperlink w:anchor="Seif3" w:tooltip="סייד לתחולה"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פרק ב': חובת ביטוח ותעודת אישור</w:t>
            </w:r>
          </w:p>
        </w:tc>
        <w:tc>
          <w:tcPr>
            <w:tcW w:w="567" w:type="dxa"/>
          </w:tcPr>
          <w:p w:rsidR="00EA1758" w:rsidRPr="00EA1758" w:rsidRDefault="00EA1758" w:rsidP="00EA1758">
            <w:pPr>
              <w:rPr>
                <w:rStyle w:val="Hyperlink"/>
                <w:rtl/>
              </w:rPr>
            </w:pPr>
            <w:hyperlink w:anchor="med1" w:tooltip="פרק ב: חובת ביטוח ותעודת אישור"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4 </w:t>
            </w:r>
          </w:p>
        </w:tc>
        <w:tc>
          <w:tcPr>
            <w:tcW w:w="5669" w:type="dxa"/>
          </w:tcPr>
          <w:p w:rsidR="00EA1758" w:rsidRPr="00EA1758" w:rsidRDefault="00EA1758" w:rsidP="00EA1758">
            <w:pPr>
              <w:rPr>
                <w:rFonts w:cs="Frankruhel"/>
                <w:rtl/>
              </w:rPr>
            </w:pPr>
            <w:r>
              <w:rPr>
                <w:rtl/>
              </w:rPr>
              <w:t>חובת ביטוח</w:t>
            </w:r>
          </w:p>
        </w:tc>
        <w:tc>
          <w:tcPr>
            <w:tcW w:w="567" w:type="dxa"/>
          </w:tcPr>
          <w:p w:rsidR="00EA1758" w:rsidRPr="00EA1758" w:rsidRDefault="00EA1758" w:rsidP="00EA1758">
            <w:pPr>
              <w:rPr>
                <w:rStyle w:val="Hyperlink"/>
                <w:rtl/>
              </w:rPr>
            </w:pPr>
            <w:hyperlink w:anchor="Seif4" w:tooltip="חובת ביטוח"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5 </w:t>
            </w:r>
          </w:p>
        </w:tc>
        <w:tc>
          <w:tcPr>
            <w:tcW w:w="5669" w:type="dxa"/>
          </w:tcPr>
          <w:p w:rsidR="00EA1758" w:rsidRPr="00EA1758" w:rsidRDefault="00EA1758" w:rsidP="00EA1758">
            <w:pPr>
              <w:rPr>
                <w:rFonts w:cs="Frankruhel"/>
                <w:rtl/>
              </w:rPr>
            </w:pPr>
            <w:r>
              <w:rPr>
                <w:rtl/>
              </w:rPr>
              <w:t>מתן תעודת אישור</w:t>
            </w:r>
          </w:p>
        </w:tc>
        <w:tc>
          <w:tcPr>
            <w:tcW w:w="567" w:type="dxa"/>
          </w:tcPr>
          <w:p w:rsidR="00EA1758" w:rsidRPr="00EA1758" w:rsidRDefault="00EA1758" w:rsidP="00EA1758">
            <w:pPr>
              <w:rPr>
                <w:rStyle w:val="Hyperlink"/>
                <w:rtl/>
              </w:rPr>
            </w:pPr>
            <w:hyperlink w:anchor="Seif5" w:tooltip="מתן תעודת אישור"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6 </w:t>
            </w:r>
          </w:p>
        </w:tc>
        <w:tc>
          <w:tcPr>
            <w:tcW w:w="5669" w:type="dxa"/>
          </w:tcPr>
          <w:p w:rsidR="00EA1758" w:rsidRPr="00EA1758" w:rsidRDefault="00EA1758" w:rsidP="00EA1758">
            <w:pPr>
              <w:rPr>
                <w:rFonts w:cs="Frankruhel"/>
                <w:rtl/>
              </w:rPr>
            </w:pPr>
            <w:r>
              <w:rPr>
                <w:rtl/>
              </w:rPr>
              <w:t>איסור השטה בלא תעודת אישור</w:t>
            </w:r>
          </w:p>
        </w:tc>
        <w:tc>
          <w:tcPr>
            <w:tcW w:w="567" w:type="dxa"/>
          </w:tcPr>
          <w:p w:rsidR="00EA1758" w:rsidRPr="00EA1758" w:rsidRDefault="00EA1758" w:rsidP="00EA1758">
            <w:pPr>
              <w:rPr>
                <w:rStyle w:val="Hyperlink"/>
                <w:rtl/>
              </w:rPr>
            </w:pPr>
            <w:hyperlink w:anchor="Seif16" w:tooltip="איסור השטה בלא תעודת אישור"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7 </w:t>
            </w:r>
          </w:p>
        </w:tc>
        <w:tc>
          <w:tcPr>
            <w:tcW w:w="5669" w:type="dxa"/>
          </w:tcPr>
          <w:p w:rsidR="00EA1758" w:rsidRPr="00EA1758" w:rsidRDefault="00EA1758" w:rsidP="00EA1758">
            <w:pPr>
              <w:rPr>
                <w:rFonts w:cs="Frankruhel"/>
                <w:rtl/>
              </w:rPr>
            </w:pPr>
            <w:r>
              <w:rPr>
                <w:rtl/>
              </w:rPr>
              <w:t>פיקוח</w:t>
            </w:r>
          </w:p>
        </w:tc>
        <w:tc>
          <w:tcPr>
            <w:tcW w:w="567" w:type="dxa"/>
          </w:tcPr>
          <w:p w:rsidR="00EA1758" w:rsidRPr="00EA1758" w:rsidRDefault="00EA1758" w:rsidP="00EA1758">
            <w:pPr>
              <w:rPr>
                <w:rStyle w:val="Hyperlink"/>
                <w:rtl/>
              </w:rPr>
            </w:pPr>
            <w:hyperlink w:anchor="Seif17" w:tooltip="פיקוח"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פרק ג': אחריות</w:t>
            </w:r>
          </w:p>
        </w:tc>
        <w:tc>
          <w:tcPr>
            <w:tcW w:w="567" w:type="dxa"/>
          </w:tcPr>
          <w:p w:rsidR="00EA1758" w:rsidRPr="00EA1758" w:rsidRDefault="00EA1758" w:rsidP="00EA1758">
            <w:pPr>
              <w:rPr>
                <w:rStyle w:val="Hyperlink"/>
                <w:rtl/>
              </w:rPr>
            </w:pPr>
            <w:hyperlink w:anchor="med2" w:tooltip="פרק ג: אחריו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סימן א': היקף האחריות של בעל כלי שיט</w:t>
            </w:r>
          </w:p>
        </w:tc>
        <w:tc>
          <w:tcPr>
            <w:tcW w:w="567" w:type="dxa"/>
          </w:tcPr>
          <w:p w:rsidR="00EA1758" w:rsidRPr="00EA1758" w:rsidRDefault="00EA1758" w:rsidP="00EA1758">
            <w:pPr>
              <w:rPr>
                <w:rStyle w:val="Hyperlink"/>
                <w:rtl/>
              </w:rPr>
            </w:pPr>
            <w:hyperlink w:anchor="hed20" w:tooltip="סימן א: היקף האחריות של בעל כלי שיט"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hed20</w:instrText>
            </w:r>
            <w:r>
              <w:rPr>
                <w:rtl/>
              </w:rPr>
              <w:instrText xml:space="preserve"> </w:instrText>
            </w:r>
            <w:r>
              <w:rPr>
                <w:rFonts w:cs="Frankruhel"/>
                <w:rtl/>
              </w:rPr>
              <w:fldChar w:fldCharType="separate"/>
            </w:r>
            <w:r>
              <w:rPr>
                <w:noProof/>
                <w:rtl/>
              </w:rPr>
              <w:t>4</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8 </w:t>
            </w:r>
          </w:p>
        </w:tc>
        <w:tc>
          <w:tcPr>
            <w:tcW w:w="5669" w:type="dxa"/>
          </w:tcPr>
          <w:p w:rsidR="00EA1758" w:rsidRPr="00EA1758" w:rsidRDefault="00EA1758" w:rsidP="00EA1758">
            <w:pPr>
              <w:rPr>
                <w:rFonts w:cs="Frankruhel"/>
                <w:rtl/>
              </w:rPr>
            </w:pPr>
            <w:r>
              <w:rPr>
                <w:rtl/>
              </w:rPr>
              <w:t>אחריות בנזיקין</w:t>
            </w:r>
          </w:p>
        </w:tc>
        <w:tc>
          <w:tcPr>
            <w:tcW w:w="567" w:type="dxa"/>
          </w:tcPr>
          <w:p w:rsidR="00EA1758" w:rsidRPr="00EA1758" w:rsidRDefault="00EA1758" w:rsidP="00EA1758">
            <w:pPr>
              <w:rPr>
                <w:rStyle w:val="Hyperlink"/>
                <w:rtl/>
              </w:rPr>
            </w:pPr>
            <w:hyperlink w:anchor="Seif6" w:tooltip="אחריות בנזיקין"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9 </w:t>
            </w:r>
          </w:p>
        </w:tc>
        <w:tc>
          <w:tcPr>
            <w:tcW w:w="5669" w:type="dxa"/>
          </w:tcPr>
          <w:p w:rsidR="00EA1758" w:rsidRPr="00EA1758" w:rsidRDefault="00EA1758" w:rsidP="00EA1758">
            <w:pPr>
              <w:rPr>
                <w:rFonts w:cs="Frankruhel"/>
                <w:rtl/>
              </w:rPr>
            </w:pPr>
            <w:r>
              <w:rPr>
                <w:rtl/>
              </w:rPr>
              <w:t>פטור מאחריות</w:t>
            </w:r>
          </w:p>
        </w:tc>
        <w:tc>
          <w:tcPr>
            <w:tcW w:w="567" w:type="dxa"/>
          </w:tcPr>
          <w:p w:rsidR="00EA1758" w:rsidRPr="00EA1758" w:rsidRDefault="00EA1758" w:rsidP="00EA1758">
            <w:pPr>
              <w:rPr>
                <w:rStyle w:val="Hyperlink"/>
                <w:rtl/>
              </w:rPr>
            </w:pPr>
            <w:hyperlink w:anchor="Seif7" w:tooltip="פטור מאחריו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סימן ב': היקף חבותו של בעל כלי שיט</w:t>
            </w:r>
          </w:p>
        </w:tc>
        <w:tc>
          <w:tcPr>
            <w:tcW w:w="567" w:type="dxa"/>
          </w:tcPr>
          <w:p w:rsidR="00EA1758" w:rsidRPr="00EA1758" w:rsidRDefault="00EA1758" w:rsidP="00EA1758">
            <w:pPr>
              <w:rPr>
                <w:rStyle w:val="Hyperlink"/>
                <w:rtl/>
              </w:rPr>
            </w:pPr>
            <w:hyperlink w:anchor="hed21" w:tooltip="סימן ב: היקף חבותו של בעל כלי שיט"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hed21</w:instrText>
            </w:r>
            <w:r>
              <w:rPr>
                <w:rtl/>
              </w:rPr>
              <w:instrText xml:space="preserve"> </w:instrText>
            </w:r>
            <w:r>
              <w:rPr>
                <w:rFonts w:cs="Frankruhel"/>
                <w:rtl/>
              </w:rPr>
              <w:fldChar w:fldCharType="separate"/>
            </w:r>
            <w:r>
              <w:rPr>
                <w:noProof/>
                <w:rtl/>
              </w:rPr>
              <w:t>5</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10 </w:t>
            </w:r>
          </w:p>
        </w:tc>
        <w:tc>
          <w:tcPr>
            <w:tcW w:w="5669" w:type="dxa"/>
          </w:tcPr>
          <w:p w:rsidR="00EA1758" w:rsidRPr="00EA1758" w:rsidRDefault="00EA1758" w:rsidP="00EA1758">
            <w:pPr>
              <w:rPr>
                <w:rFonts w:cs="Frankruhel"/>
                <w:rtl/>
              </w:rPr>
            </w:pPr>
            <w:r>
              <w:rPr>
                <w:rtl/>
              </w:rPr>
              <w:t>הגבלת חבות לנזק זיהום</w:t>
            </w:r>
          </w:p>
        </w:tc>
        <w:tc>
          <w:tcPr>
            <w:tcW w:w="567" w:type="dxa"/>
          </w:tcPr>
          <w:p w:rsidR="00EA1758" w:rsidRPr="00EA1758" w:rsidRDefault="00EA1758" w:rsidP="00EA1758">
            <w:pPr>
              <w:rPr>
                <w:rStyle w:val="Hyperlink"/>
                <w:rtl/>
              </w:rPr>
            </w:pPr>
            <w:hyperlink w:anchor="Seif8" w:tooltip="הגבלת חבות לנזק זיהום"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11 </w:t>
            </w:r>
          </w:p>
        </w:tc>
        <w:tc>
          <w:tcPr>
            <w:tcW w:w="5669" w:type="dxa"/>
          </w:tcPr>
          <w:p w:rsidR="00EA1758" w:rsidRPr="00EA1758" w:rsidRDefault="00EA1758" w:rsidP="00EA1758">
            <w:pPr>
              <w:rPr>
                <w:rFonts w:cs="Frankruhel"/>
                <w:rtl/>
              </w:rPr>
            </w:pPr>
            <w:r>
              <w:rPr>
                <w:rtl/>
              </w:rPr>
              <w:t>סייג</w:t>
            </w:r>
          </w:p>
        </w:tc>
        <w:tc>
          <w:tcPr>
            <w:tcW w:w="567" w:type="dxa"/>
          </w:tcPr>
          <w:p w:rsidR="00EA1758" w:rsidRPr="00EA1758" w:rsidRDefault="00EA1758" w:rsidP="00EA1758">
            <w:pPr>
              <w:rPr>
                <w:rStyle w:val="Hyperlink"/>
                <w:rtl/>
              </w:rPr>
            </w:pPr>
            <w:hyperlink w:anchor="Seif9" w:tooltip="סייג"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סימן ג': היקף חבותו של המבטח</w:t>
            </w:r>
          </w:p>
        </w:tc>
        <w:tc>
          <w:tcPr>
            <w:tcW w:w="567" w:type="dxa"/>
          </w:tcPr>
          <w:p w:rsidR="00EA1758" w:rsidRPr="00EA1758" w:rsidRDefault="00EA1758" w:rsidP="00EA1758">
            <w:pPr>
              <w:rPr>
                <w:rStyle w:val="Hyperlink"/>
                <w:rtl/>
              </w:rPr>
            </w:pPr>
            <w:hyperlink w:anchor="hed22" w:tooltip="סימן ג: היקף חבותו של המבטח"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hed22</w:instrText>
            </w:r>
            <w:r>
              <w:rPr>
                <w:rtl/>
              </w:rPr>
              <w:instrText xml:space="preserve"> </w:instrText>
            </w:r>
            <w:r>
              <w:rPr>
                <w:rFonts w:cs="Frankruhel"/>
                <w:rtl/>
              </w:rPr>
              <w:fldChar w:fldCharType="separate"/>
            </w:r>
            <w:r>
              <w:rPr>
                <w:noProof/>
                <w:rtl/>
              </w:rPr>
              <w:t>5</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12 </w:t>
            </w:r>
          </w:p>
        </w:tc>
        <w:tc>
          <w:tcPr>
            <w:tcW w:w="5669" w:type="dxa"/>
          </w:tcPr>
          <w:p w:rsidR="00EA1758" w:rsidRPr="00EA1758" w:rsidRDefault="00EA1758" w:rsidP="00EA1758">
            <w:pPr>
              <w:rPr>
                <w:rFonts w:cs="Frankruhel"/>
                <w:rtl/>
              </w:rPr>
            </w:pPr>
            <w:r>
              <w:rPr>
                <w:rtl/>
              </w:rPr>
              <w:t>הגבלת חבות המבטח</w:t>
            </w:r>
          </w:p>
        </w:tc>
        <w:tc>
          <w:tcPr>
            <w:tcW w:w="567" w:type="dxa"/>
          </w:tcPr>
          <w:p w:rsidR="00EA1758" w:rsidRPr="00EA1758" w:rsidRDefault="00EA1758" w:rsidP="00EA1758">
            <w:pPr>
              <w:rPr>
                <w:rStyle w:val="Hyperlink"/>
                <w:rtl/>
              </w:rPr>
            </w:pPr>
            <w:hyperlink w:anchor="Seif10" w:tooltip="הגבלת חבות המבטח"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13 </w:t>
            </w:r>
          </w:p>
        </w:tc>
        <w:tc>
          <w:tcPr>
            <w:tcW w:w="5669" w:type="dxa"/>
          </w:tcPr>
          <w:p w:rsidR="00EA1758" w:rsidRPr="00EA1758" w:rsidRDefault="00EA1758" w:rsidP="00EA1758">
            <w:pPr>
              <w:rPr>
                <w:rFonts w:cs="Frankruhel"/>
                <w:rtl/>
              </w:rPr>
            </w:pPr>
            <w:r>
              <w:rPr>
                <w:rtl/>
              </w:rPr>
              <w:t>הגנות המבטח</w:t>
            </w:r>
          </w:p>
        </w:tc>
        <w:tc>
          <w:tcPr>
            <w:tcW w:w="567" w:type="dxa"/>
          </w:tcPr>
          <w:p w:rsidR="00EA1758" w:rsidRPr="00EA1758" w:rsidRDefault="00EA1758" w:rsidP="00EA1758">
            <w:pPr>
              <w:rPr>
                <w:rStyle w:val="Hyperlink"/>
                <w:rtl/>
              </w:rPr>
            </w:pPr>
            <w:hyperlink w:anchor="Seif11" w:tooltip="הגנות המבטח"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14 </w:t>
            </w:r>
          </w:p>
        </w:tc>
        <w:tc>
          <w:tcPr>
            <w:tcW w:w="5669" w:type="dxa"/>
          </w:tcPr>
          <w:p w:rsidR="00EA1758" w:rsidRPr="00EA1758" w:rsidRDefault="00EA1758" w:rsidP="00EA1758">
            <w:pPr>
              <w:rPr>
                <w:rFonts w:cs="Frankruhel"/>
                <w:rtl/>
              </w:rPr>
            </w:pPr>
            <w:r>
              <w:rPr>
                <w:rtl/>
              </w:rPr>
              <w:t>ייחוד כספים</w:t>
            </w:r>
          </w:p>
        </w:tc>
        <w:tc>
          <w:tcPr>
            <w:tcW w:w="567" w:type="dxa"/>
          </w:tcPr>
          <w:p w:rsidR="00EA1758" w:rsidRPr="00EA1758" w:rsidRDefault="00EA1758" w:rsidP="00EA1758">
            <w:pPr>
              <w:rPr>
                <w:rStyle w:val="Hyperlink"/>
                <w:rtl/>
              </w:rPr>
            </w:pPr>
            <w:hyperlink w:anchor="Seif12" w:tooltip="ייחוד כספים"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סימן ד': הקמת קרן הגבלה</w:t>
            </w:r>
          </w:p>
        </w:tc>
        <w:tc>
          <w:tcPr>
            <w:tcW w:w="567" w:type="dxa"/>
          </w:tcPr>
          <w:p w:rsidR="00EA1758" w:rsidRPr="00EA1758" w:rsidRDefault="00EA1758" w:rsidP="00EA1758">
            <w:pPr>
              <w:rPr>
                <w:rStyle w:val="Hyperlink"/>
                <w:rtl/>
              </w:rPr>
            </w:pPr>
            <w:hyperlink w:anchor="hed23" w:tooltip="סימן ד: הקמת קרן הגבלה"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hed23</w:instrText>
            </w:r>
            <w:r>
              <w:rPr>
                <w:rtl/>
              </w:rPr>
              <w:instrText xml:space="preserve"> </w:instrText>
            </w:r>
            <w:r>
              <w:rPr>
                <w:rFonts w:cs="Frankruhel"/>
                <w:rtl/>
              </w:rPr>
              <w:fldChar w:fldCharType="separate"/>
            </w:r>
            <w:r>
              <w:rPr>
                <w:noProof/>
                <w:rtl/>
              </w:rPr>
              <w:t>5</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15 </w:t>
            </w:r>
          </w:p>
        </w:tc>
        <w:tc>
          <w:tcPr>
            <w:tcW w:w="5669" w:type="dxa"/>
          </w:tcPr>
          <w:p w:rsidR="00EA1758" w:rsidRPr="00EA1758" w:rsidRDefault="00EA1758" w:rsidP="00EA1758">
            <w:pPr>
              <w:rPr>
                <w:rFonts w:cs="Frankruhel"/>
                <w:rtl/>
              </w:rPr>
            </w:pPr>
            <w:r>
              <w:rPr>
                <w:rtl/>
              </w:rPr>
              <w:t>התנאים להקמת קרן הגבלה</w:t>
            </w:r>
          </w:p>
        </w:tc>
        <w:tc>
          <w:tcPr>
            <w:tcW w:w="567" w:type="dxa"/>
          </w:tcPr>
          <w:p w:rsidR="00EA1758" w:rsidRPr="00EA1758" w:rsidRDefault="00EA1758" w:rsidP="00EA1758">
            <w:pPr>
              <w:rPr>
                <w:rStyle w:val="Hyperlink"/>
                <w:rtl/>
              </w:rPr>
            </w:pPr>
            <w:hyperlink w:anchor="Seif18" w:tooltip="התנאים להקמת קרן הגבלה"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16 </w:t>
            </w:r>
          </w:p>
        </w:tc>
        <w:tc>
          <w:tcPr>
            <w:tcW w:w="5669" w:type="dxa"/>
          </w:tcPr>
          <w:p w:rsidR="00EA1758" w:rsidRPr="00EA1758" w:rsidRDefault="00EA1758" w:rsidP="00EA1758">
            <w:pPr>
              <w:rPr>
                <w:rFonts w:cs="Frankruhel"/>
                <w:rtl/>
              </w:rPr>
            </w:pPr>
            <w:r>
              <w:rPr>
                <w:rtl/>
              </w:rPr>
              <w:t>בקשת מבטח להקמת קרן הגבלה</w:t>
            </w:r>
          </w:p>
        </w:tc>
        <w:tc>
          <w:tcPr>
            <w:tcW w:w="567" w:type="dxa"/>
          </w:tcPr>
          <w:p w:rsidR="00EA1758" w:rsidRPr="00EA1758" w:rsidRDefault="00EA1758" w:rsidP="00EA1758">
            <w:pPr>
              <w:rPr>
                <w:rStyle w:val="Hyperlink"/>
                <w:rtl/>
              </w:rPr>
            </w:pPr>
            <w:hyperlink w:anchor="Seif19" w:tooltip="בקשת מבטח להקמת קרן הגבלה"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17 </w:t>
            </w:r>
          </w:p>
        </w:tc>
        <w:tc>
          <w:tcPr>
            <w:tcW w:w="5669" w:type="dxa"/>
          </w:tcPr>
          <w:p w:rsidR="00EA1758" w:rsidRPr="00EA1758" w:rsidRDefault="00EA1758" w:rsidP="00EA1758">
            <w:pPr>
              <w:rPr>
                <w:rFonts w:cs="Frankruhel"/>
                <w:rtl/>
              </w:rPr>
            </w:pPr>
            <w:r>
              <w:rPr>
                <w:rtl/>
              </w:rPr>
              <w:t>עיכוב הליכים אחרי הגשת בקשה להקמת קרן הגבלה</w:t>
            </w:r>
          </w:p>
        </w:tc>
        <w:tc>
          <w:tcPr>
            <w:tcW w:w="567" w:type="dxa"/>
          </w:tcPr>
          <w:p w:rsidR="00EA1758" w:rsidRPr="00EA1758" w:rsidRDefault="00EA1758" w:rsidP="00EA1758">
            <w:pPr>
              <w:rPr>
                <w:rStyle w:val="Hyperlink"/>
                <w:rtl/>
              </w:rPr>
            </w:pPr>
            <w:hyperlink w:anchor="Seif20" w:tooltip="עיכוב הליכים אחרי הגשת בקשה להקמת קרן הגבלה"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18 </w:t>
            </w:r>
          </w:p>
        </w:tc>
        <w:tc>
          <w:tcPr>
            <w:tcW w:w="5669" w:type="dxa"/>
          </w:tcPr>
          <w:p w:rsidR="00EA1758" w:rsidRPr="00EA1758" w:rsidRDefault="00EA1758" w:rsidP="00EA1758">
            <w:pPr>
              <w:rPr>
                <w:rFonts w:cs="Frankruhel"/>
                <w:rtl/>
              </w:rPr>
            </w:pPr>
            <w:r>
              <w:rPr>
                <w:rtl/>
              </w:rPr>
              <w:t>ביטול עיקולים, עיכובים וערובות</w:t>
            </w:r>
          </w:p>
        </w:tc>
        <w:tc>
          <w:tcPr>
            <w:tcW w:w="567" w:type="dxa"/>
          </w:tcPr>
          <w:p w:rsidR="00EA1758" w:rsidRPr="00EA1758" w:rsidRDefault="00EA1758" w:rsidP="00EA1758">
            <w:pPr>
              <w:rPr>
                <w:rStyle w:val="Hyperlink"/>
                <w:rtl/>
              </w:rPr>
            </w:pPr>
            <w:hyperlink w:anchor="Seif21" w:tooltip="ביטול עיקולים, עיכובים וערובו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19 </w:t>
            </w:r>
          </w:p>
        </w:tc>
        <w:tc>
          <w:tcPr>
            <w:tcW w:w="5669" w:type="dxa"/>
          </w:tcPr>
          <w:p w:rsidR="00EA1758" w:rsidRPr="00EA1758" w:rsidRDefault="00EA1758" w:rsidP="00EA1758">
            <w:pPr>
              <w:rPr>
                <w:rFonts w:cs="Frankruhel"/>
                <w:rtl/>
              </w:rPr>
            </w:pPr>
            <w:r>
              <w:rPr>
                <w:rtl/>
              </w:rPr>
              <w:t>מתן הודעה לתובעים</w:t>
            </w:r>
          </w:p>
        </w:tc>
        <w:tc>
          <w:tcPr>
            <w:tcW w:w="567" w:type="dxa"/>
          </w:tcPr>
          <w:p w:rsidR="00EA1758" w:rsidRPr="00EA1758" w:rsidRDefault="00EA1758" w:rsidP="00EA1758">
            <w:pPr>
              <w:rPr>
                <w:rStyle w:val="Hyperlink"/>
                <w:rtl/>
              </w:rPr>
            </w:pPr>
            <w:hyperlink w:anchor="Seif22" w:tooltip="מתן הודעה לתובעים"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20 </w:t>
            </w:r>
          </w:p>
        </w:tc>
        <w:tc>
          <w:tcPr>
            <w:tcW w:w="5669" w:type="dxa"/>
          </w:tcPr>
          <w:p w:rsidR="00EA1758" w:rsidRPr="00EA1758" w:rsidRDefault="00EA1758" w:rsidP="00EA1758">
            <w:pPr>
              <w:rPr>
                <w:rFonts w:cs="Frankruhel"/>
                <w:rtl/>
              </w:rPr>
            </w:pPr>
            <w:r>
              <w:rPr>
                <w:rtl/>
              </w:rPr>
              <w:t>הקמת קרן הגבלה במדינה אחרת החברה באמנה</w:t>
            </w:r>
          </w:p>
        </w:tc>
        <w:tc>
          <w:tcPr>
            <w:tcW w:w="567" w:type="dxa"/>
          </w:tcPr>
          <w:p w:rsidR="00EA1758" w:rsidRPr="00EA1758" w:rsidRDefault="00EA1758" w:rsidP="00EA1758">
            <w:pPr>
              <w:rPr>
                <w:rStyle w:val="Hyperlink"/>
                <w:rtl/>
              </w:rPr>
            </w:pPr>
            <w:hyperlink w:anchor="Seif23" w:tooltip="הקמת קרן הגבלה במדינה אחרת החברה באמנה"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פרק ד': תביעות וסמכות שיפוט</w:t>
            </w:r>
          </w:p>
        </w:tc>
        <w:tc>
          <w:tcPr>
            <w:tcW w:w="567" w:type="dxa"/>
          </w:tcPr>
          <w:p w:rsidR="00EA1758" w:rsidRPr="00EA1758" w:rsidRDefault="00EA1758" w:rsidP="00EA1758">
            <w:pPr>
              <w:rPr>
                <w:rStyle w:val="Hyperlink"/>
                <w:rtl/>
              </w:rPr>
            </w:pPr>
            <w:hyperlink w:anchor="med3" w:tooltip="פרק ד: תביעות וסמכות שיפוט"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21 </w:t>
            </w:r>
          </w:p>
        </w:tc>
        <w:tc>
          <w:tcPr>
            <w:tcW w:w="5669" w:type="dxa"/>
          </w:tcPr>
          <w:p w:rsidR="00EA1758" w:rsidRPr="00EA1758" w:rsidRDefault="00EA1758" w:rsidP="00EA1758">
            <w:pPr>
              <w:rPr>
                <w:rFonts w:cs="Frankruhel"/>
                <w:rtl/>
              </w:rPr>
            </w:pPr>
            <w:r>
              <w:rPr>
                <w:rtl/>
              </w:rPr>
              <w:t>הוראות לענין הגשת תביעה לפיצויים</w:t>
            </w:r>
          </w:p>
        </w:tc>
        <w:tc>
          <w:tcPr>
            <w:tcW w:w="567" w:type="dxa"/>
          </w:tcPr>
          <w:p w:rsidR="00EA1758" w:rsidRPr="00EA1758" w:rsidRDefault="00EA1758" w:rsidP="00EA1758">
            <w:pPr>
              <w:rPr>
                <w:rStyle w:val="Hyperlink"/>
                <w:rtl/>
              </w:rPr>
            </w:pPr>
            <w:hyperlink w:anchor="Seif13" w:tooltip="הוראות לענין הגשת תביעה לפיצויים"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22 </w:t>
            </w:r>
          </w:p>
        </w:tc>
        <w:tc>
          <w:tcPr>
            <w:tcW w:w="5669" w:type="dxa"/>
          </w:tcPr>
          <w:p w:rsidR="00EA1758" w:rsidRPr="00EA1758" w:rsidRDefault="00EA1758" w:rsidP="00EA1758">
            <w:pPr>
              <w:rPr>
                <w:rFonts w:cs="Frankruhel"/>
                <w:rtl/>
              </w:rPr>
            </w:pPr>
            <w:r>
              <w:rPr>
                <w:rtl/>
              </w:rPr>
              <w:t>ייחוד עילת תביעה לפיצויים</w:t>
            </w:r>
          </w:p>
        </w:tc>
        <w:tc>
          <w:tcPr>
            <w:tcW w:w="567" w:type="dxa"/>
          </w:tcPr>
          <w:p w:rsidR="00EA1758" w:rsidRPr="00EA1758" w:rsidRDefault="00EA1758" w:rsidP="00EA1758">
            <w:pPr>
              <w:rPr>
                <w:rStyle w:val="Hyperlink"/>
                <w:rtl/>
              </w:rPr>
            </w:pPr>
            <w:hyperlink w:anchor="Seif14" w:tooltip="ייחוד עילת תביעה לפיצויים"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23 </w:t>
            </w:r>
          </w:p>
        </w:tc>
        <w:tc>
          <w:tcPr>
            <w:tcW w:w="5669" w:type="dxa"/>
          </w:tcPr>
          <w:p w:rsidR="00EA1758" w:rsidRPr="00EA1758" w:rsidRDefault="00EA1758" w:rsidP="00EA1758">
            <w:pPr>
              <w:rPr>
                <w:rFonts w:cs="Frankruhel"/>
                <w:rtl/>
              </w:rPr>
            </w:pPr>
            <w:r>
              <w:rPr>
                <w:rtl/>
              </w:rPr>
              <w:t>התיישנות</w:t>
            </w:r>
          </w:p>
        </w:tc>
        <w:tc>
          <w:tcPr>
            <w:tcW w:w="567" w:type="dxa"/>
          </w:tcPr>
          <w:p w:rsidR="00EA1758" w:rsidRPr="00EA1758" w:rsidRDefault="00EA1758" w:rsidP="00EA1758">
            <w:pPr>
              <w:rPr>
                <w:rStyle w:val="Hyperlink"/>
                <w:rtl/>
              </w:rPr>
            </w:pPr>
            <w:hyperlink w:anchor="Seif15" w:tooltip="התיישנו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24 </w:t>
            </w:r>
          </w:p>
        </w:tc>
        <w:tc>
          <w:tcPr>
            <w:tcW w:w="5669" w:type="dxa"/>
          </w:tcPr>
          <w:p w:rsidR="00EA1758" w:rsidRPr="00EA1758" w:rsidRDefault="00EA1758" w:rsidP="00EA1758">
            <w:pPr>
              <w:rPr>
                <w:rFonts w:cs="Frankruhel"/>
                <w:rtl/>
              </w:rPr>
            </w:pPr>
            <w:r>
              <w:rPr>
                <w:rtl/>
              </w:rPr>
              <w:t>הקצאת כספי הקרן</w:t>
            </w:r>
          </w:p>
        </w:tc>
        <w:tc>
          <w:tcPr>
            <w:tcW w:w="567" w:type="dxa"/>
          </w:tcPr>
          <w:p w:rsidR="00EA1758" w:rsidRPr="00EA1758" w:rsidRDefault="00EA1758" w:rsidP="00EA1758">
            <w:pPr>
              <w:rPr>
                <w:rStyle w:val="Hyperlink"/>
                <w:rtl/>
              </w:rPr>
            </w:pPr>
            <w:hyperlink w:anchor="Seif24" w:tooltip="הקצאת כספי הקרן"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25 </w:t>
            </w:r>
          </w:p>
        </w:tc>
        <w:tc>
          <w:tcPr>
            <w:tcW w:w="5669" w:type="dxa"/>
          </w:tcPr>
          <w:p w:rsidR="00EA1758" w:rsidRPr="00EA1758" w:rsidRDefault="00EA1758" w:rsidP="00EA1758">
            <w:pPr>
              <w:rPr>
                <w:rFonts w:cs="Frankruhel"/>
                <w:rtl/>
              </w:rPr>
            </w:pPr>
            <w:r>
              <w:rPr>
                <w:rtl/>
              </w:rPr>
              <w:t>תחלוף</w:t>
            </w:r>
          </w:p>
        </w:tc>
        <w:tc>
          <w:tcPr>
            <w:tcW w:w="567" w:type="dxa"/>
          </w:tcPr>
          <w:p w:rsidR="00EA1758" w:rsidRPr="00EA1758" w:rsidRDefault="00EA1758" w:rsidP="00EA1758">
            <w:pPr>
              <w:rPr>
                <w:rStyle w:val="Hyperlink"/>
                <w:rtl/>
              </w:rPr>
            </w:pPr>
            <w:hyperlink w:anchor="Seif25" w:tooltip="תחלוף"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Seif25</w:instrText>
            </w:r>
            <w:r>
              <w:rPr>
                <w:rtl/>
              </w:rPr>
              <w:instrText xml:space="preserve"> </w:instrText>
            </w:r>
            <w:r>
              <w:rPr>
                <w:rFonts w:cs="Frankruhel"/>
                <w:rtl/>
              </w:rPr>
              <w:fldChar w:fldCharType="separate"/>
            </w:r>
            <w:r>
              <w:rPr>
                <w:noProof/>
                <w:rtl/>
              </w:rPr>
              <w:t>8</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26 </w:t>
            </w:r>
          </w:p>
        </w:tc>
        <w:tc>
          <w:tcPr>
            <w:tcW w:w="5669" w:type="dxa"/>
          </w:tcPr>
          <w:p w:rsidR="00EA1758" w:rsidRPr="00EA1758" w:rsidRDefault="00EA1758" w:rsidP="00EA1758">
            <w:pPr>
              <w:rPr>
                <w:rFonts w:cs="Frankruhel"/>
                <w:rtl/>
              </w:rPr>
            </w:pPr>
            <w:r>
              <w:rPr>
                <w:rtl/>
              </w:rPr>
              <w:t>סמכות שיפוט</w:t>
            </w:r>
          </w:p>
        </w:tc>
        <w:tc>
          <w:tcPr>
            <w:tcW w:w="567" w:type="dxa"/>
          </w:tcPr>
          <w:p w:rsidR="00EA1758" w:rsidRPr="00EA1758" w:rsidRDefault="00EA1758" w:rsidP="00EA1758">
            <w:pPr>
              <w:rPr>
                <w:rStyle w:val="Hyperlink"/>
                <w:rtl/>
              </w:rPr>
            </w:pPr>
            <w:hyperlink w:anchor="Seif26" w:tooltip="סמכות שיפוט"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Seif26</w:instrText>
            </w:r>
            <w:r>
              <w:rPr>
                <w:rtl/>
              </w:rPr>
              <w:instrText xml:space="preserve"> </w:instrText>
            </w:r>
            <w:r>
              <w:rPr>
                <w:rFonts w:cs="Frankruhel"/>
                <w:rtl/>
              </w:rPr>
              <w:fldChar w:fldCharType="separate"/>
            </w:r>
            <w:r>
              <w:rPr>
                <w:noProof/>
                <w:rtl/>
              </w:rPr>
              <w:t>8</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פרק ה': הקרן הבין-לאומית</w:t>
            </w:r>
          </w:p>
        </w:tc>
        <w:tc>
          <w:tcPr>
            <w:tcW w:w="567" w:type="dxa"/>
          </w:tcPr>
          <w:p w:rsidR="00EA1758" w:rsidRPr="00EA1758" w:rsidRDefault="00EA1758" w:rsidP="00EA1758">
            <w:pPr>
              <w:rPr>
                <w:rStyle w:val="Hyperlink"/>
                <w:rtl/>
              </w:rPr>
            </w:pPr>
            <w:hyperlink w:anchor="med4" w:tooltip="פרק ה: הקרן הבין-לאומי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med4</w:instrText>
            </w:r>
            <w:r>
              <w:rPr>
                <w:rtl/>
              </w:rPr>
              <w:instrText xml:space="preserve"> </w:instrText>
            </w:r>
            <w:r>
              <w:rPr>
                <w:rFonts w:cs="Frankruhel"/>
                <w:rtl/>
              </w:rPr>
              <w:fldChar w:fldCharType="separate"/>
            </w:r>
            <w:r>
              <w:rPr>
                <w:noProof/>
                <w:rtl/>
              </w:rPr>
              <w:t>8</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סימן א': חובת הקרן הבין-לאומית לתשלום פיצויים</w:t>
            </w:r>
          </w:p>
        </w:tc>
        <w:tc>
          <w:tcPr>
            <w:tcW w:w="567" w:type="dxa"/>
          </w:tcPr>
          <w:p w:rsidR="00EA1758" w:rsidRPr="00EA1758" w:rsidRDefault="00EA1758" w:rsidP="00EA1758">
            <w:pPr>
              <w:rPr>
                <w:rStyle w:val="Hyperlink"/>
                <w:rtl/>
              </w:rPr>
            </w:pPr>
            <w:hyperlink w:anchor="hed24" w:tooltip="סימן א: חובת הקרן הבין-לאומית לתשלום פיצויים"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hed24</w:instrText>
            </w:r>
            <w:r>
              <w:rPr>
                <w:rtl/>
              </w:rPr>
              <w:instrText xml:space="preserve"> </w:instrText>
            </w:r>
            <w:r>
              <w:rPr>
                <w:rFonts w:cs="Frankruhel"/>
                <w:rtl/>
              </w:rPr>
              <w:fldChar w:fldCharType="separate"/>
            </w:r>
            <w:r>
              <w:rPr>
                <w:noProof/>
                <w:rtl/>
              </w:rPr>
              <w:t>8</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27 </w:t>
            </w:r>
          </w:p>
        </w:tc>
        <w:tc>
          <w:tcPr>
            <w:tcW w:w="5669" w:type="dxa"/>
          </w:tcPr>
          <w:p w:rsidR="00EA1758" w:rsidRPr="00EA1758" w:rsidRDefault="00EA1758" w:rsidP="00EA1758">
            <w:pPr>
              <w:rPr>
                <w:rFonts w:cs="Frankruhel"/>
                <w:rtl/>
              </w:rPr>
            </w:pPr>
            <w:r>
              <w:rPr>
                <w:rtl/>
              </w:rPr>
              <w:t>כשרות משפטית של הקרן הבין לאומית</w:t>
            </w:r>
          </w:p>
        </w:tc>
        <w:tc>
          <w:tcPr>
            <w:tcW w:w="567" w:type="dxa"/>
          </w:tcPr>
          <w:p w:rsidR="00EA1758" w:rsidRPr="00EA1758" w:rsidRDefault="00EA1758" w:rsidP="00EA1758">
            <w:pPr>
              <w:rPr>
                <w:rStyle w:val="Hyperlink"/>
                <w:rtl/>
              </w:rPr>
            </w:pPr>
            <w:hyperlink w:anchor="Seif27" w:tooltip="כשרות משפטית של הקרן הבין לאומי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28 </w:t>
            </w:r>
          </w:p>
        </w:tc>
        <w:tc>
          <w:tcPr>
            <w:tcW w:w="5669" w:type="dxa"/>
          </w:tcPr>
          <w:p w:rsidR="00EA1758" w:rsidRPr="00EA1758" w:rsidRDefault="00EA1758" w:rsidP="00EA1758">
            <w:pPr>
              <w:rPr>
                <w:rFonts w:cs="Frankruhel"/>
                <w:rtl/>
              </w:rPr>
            </w:pPr>
            <w:r>
              <w:rPr>
                <w:rtl/>
              </w:rPr>
              <w:t>הקרן הבין לאומית כצד להליך משפטי</w:t>
            </w:r>
          </w:p>
        </w:tc>
        <w:tc>
          <w:tcPr>
            <w:tcW w:w="567" w:type="dxa"/>
          </w:tcPr>
          <w:p w:rsidR="00EA1758" w:rsidRPr="00EA1758" w:rsidRDefault="00EA1758" w:rsidP="00EA1758">
            <w:pPr>
              <w:rPr>
                <w:rStyle w:val="Hyperlink"/>
                <w:rtl/>
              </w:rPr>
            </w:pPr>
            <w:hyperlink w:anchor="Seif28" w:tooltip="הקרן הבין לאומית כצד להליך משפטי"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Seif28</w:instrText>
            </w:r>
            <w:r>
              <w:rPr>
                <w:rtl/>
              </w:rPr>
              <w:instrText xml:space="preserve"> </w:instrText>
            </w:r>
            <w:r>
              <w:rPr>
                <w:rFonts w:cs="Frankruhel"/>
                <w:rtl/>
              </w:rPr>
              <w:fldChar w:fldCharType="separate"/>
            </w:r>
            <w:r>
              <w:rPr>
                <w:noProof/>
                <w:rtl/>
              </w:rPr>
              <w:t>8</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29 </w:t>
            </w:r>
          </w:p>
        </w:tc>
        <w:tc>
          <w:tcPr>
            <w:tcW w:w="5669" w:type="dxa"/>
          </w:tcPr>
          <w:p w:rsidR="00EA1758" w:rsidRPr="00EA1758" w:rsidRDefault="00EA1758" w:rsidP="00EA1758">
            <w:pPr>
              <w:rPr>
                <w:rFonts w:cs="Frankruhel"/>
                <w:rtl/>
              </w:rPr>
            </w:pPr>
            <w:r>
              <w:rPr>
                <w:rtl/>
              </w:rPr>
              <w:t>סמכות בית המשפט לחייב את הקרן הבין לאומית בתשלום פיצויים</w:t>
            </w:r>
          </w:p>
        </w:tc>
        <w:tc>
          <w:tcPr>
            <w:tcW w:w="567" w:type="dxa"/>
          </w:tcPr>
          <w:p w:rsidR="00EA1758" w:rsidRPr="00EA1758" w:rsidRDefault="00EA1758" w:rsidP="00EA1758">
            <w:pPr>
              <w:rPr>
                <w:rStyle w:val="Hyperlink"/>
                <w:rtl/>
              </w:rPr>
            </w:pPr>
            <w:hyperlink w:anchor="Seif29" w:tooltip="סמכות בית המשפט לחייב את הקרן הבין לאומית בתשלום פיצויים"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Seif29</w:instrText>
            </w:r>
            <w:r>
              <w:rPr>
                <w:rtl/>
              </w:rPr>
              <w:instrText xml:space="preserve"> </w:instrText>
            </w:r>
            <w:r>
              <w:rPr>
                <w:rFonts w:cs="Frankruhel"/>
                <w:rtl/>
              </w:rPr>
              <w:fldChar w:fldCharType="separate"/>
            </w:r>
            <w:r>
              <w:rPr>
                <w:noProof/>
                <w:rtl/>
              </w:rPr>
              <w:t>8</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30 </w:t>
            </w:r>
          </w:p>
        </w:tc>
        <w:tc>
          <w:tcPr>
            <w:tcW w:w="5669" w:type="dxa"/>
          </w:tcPr>
          <w:p w:rsidR="00EA1758" w:rsidRPr="00EA1758" w:rsidRDefault="00EA1758" w:rsidP="00EA1758">
            <w:pPr>
              <w:rPr>
                <w:rFonts w:cs="Frankruhel"/>
                <w:rtl/>
              </w:rPr>
            </w:pPr>
            <w:r>
              <w:rPr>
                <w:rtl/>
              </w:rPr>
              <w:t>סייג לחובת תשלום פיצויים</w:t>
            </w:r>
          </w:p>
        </w:tc>
        <w:tc>
          <w:tcPr>
            <w:tcW w:w="567" w:type="dxa"/>
          </w:tcPr>
          <w:p w:rsidR="00EA1758" w:rsidRPr="00EA1758" w:rsidRDefault="00EA1758" w:rsidP="00EA1758">
            <w:pPr>
              <w:rPr>
                <w:rStyle w:val="Hyperlink"/>
                <w:rtl/>
              </w:rPr>
            </w:pPr>
            <w:hyperlink w:anchor="Seif30" w:tooltip="סייג לחובת תשלום פיצויים"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Seif30</w:instrText>
            </w:r>
            <w:r>
              <w:rPr>
                <w:rtl/>
              </w:rPr>
              <w:instrText xml:space="preserve"> </w:instrText>
            </w:r>
            <w:r>
              <w:rPr>
                <w:rFonts w:cs="Frankruhel"/>
                <w:rtl/>
              </w:rPr>
              <w:fldChar w:fldCharType="separate"/>
            </w:r>
            <w:r>
              <w:rPr>
                <w:noProof/>
                <w:rtl/>
              </w:rPr>
              <w:t>8</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lastRenderedPageBreak/>
              <w:t xml:space="preserve">סעיף 31 </w:t>
            </w:r>
          </w:p>
        </w:tc>
        <w:tc>
          <w:tcPr>
            <w:tcW w:w="5669" w:type="dxa"/>
          </w:tcPr>
          <w:p w:rsidR="00EA1758" w:rsidRPr="00EA1758" w:rsidRDefault="00EA1758" w:rsidP="00EA1758">
            <w:pPr>
              <w:rPr>
                <w:rFonts w:cs="Frankruhel"/>
                <w:rtl/>
              </w:rPr>
            </w:pPr>
            <w:r>
              <w:rPr>
                <w:rtl/>
              </w:rPr>
              <w:t>פטור מחובת תשלום פיצויים</w:t>
            </w:r>
          </w:p>
        </w:tc>
        <w:tc>
          <w:tcPr>
            <w:tcW w:w="567" w:type="dxa"/>
          </w:tcPr>
          <w:p w:rsidR="00EA1758" w:rsidRPr="00EA1758" w:rsidRDefault="00EA1758" w:rsidP="00EA1758">
            <w:pPr>
              <w:rPr>
                <w:rStyle w:val="Hyperlink"/>
                <w:rtl/>
              </w:rPr>
            </w:pPr>
            <w:hyperlink w:anchor="Seif31" w:tooltip="פטור מחובת תשלום פיצויים"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Seif31</w:instrText>
            </w:r>
            <w:r>
              <w:rPr>
                <w:rtl/>
              </w:rPr>
              <w:instrText xml:space="preserve"> </w:instrText>
            </w:r>
            <w:r>
              <w:rPr>
                <w:rFonts w:cs="Frankruhel"/>
                <w:rtl/>
              </w:rPr>
              <w:fldChar w:fldCharType="separate"/>
            </w:r>
            <w:r>
              <w:rPr>
                <w:noProof/>
                <w:rtl/>
              </w:rPr>
              <w:t>8</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32 </w:t>
            </w:r>
          </w:p>
        </w:tc>
        <w:tc>
          <w:tcPr>
            <w:tcW w:w="5669" w:type="dxa"/>
          </w:tcPr>
          <w:p w:rsidR="00EA1758" w:rsidRPr="00EA1758" w:rsidRDefault="00EA1758" w:rsidP="00EA1758">
            <w:pPr>
              <w:rPr>
                <w:rFonts w:cs="Frankruhel"/>
                <w:rtl/>
              </w:rPr>
            </w:pPr>
            <w:r>
              <w:rPr>
                <w:rtl/>
              </w:rPr>
              <w:t>הגבלת סכום הפיצויים</w:t>
            </w:r>
          </w:p>
        </w:tc>
        <w:tc>
          <w:tcPr>
            <w:tcW w:w="567" w:type="dxa"/>
          </w:tcPr>
          <w:p w:rsidR="00EA1758" w:rsidRPr="00EA1758" w:rsidRDefault="00EA1758" w:rsidP="00EA1758">
            <w:pPr>
              <w:rPr>
                <w:rStyle w:val="Hyperlink"/>
                <w:rtl/>
              </w:rPr>
            </w:pPr>
            <w:hyperlink w:anchor="Seif32" w:tooltip="הגבלת סכום הפיצויים"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Seif32</w:instrText>
            </w:r>
            <w:r>
              <w:rPr>
                <w:rtl/>
              </w:rPr>
              <w:instrText xml:space="preserve"> </w:instrText>
            </w:r>
            <w:r>
              <w:rPr>
                <w:rFonts w:cs="Frankruhel"/>
                <w:rtl/>
              </w:rPr>
              <w:fldChar w:fldCharType="separate"/>
            </w:r>
            <w:r>
              <w:rPr>
                <w:noProof/>
                <w:rtl/>
              </w:rPr>
              <w:t>9</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33 </w:t>
            </w:r>
          </w:p>
        </w:tc>
        <w:tc>
          <w:tcPr>
            <w:tcW w:w="5669" w:type="dxa"/>
          </w:tcPr>
          <w:p w:rsidR="00EA1758" w:rsidRPr="00EA1758" w:rsidRDefault="00EA1758" w:rsidP="00EA1758">
            <w:pPr>
              <w:rPr>
                <w:rFonts w:cs="Frankruhel"/>
                <w:rtl/>
              </w:rPr>
            </w:pPr>
            <w:r>
              <w:rPr>
                <w:rtl/>
              </w:rPr>
              <w:t>תחלוף לקרן הבין לאומית ולמדינה</w:t>
            </w:r>
          </w:p>
        </w:tc>
        <w:tc>
          <w:tcPr>
            <w:tcW w:w="567" w:type="dxa"/>
          </w:tcPr>
          <w:p w:rsidR="00EA1758" w:rsidRPr="00EA1758" w:rsidRDefault="00EA1758" w:rsidP="00EA1758">
            <w:pPr>
              <w:rPr>
                <w:rStyle w:val="Hyperlink"/>
                <w:rtl/>
              </w:rPr>
            </w:pPr>
            <w:hyperlink w:anchor="Seif33" w:tooltip="תחלוף לקרן הבין לאומית ולמדינה"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Seif33</w:instrText>
            </w:r>
            <w:r>
              <w:rPr>
                <w:rtl/>
              </w:rPr>
              <w:instrText xml:space="preserve"> </w:instrText>
            </w:r>
            <w:r>
              <w:rPr>
                <w:rFonts w:cs="Frankruhel"/>
                <w:rtl/>
              </w:rPr>
              <w:fldChar w:fldCharType="separate"/>
            </w:r>
            <w:r>
              <w:rPr>
                <w:noProof/>
                <w:rtl/>
              </w:rPr>
              <w:t>9</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סימן ב': היטל השתתפות בקרן הבין-לאומית</w:t>
            </w:r>
          </w:p>
        </w:tc>
        <w:tc>
          <w:tcPr>
            <w:tcW w:w="567" w:type="dxa"/>
          </w:tcPr>
          <w:p w:rsidR="00EA1758" w:rsidRPr="00EA1758" w:rsidRDefault="00EA1758" w:rsidP="00EA1758">
            <w:pPr>
              <w:rPr>
                <w:rStyle w:val="Hyperlink"/>
                <w:rtl/>
              </w:rPr>
            </w:pPr>
            <w:hyperlink w:anchor="hed25" w:tooltip="סימן ב: היטל השתתפות בקרן הבין-לאומי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hed25</w:instrText>
            </w:r>
            <w:r>
              <w:rPr>
                <w:rtl/>
              </w:rPr>
              <w:instrText xml:space="preserve"> </w:instrText>
            </w:r>
            <w:r>
              <w:rPr>
                <w:rFonts w:cs="Frankruhel"/>
                <w:rtl/>
              </w:rPr>
              <w:fldChar w:fldCharType="separate"/>
            </w:r>
            <w:r>
              <w:rPr>
                <w:noProof/>
                <w:rtl/>
              </w:rPr>
              <w:t>9</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34 </w:t>
            </w:r>
          </w:p>
        </w:tc>
        <w:tc>
          <w:tcPr>
            <w:tcW w:w="5669" w:type="dxa"/>
          </w:tcPr>
          <w:p w:rsidR="00EA1758" w:rsidRPr="00EA1758" w:rsidRDefault="00EA1758" w:rsidP="00EA1758">
            <w:pPr>
              <w:rPr>
                <w:rFonts w:cs="Frankruhel"/>
                <w:rtl/>
              </w:rPr>
            </w:pPr>
            <w:r>
              <w:rPr>
                <w:rtl/>
              </w:rPr>
              <w:t>היטל השתתפות בקרן הבין לאומית</w:t>
            </w:r>
          </w:p>
        </w:tc>
        <w:tc>
          <w:tcPr>
            <w:tcW w:w="567" w:type="dxa"/>
          </w:tcPr>
          <w:p w:rsidR="00EA1758" w:rsidRPr="00EA1758" w:rsidRDefault="00EA1758" w:rsidP="00EA1758">
            <w:pPr>
              <w:rPr>
                <w:rStyle w:val="Hyperlink"/>
                <w:rtl/>
              </w:rPr>
            </w:pPr>
            <w:hyperlink w:anchor="Seif34" w:tooltip="היטל השתתפות בקרן הבין לאומי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Seif34</w:instrText>
            </w:r>
            <w:r>
              <w:rPr>
                <w:rtl/>
              </w:rPr>
              <w:instrText xml:space="preserve"> </w:instrText>
            </w:r>
            <w:r>
              <w:rPr>
                <w:rFonts w:cs="Frankruhel"/>
                <w:rtl/>
              </w:rPr>
              <w:fldChar w:fldCharType="separate"/>
            </w:r>
            <w:r>
              <w:rPr>
                <w:noProof/>
                <w:rtl/>
              </w:rPr>
              <w:t>9</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35 </w:t>
            </w:r>
          </w:p>
        </w:tc>
        <w:tc>
          <w:tcPr>
            <w:tcW w:w="5669" w:type="dxa"/>
          </w:tcPr>
          <w:p w:rsidR="00EA1758" w:rsidRPr="00EA1758" w:rsidRDefault="00EA1758" w:rsidP="00EA1758">
            <w:pPr>
              <w:rPr>
                <w:rFonts w:cs="Frankruhel"/>
                <w:rtl/>
              </w:rPr>
            </w:pPr>
            <w:r>
              <w:rPr>
                <w:rtl/>
              </w:rPr>
              <w:t>חישוב כמות שמן משתתף</w:t>
            </w:r>
          </w:p>
        </w:tc>
        <w:tc>
          <w:tcPr>
            <w:tcW w:w="567" w:type="dxa"/>
          </w:tcPr>
          <w:p w:rsidR="00EA1758" w:rsidRPr="00EA1758" w:rsidRDefault="00EA1758" w:rsidP="00EA1758">
            <w:pPr>
              <w:rPr>
                <w:rStyle w:val="Hyperlink"/>
                <w:rtl/>
              </w:rPr>
            </w:pPr>
            <w:hyperlink w:anchor="Seif35" w:tooltip="חישוב כמות שמן משתתף"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Seif35</w:instrText>
            </w:r>
            <w:r>
              <w:rPr>
                <w:rtl/>
              </w:rPr>
              <w:instrText xml:space="preserve"> </w:instrText>
            </w:r>
            <w:r>
              <w:rPr>
                <w:rFonts w:cs="Frankruhel"/>
                <w:rtl/>
              </w:rPr>
              <w:fldChar w:fldCharType="separate"/>
            </w:r>
            <w:r>
              <w:rPr>
                <w:noProof/>
                <w:rtl/>
              </w:rPr>
              <w:t>9</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פרק ו': עבירות</w:t>
            </w:r>
          </w:p>
        </w:tc>
        <w:tc>
          <w:tcPr>
            <w:tcW w:w="567" w:type="dxa"/>
          </w:tcPr>
          <w:p w:rsidR="00EA1758" w:rsidRPr="00EA1758" w:rsidRDefault="00EA1758" w:rsidP="00EA1758">
            <w:pPr>
              <w:rPr>
                <w:rStyle w:val="Hyperlink"/>
                <w:rtl/>
              </w:rPr>
            </w:pPr>
            <w:hyperlink w:anchor="med5" w:tooltip="פרק ו: עבירו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med5</w:instrText>
            </w:r>
            <w:r>
              <w:rPr>
                <w:rtl/>
              </w:rPr>
              <w:instrText xml:space="preserve"> </w:instrText>
            </w:r>
            <w:r>
              <w:rPr>
                <w:rFonts w:cs="Frankruhel"/>
                <w:rtl/>
              </w:rPr>
              <w:fldChar w:fldCharType="separate"/>
            </w:r>
            <w:r>
              <w:rPr>
                <w:noProof/>
                <w:rtl/>
              </w:rPr>
              <w:t>9</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36 </w:t>
            </w:r>
          </w:p>
        </w:tc>
        <w:tc>
          <w:tcPr>
            <w:tcW w:w="5669" w:type="dxa"/>
          </w:tcPr>
          <w:p w:rsidR="00EA1758" w:rsidRPr="00EA1758" w:rsidRDefault="00EA1758" w:rsidP="00EA1758">
            <w:pPr>
              <w:rPr>
                <w:rFonts w:cs="Frankruhel"/>
                <w:rtl/>
              </w:rPr>
            </w:pPr>
            <w:r>
              <w:rPr>
                <w:rtl/>
              </w:rPr>
              <w:t>עונשין</w:t>
            </w:r>
          </w:p>
        </w:tc>
        <w:tc>
          <w:tcPr>
            <w:tcW w:w="567" w:type="dxa"/>
          </w:tcPr>
          <w:p w:rsidR="00EA1758" w:rsidRPr="00EA1758" w:rsidRDefault="00EA1758" w:rsidP="00EA1758">
            <w:pPr>
              <w:rPr>
                <w:rStyle w:val="Hyperlink"/>
                <w:rtl/>
              </w:rPr>
            </w:pPr>
            <w:hyperlink w:anchor="Seif36" w:tooltip="עונשין"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Seif36</w:instrText>
            </w:r>
            <w:r>
              <w:rPr>
                <w:rtl/>
              </w:rPr>
              <w:instrText xml:space="preserve"> </w:instrText>
            </w:r>
            <w:r>
              <w:rPr>
                <w:rFonts w:cs="Frankruhel"/>
                <w:rtl/>
              </w:rPr>
              <w:fldChar w:fldCharType="separate"/>
            </w:r>
            <w:r>
              <w:rPr>
                <w:noProof/>
                <w:rtl/>
              </w:rPr>
              <w:t>9</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p>
        </w:tc>
        <w:tc>
          <w:tcPr>
            <w:tcW w:w="5669" w:type="dxa"/>
          </w:tcPr>
          <w:p w:rsidR="00EA1758" w:rsidRPr="00EA1758" w:rsidRDefault="00EA1758" w:rsidP="00EA1758">
            <w:pPr>
              <w:rPr>
                <w:rFonts w:cs="Frankruhel"/>
                <w:rtl/>
              </w:rPr>
            </w:pPr>
            <w:r>
              <w:rPr>
                <w:rtl/>
              </w:rPr>
              <w:t>פרק ז': שונות</w:t>
            </w:r>
          </w:p>
        </w:tc>
        <w:tc>
          <w:tcPr>
            <w:tcW w:w="567" w:type="dxa"/>
          </w:tcPr>
          <w:p w:rsidR="00EA1758" w:rsidRPr="00EA1758" w:rsidRDefault="00EA1758" w:rsidP="00EA1758">
            <w:pPr>
              <w:rPr>
                <w:rStyle w:val="Hyperlink"/>
                <w:rtl/>
              </w:rPr>
            </w:pPr>
            <w:hyperlink w:anchor="med6" w:tooltip="פרק ז: שונו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med6</w:instrText>
            </w:r>
            <w:r>
              <w:rPr>
                <w:rtl/>
              </w:rPr>
              <w:instrText xml:space="preserve"> </w:instrText>
            </w:r>
            <w:r>
              <w:rPr>
                <w:rFonts w:cs="Frankruhel"/>
                <w:rtl/>
              </w:rPr>
              <w:fldChar w:fldCharType="separate"/>
            </w:r>
            <w:r>
              <w:rPr>
                <w:noProof/>
                <w:rtl/>
              </w:rPr>
              <w:t>10</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37 </w:t>
            </w:r>
          </w:p>
        </w:tc>
        <w:tc>
          <w:tcPr>
            <w:tcW w:w="5669" w:type="dxa"/>
          </w:tcPr>
          <w:p w:rsidR="00EA1758" w:rsidRPr="00EA1758" w:rsidRDefault="00EA1758" w:rsidP="00EA1758">
            <w:pPr>
              <w:rPr>
                <w:rFonts w:cs="Frankruhel"/>
                <w:rtl/>
              </w:rPr>
            </w:pPr>
            <w:r>
              <w:rPr>
                <w:rtl/>
              </w:rPr>
              <w:t>דין המדינה ודין מדינות אחרות בעלות כלי שיט</w:t>
            </w:r>
          </w:p>
        </w:tc>
        <w:tc>
          <w:tcPr>
            <w:tcW w:w="567" w:type="dxa"/>
          </w:tcPr>
          <w:p w:rsidR="00EA1758" w:rsidRPr="00EA1758" w:rsidRDefault="00EA1758" w:rsidP="00EA1758">
            <w:pPr>
              <w:rPr>
                <w:rStyle w:val="Hyperlink"/>
                <w:rtl/>
              </w:rPr>
            </w:pPr>
            <w:hyperlink w:anchor="Seif37" w:tooltip="דין המדינה ודין מדינות אחרות בעלות כלי שיט"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Seif37</w:instrText>
            </w:r>
            <w:r>
              <w:rPr>
                <w:rtl/>
              </w:rPr>
              <w:instrText xml:space="preserve"> </w:instrText>
            </w:r>
            <w:r>
              <w:rPr>
                <w:rFonts w:cs="Frankruhel"/>
                <w:rtl/>
              </w:rPr>
              <w:fldChar w:fldCharType="separate"/>
            </w:r>
            <w:r>
              <w:rPr>
                <w:noProof/>
                <w:rtl/>
              </w:rPr>
              <w:t>10</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38 </w:t>
            </w:r>
          </w:p>
        </w:tc>
        <w:tc>
          <w:tcPr>
            <w:tcW w:w="5669" w:type="dxa"/>
          </w:tcPr>
          <w:p w:rsidR="00EA1758" w:rsidRPr="00EA1758" w:rsidRDefault="00EA1758" w:rsidP="00EA1758">
            <w:pPr>
              <w:rPr>
                <w:rFonts w:cs="Frankruhel"/>
                <w:rtl/>
              </w:rPr>
            </w:pPr>
            <w:r>
              <w:rPr>
                <w:rtl/>
              </w:rPr>
              <w:t>ביצוע ותקנות</w:t>
            </w:r>
          </w:p>
        </w:tc>
        <w:tc>
          <w:tcPr>
            <w:tcW w:w="567" w:type="dxa"/>
          </w:tcPr>
          <w:p w:rsidR="00EA1758" w:rsidRPr="00EA1758" w:rsidRDefault="00EA1758" w:rsidP="00EA1758">
            <w:pPr>
              <w:rPr>
                <w:rStyle w:val="Hyperlink"/>
                <w:rtl/>
              </w:rPr>
            </w:pPr>
            <w:hyperlink w:anchor="Seif38" w:tooltip="ביצוע ותקנות"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Seif38</w:instrText>
            </w:r>
            <w:r>
              <w:rPr>
                <w:rtl/>
              </w:rPr>
              <w:instrText xml:space="preserve"> </w:instrText>
            </w:r>
            <w:r>
              <w:rPr>
                <w:rFonts w:cs="Frankruhel"/>
                <w:rtl/>
              </w:rPr>
              <w:fldChar w:fldCharType="separate"/>
            </w:r>
            <w:r>
              <w:rPr>
                <w:noProof/>
                <w:rtl/>
              </w:rPr>
              <w:t>10</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39 </w:t>
            </w:r>
          </w:p>
        </w:tc>
        <w:tc>
          <w:tcPr>
            <w:tcW w:w="5669" w:type="dxa"/>
          </w:tcPr>
          <w:p w:rsidR="00EA1758" w:rsidRPr="00EA1758" w:rsidRDefault="00EA1758" w:rsidP="00EA1758">
            <w:pPr>
              <w:rPr>
                <w:rFonts w:cs="Frankruhel"/>
                <w:rtl/>
              </w:rPr>
            </w:pPr>
            <w:r>
              <w:rPr>
                <w:rtl/>
              </w:rPr>
              <w:t>תקנות סדרי דין</w:t>
            </w:r>
          </w:p>
        </w:tc>
        <w:tc>
          <w:tcPr>
            <w:tcW w:w="567" w:type="dxa"/>
          </w:tcPr>
          <w:p w:rsidR="00EA1758" w:rsidRPr="00EA1758" w:rsidRDefault="00EA1758" w:rsidP="00EA1758">
            <w:pPr>
              <w:rPr>
                <w:rStyle w:val="Hyperlink"/>
                <w:rtl/>
              </w:rPr>
            </w:pPr>
            <w:hyperlink w:anchor="Seif39" w:tooltip="תקנות סדרי דין"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Seif39</w:instrText>
            </w:r>
            <w:r>
              <w:rPr>
                <w:rtl/>
              </w:rPr>
              <w:instrText xml:space="preserve"> </w:instrText>
            </w:r>
            <w:r>
              <w:rPr>
                <w:rFonts w:cs="Frankruhel"/>
                <w:rtl/>
              </w:rPr>
              <w:fldChar w:fldCharType="separate"/>
            </w:r>
            <w:r>
              <w:rPr>
                <w:noProof/>
                <w:rtl/>
              </w:rPr>
              <w:t>10</w:t>
            </w:r>
            <w:r>
              <w:rPr>
                <w:rFonts w:cs="Frankruhel"/>
                <w:rtl/>
              </w:rPr>
              <w:fldChar w:fldCharType="end"/>
            </w:r>
          </w:p>
        </w:tc>
      </w:tr>
      <w:tr w:rsidR="00EA1758" w:rsidRPr="00EA1758">
        <w:tblPrEx>
          <w:tblCellMar>
            <w:top w:w="0" w:type="dxa"/>
            <w:bottom w:w="0" w:type="dxa"/>
          </w:tblCellMar>
        </w:tblPrEx>
        <w:tc>
          <w:tcPr>
            <w:tcW w:w="1247" w:type="dxa"/>
          </w:tcPr>
          <w:p w:rsidR="00EA1758" w:rsidRPr="00EA1758" w:rsidRDefault="00EA1758" w:rsidP="00EA1758">
            <w:pPr>
              <w:rPr>
                <w:rFonts w:cs="Frankruhel"/>
                <w:rtl/>
              </w:rPr>
            </w:pPr>
            <w:r>
              <w:rPr>
                <w:rtl/>
              </w:rPr>
              <w:t xml:space="preserve">סעיף 41 </w:t>
            </w:r>
          </w:p>
        </w:tc>
        <w:tc>
          <w:tcPr>
            <w:tcW w:w="5669" w:type="dxa"/>
          </w:tcPr>
          <w:p w:rsidR="00EA1758" w:rsidRPr="00EA1758" w:rsidRDefault="00EA1758" w:rsidP="00EA1758">
            <w:pPr>
              <w:rPr>
                <w:rFonts w:cs="Frankruhel"/>
                <w:rtl/>
              </w:rPr>
            </w:pPr>
            <w:r>
              <w:rPr>
                <w:rtl/>
              </w:rPr>
              <w:t>תחילה</w:t>
            </w:r>
          </w:p>
        </w:tc>
        <w:tc>
          <w:tcPr>
            <w:tcW w:w="567" w:type="dxa"/>
          </w:tcPr>
          <w:p w:rsidR="00EA1758" w:rsidRPr="00EA1758" w:rsidRDefault="00EA1758" w:rsidP="00EA1758">
            <w:pPr>
              <w:rPr>
                <w:rStyle w:val="Hyperlink"/>
                <w:rtl/>
              </w:rPr>
            </w:pPr>
            <w:hyperlink w:anchor="Seif40" w:tooltip="תחילה" w:history="1">
              <w:r w:rsidRPr="00EA1758">
                <w:rPr>
                  <w:rStyle w:val="Hyperlink"/>
                </w:rPr>
                <w:t>Go</w:t>
              </w:r>
            </w:hyperlink>
          </w:p>
        </w:tc>
        <w:tc>
          <w:tcPr>
            <w:tcW w:w="850" w:type="dxa"/>
          </w:tcPr>
          <w:p w:rsidR="00EA1758" w:rsidRPr="00EA1758" w:rsidRDefault="00EA1758" w:rsidP="00EA175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Seif40</w:instrText>
            </w:r>
            <w:r>
              <w:rPr>
                <w:rtl/>
              </w:rPr>
              <w:instrText xml:space="preserve"> </w:instrText>
            </w:r>
            <w:r>
              <w:rPr>
                <w:rFonts w:cs="Frankruhel"/>
                <w:rtl/>
              </w:rPr>
              <w:fldChar w:fldCharType="separate"/>
            </w:r>
            <w:r>
              <w:rPr>
                <w:noProof/>
                <w:rtl/>
              </w:rPr>
              <w:t>10</w:t>
            </w:r>
            <w:r>
              <w:rPr>
                <w:rFonts w:cs="Frankruhel"/>
                <w:rtl/>
              </w:rPr>
              <w:fldChar w:fldCharType="end"/>
            </w:r>
          </w:p>
        </w:tc>
      </w:tr>
    </w:tbl>
    <w:p w:rsidR="00620EA4" w:rsidRDefault="00620EA4">
      <w:pPr>
        <w:pStyle w:val="big-header"/>
        <w:ind w:left="0" w:right="1134"/>
        <w:rPr>
          <w:rFonts w:cs="FrankRuehl"/>
          <w:sz w:val="32"/>
          <w:rtl/>
        </w:rPr>
      </w:pPr>
    </w:p>
    <w:p w:rsidR="00657DE2" w:rsidRDefault="00620EA4">
      <w:pPr>
        <w:pStyle w:val="big-header"/>
        <w:ind w:left="0" w:right="1134"/>
        <w:rPr>
          <w:rFonts w:cs="FrankRuehl" w:hint="cs"/>
          <w:sz w:val="32"/>
          <w:rtl/>
        </w:rPr>
      </w:pPr>
      <w:r>
        <w:rPr>
          <w:rFonts w:cs="FrankRuehl"/>
          <w:sz w:val="32"/>
          <w:rtl/>
        </w:rPr>
        <w:br w:type="page"/>
      </w:r>
      <w:r w:rsidR="00657DE2">
        <w:rPr>
          <w:rFonts w:cs="FrankRuehl" w:hint="cs"/>
          <w:sz w:val="32"/>
          <w:rtl/>
        </w:rPr>
        <w:lastRenderedPageBreak/>
        <w:t>חוק האחריות לפיצוי נזקי זיהום בשמן, תשס"ד-2004</w:t>
      </w:r>
      <w:r w:rsidR="00657DE2">
        <w:rPr>
          <w:rStyle w:val="default"/>
          <w:sz w:val="22"/>
          <w:szCs w:val="22"/>
          <w:rtl/>
        </w:rPr>
        <w:footnoteReference w:customMarkFollows="1" w:id="1"/>
        <w:t>*</w:t>
      </w:r>
    </w:p>
    <w:p w:rsidR="00657DE2" w:rsidRDefault="00657DE2">
      <w:pPr>
        <w:pStyle w:val="medium2-header"/>
        <w:keepLines w:val="0"/>
        <w:spacing w:before="72"/>
        <w:ind w:left="0" w:right="1134"/>
        <w:outlineLvl w:val="0"/>
        <w:rPr>
          <w:rFonts w:cs="FrankRuehl" w:hint="cs"/>
          <w:noProof/>
          <w:rtl/>
        </w:rPr>
      </w:pPr>
      <w:bookmarkStart w:id="0" w:name="med0"/>
      <w:bookmarkEnd w:id="0"/>
      <w:r>
        <w:rPr>
          <w:rFonts w:cs="FrankRuehl" w:hint="cs"/>
          <w:noProof/>
          <w:rtl/>
        </w:rPr>
        <w:t>פרק א': פרשנות</w:t>
      </w:r>
    </w:p>
    <w:p w:rsidR="00657DE2" w:rsidRDefault="00657DE2">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3.5pt;margin-top:8.05pt;width:75.05pt;height:10pt;z-index:251637248" filled="f" stroked="f" strokecolor="lime" strokeweight=".25pt">
            <v:textbox style="mso-next-textbox:#_x0000_s1026" inset="1mm,0,1mm,0">
              <w:txbxContent>
                <w:p w:rsidR="00657DE2" w:rsidRDefault="00657DE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בחוק זה </w:t>
      </w:r>
      <w:r>
        <w:rPr>
          <w:rStyle w:val="default"/>
          <w:rFonts w:cs="FrankRuehl"/>
          <w:rtl/>
        </w:rPr>
        <w:t>–</w:t>
      </w:r>
    </w:p>
    <w:p w:rsidR="00657DE2" w:rsidRDefault="00657DE2">
      <w:pPr>
        <w:pStyle w:val="P00"/>
        <w:spacing w:before="72"/>
        <w:ind w:left="0" w:right="1134"/>
        <w:rPr>
          <w:rStyle w:val="default"/>
          <w:rFonts w:cs="FrankRuehl" w:hint="cs"/>
          <w:rtl/>
        </w:rPr>
      </w:pPr>
      <w:r>
        <w:rPr>
          <w:rStyle w:val="default"/>
          <w:rFonts w:cs="FrankRuehl" w:hint="cs"/>
          <w:rtl/>
        </w:rPr>
        <w:tab/>
        <w:t xml:space="preserve">"אזור נלווה" </w:t>
      </w:r>
      <w:r>
        <w:rPr>
          <w:rStyle w:val="default"/>
          <w:rFonts w:cs="FrankRuehl"/>
          <w:rtl/>
        </w:rPr>
        <w:t>–</w:t>
      </w:r>
      <w:r>
        <w:rPr>
          <w:rStyle w:val="default"/>
          <w:rFonts w:cs="FrankRuehl" w:hint="cs"/>
          <w:rtl/>
        </w:rPr>
        <w:t xml:space="preserve"> מרחב הים התיכון שמעבר למימי החופין עד למרחק שאינו עולה על 200 מילים ימיים מנקודת שפל המים שבחוף;</w:t>
      </w:r>
    </w:p>
    <w:p w:rsidR="00657DE2" w:rsidRDefault="00657DE2" w:rsidP="00E248F2">
      <w:pPr>
        <w:pStyle w:val="P00"/>
        <w:spacing w:before="72"/>
        <w:ind w:left="0" w:right="1134"/>
        <w:rPr>
          <w:rStyle w:val="default"/>
          <w:rFonts w:cs="FrankRuehl" w:hint="cs"/>
          <w:rtl/>
        </w:rPr>
      </w:pPr>
      <w:r>
        <w:rPr>
          <w:rStyle w:val="default"/>
          <w:rFonts w:cs="FrankRuehl" w:hint="cs"/>
          <w:rtl/>
        </w:rPr>
        <w:tab/>
        <w:t>"אמנת הקרן"</w:t>
      </w:r>
      <w:r w:rsidR="00E248F2">
        <w:rPr>
          <w:rStyle w:val="a6"/>
          <w:rFonts w:cs="FrankRuehl"/>
          <w:sz w:val="26"/>
          <w:rtl/>
        </w:rPr>
        <w:footnoteReference w:id="2"/>
      </w:r>
      <w:r>
        <w:rPr>
          <w:rStyle w:val="default"/>
          <w:rFonts w:cs="FrankRuehl" w:hint="cs"/>
          <w:rtl/>
        </w:rPr>
        <w:t xml:space="preserve"> </w:t>
      </w:r>
      <w:r>
        <w:rPr>
          <w:rStyle w:val="default"/>
          <w:rFonts w:cs="FrankRuehl"/>
          <w:rtl/>
        </w:rPr>
        <w:t>–</w:t>
      </w:r>
      <w:r>
        <w:rPr>
          <w:rStyle w:val="default"/>
          <w:rFonts w:cs="FrankRuehl" w:hint="cs"/>
          <w:rtl/>
        </w:rPr>
        <w:t xml:space="preserve"> האמנה הבין-לאומית בדבר הקמת קרן בין-לאומית לפיצוי נזקי זיהום בשמן משנת 1992 שנעשתה בלונדון ב-27 בנובמבר 1992, כפי שתוקנה בלונדון ביום 18 באוקטובר 2000;</w:t>
      </w:r>
    </w:p>
    <w:p w:rsidR="00657DE2" w:rsidRDefault="00657DE2">
      <w:pPr>
        <w:pStyle w:val="P00"/>
        <w:spacing w:before="72"/>
        <w:ind w:left="0" w:right="1134"/>
        <w:rPr>
          <w:rStyle w:val="default"/>
          <w:rFonts w:cs="FrankRuehl" w:hint="cs"/>
          <w:rtl/>
        </w:rPr>
      </w:pPr>
      <w:r>
        <w:rPr>
          <w:rStyle w:val="default"/>
          <w:rFonts w:cs="FrankRuehl" w:hint="cs"/>
          <w:rtl/>
        </w:rPr>
        <w:tab/>
        <w:t xml:space="preserve">"אמצעי מנע" </w:t>
      </w:r>
      <w:r>
        <w:rPr>
          <w:rStyle w:val="default"/>
          <w:rFonts w:cs="FrankRuehl"/>
          <w:rtl/>
        </w:rPr>
        <w:t>–</w:t>
      </w:r>
      <w:r>
        <w:rPr>
          <w:rStyle w:val="default"/>
          <w:rFonts w:cs="FrankRuehl" w:hint="cs"/>
          <w:rtl/>
        </w:rPr>
        <w:t xml:space="preserve"> כל אמצעי סביר שנוקט אדם, לרבות בעל כלי שיט, לאחר שאירעה תקרית, כדי למנוע או לצמצם נזק זיהום;</w:t>
      </w:r>
    </w:p>
    <w:p w:rsidR="00657DE2" w:rsidRDefault="00657DE2">
      <w:pPr>
        <w:pStyle w:val="P00"/>
        <w:spacing w:before="72"/>
        <w:ind w:left="0" w:right="1134"/>
        <w:rPr>
          <w:rStyle w:val="default"/>
          <w:rFonts w:cs="FrankRuehl" w:hint="cs"/>
          <w:rtl/>
        </w:rPr>
      </w:pPr>
      <w:r>
        <w:rPr>
          <w:rStyle w:val="default"/>
          <w:rFonts w:cs="FrankRuehl" w:hint="cs"/>
          <w:rtl/>
        </w:rPr>
        <w:tab/>
        <w:t xml:space="preserve">"בטוחה כספית" </w:t>
      </w:r>
      <w:r>
        <w:rPr>
          <w:rStyle w:val="default"/>
          <w:rFonts w:cs="FrankRuehl"/>
          <w:rtl/>
        </w:rPr>
        <w:t>–</w:t>
      </w:r>
      <w:r>
        <w:rPr>
          <w:rStyle w:val="default"/>
          <w:rFonts w:cs="FrankRuehl" w:hint="cs"/>
          <w:rtl/>
        </w:rPr>
        <w:t xml:space="preserve"> ערבות בנקאית או תעודה של קרן פיצויים בין-לאומית;</w:t>
      </w:r>
    </w:p>
    <w:p w:rsidR="00657DE2" w:rsidRDefault="00657DE2">
      <w:pPr>
        <w:pStyle w:val="P00"/>
        <w:spacing w:before="72"/>
        <w:ind w:left="0" w:right="1134"/>
        <w:rPr>
          <w:rStyle w:val="default"/>
          <w:rFonts w:cs="FrankRuehl" w:hint="cs"/>
          <w:rtl/>
        </w:rPr>
      </w:pPr>
      <w:r>
        <w:rPr>
          <w:rStyle w:val="default"/>
          <w:rFonts w:cs="FrankRuehl" w:hint="cs"/>
          <w:rtl/>
        </w:rPr>
        <w:tab/>
        <w:t xml:space="preserve">"בית המשפט" </w:t>
      </w:r>
      <w:r>
        <w:rPr>
          <w:rStyle w:val="default"/>
          <w:rFonts w:cs="FrankRuehl"/>
          <w:rtl/>
        </w:rPr>
        <w:t>–</w:t>
      </w:r>
      <w:r>
        <w:rPr>
          <w:rStyle w:val="default"/>
          <w:rFonts w:cs="FrankRuehl" w:hint="cs"/>
          <w:rtl/>
        </w:rPr>
        <w:t xml:space="preserve"> בית המשפט לימאות לפי חוק בית המשפט לימאות, התשי"ב-1952;</w:t>
      </w:r>
    </w:p>
    <w:p w:rsidR="00657DE2" w:rsidRDefault="00657DE2">
      <w:pPr>
        <w:pStyle w:val="P00"/>
        <w:spacing w:before="72"/>
        <w:ind w:left="0" w:right="1134"/>
        <w:rPr>
          <w:rStyle w:val="default"/>
          <w:rFonts w:cs="FrankRuehl" w:hint="cs"/>
          <w:rtl/>
        </w:rPr>
      </w:pPr>
      <w:r>
        <w:rPr>
          <w:rStyle w:val="default"/>
          <w:rFonts w:cs="FrankRuehl" w:hint="cs"/>
          <w:rtl/>
        </w:rPr>
        <w:tab/>
        <w:t xml:space="preserve">"בעל כלי שיט" </w:t>
      </w:r>
      <w:r>
        <w:rPr>
          <w:rStyle w:val="default"/>
          <w:rFonts w:cs="FrankRuehl"/>
          <w:rtl/>
        </w:rPr>
        <w:t>–</w:t>
      </w:r>
      <w:r>
        <w:rPr>
          <w:rStyle w:val="default"/>
          <w:rFonts w:cs="FrankRuehl" w:hint="cs"/>
          <w:rtl/>
        </w:rPr>
        <w:t xml:space="preserve"> מי שרשום במרשם של מדינה כבעל כלי השיט, ולגבי כלי שיט בבעלות מדינה המופעל על ידי תאגיד הרשום באותה מדינה </w:t>
      </w:r>
      <w:r>
        <w:rPr>
          <w:rStyle w:val="default"/>
          <w:rFonts w:cs="FrankRuehl"/>
          <w:rtl/>
        </w:rPr>
        <w:t>–</w:t>
      </w:r>
      <w:r>
        <w:rPr>
          <w:rStyle w:val="default"/>
          <w:rFonts w:cs="FrankRuehl" w:hint="cs"/>
          <w:rtl/>
        </w:rPr>
        <w:t xml:space="preserve"> התאגיד הרשום;</w:t>
      </w:r>
    </w:p>
    <w:p w:rsidR="00657DE2" w:rsidRDefault="00657DE2" w:rsidP="00E248F2">
      <w:pPr>
        <w:pStyle w:val="P00"/>
        <w:spacing w:before="72"/>
        <w:ind w:left="0" w:right="1134"/>
        <w:rPr>
          <w:rStyle w:val="default"/>
          <w:rFonts w:cs="FrankRuehl" w:hint="cs"/>
          <w:rtl/>
        </w:rPr>
      </w:pPr>
      <w:r w:rsidRPr="00E248F2">
        <w:rPr>
          <w:rStyle w:val="default"/>
          <w:rFonts w:cs="FrankRuehl" w:hint="cs"/>
          <w:rtl/>
        </w:rPr>
        <w:tab/>
        <w:t>"האמנה"</w:t>
      </w:r>
      <w:r w:rsidR="00E248F2" w:rsidRPr="00E248F2">
        <w:rPr>
          <w:rStyle w:val="a6"/>
          <w:rFonts w:cs="FrankRuehl" w:hint="cs"/>
          <w:sz w:val="26"/>
          <w:rtl/>
        </w:rPr>
        <w:t>1</w:t>
      </w:r>
      <w:r w:rsidRPr="00E248F2">
        <w:rPr>
          <w:rStyle w:val="default"/>
          <w:rFonts w:cs="FrankRuehl" w:hint="cs"/>
          <w:rtl/>
        </w:rPr>
        <w:t xml:space="preserve"> </w:t>
      </w:r>
      <w:r w:rsidRPr="00E248F2">
        <w:rPr>
          <w:rStyle w:val="default"/>
          <w:rFonts w:cs="FrankRuehl"/>
          <w:rtl/>
        </w:rPr>
        <w:t>–</w:t>
      </w:r>
      <w:r w:rsidRPr="00E248F2">
        <w:rPr>
          <w:rStyle w:val="default"/>
          <w:rFonts w:cs="FrankRuehl" w:hint="cs"/>
          <w:rtl/>
        </w:rPr>
        <w:t xml:space="preserve"> האמנה הבין-לאומית בדבר אחריות לנזקי זיהום בשמן משנת 1992,</w:t>
      </w:r>
      <w:r>
        <w:rPr>
          <w:rStyle w:val="default"/>
          <w:rFonts w:cs="FrankRuehl" w:hint="cs"/>
          <w:rtl/>
        </w:rPr>
        <w:t xml:space="preserve"> שנעשתה בלונדון ב</w:t>
      </w:r>
      <w:r w:rsidR="00E248F2">
        <w:rPr>
          <w:rStyle w:val="default"/>
          <w:rFonts w:cs="FrankRuehl" w:hint="cs"/>
          <w:rtl/>
        </w:rPr>
        <w:t>-</w:t>
      </w:r>
      <w:r>
        <w:rPr>
          <w:rStyle w:val="default"/>
          <w:rFonts w:cs="FrankRuehl" w:hint="cs"/>
          <w:rtl/>
        </w:rPr>
        <w:t>27 בנובמבר 1992, כפי שתוקנה בלומדון ביום 18 באוקטובר 2000;</w:t>
      </w:r>
    </w:p>
    <w:p w:rsidR="00657DE2" w:rsidRDefault="00657DE2">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מנהל מינהל הספנות והנמלים במשרד התחבורה או מי שהוא הסמיך לענין חוק זה, כולו או מקצתו;</w:t>
      </w:r>
    </w:p>
    <w:p w:rsidR="00657DE2" w:rsidRDefault="00657DE2">
      <w:pPr>
        <w:pStyle w:val="P00"/>
        <w:spacing w:before="72"/>
        <w:ind w:left="0" w:right="1134"/>
        <w:rPr>
          <w:rStyle w:val="default"/>
          <w:rFonts w:cs="FrankRuehl" w:hint="cs"/>
          <w:rtl/>
        </w:rPr>
      </w:pPr>
      <w:r>
        <w:rPr>
          <w:rStyle w:val="default"/>
          <w:rFonts w:cs="FrankRuehl" w:hint="cs"/>
          <w:rtl/>
        </w:rPr>
        <w:tab/>
        <w:t xml:space="preserve">"הקרן הבין-לאומית" </w:t>
      </w:r>
      <w:r>
        <w:rPr>
          <w:rStyle w:val="default"/>
          <w:rFonts w:cs="FrankRuehl"/>
          <w:rtl/>
        </w:rPr>
        <w:t>–</w:t>
      </w:r>
      <w:r>
        <w:rPr>
          <w:rStyle w:val="default"/>
          <w:rFonts w:cs="FrankRuehl" w:hint="cs"/>
          <w:rtl/>
        </w:rPr>
        <w:t xml:space="preserve"> הקרן הבין-לאומית שהוקמה בהתאם לאמנת הקרן;</w:t>
      </w:r>
    </w:p>
    <w:p w:rsidR="00657DE2" w:rsidRDefault="00657DE2">
      <w:pPr>
        <w:pStyle w:val="P00"/>
        <w:spacing w:before="72"/>
        <w:ind w:left="0" w:right="1134"/>
        <w:rPr>
          <w:rStyle w:val="default"/>
          <w:rFonts w:cs="FrankRuehl" w:hint="cs"/>
          <w:rtl/>
        </w:rPr>
      </w:pPr>
      <w:r>
        <w:rPr>
          <w:rStyle w:val="default"/>
          <w:rFonts w:cs="FrankRuehl" w:hint="cs"/>
          <w:rtl/>
        </w:rPr>
        <w:tab/>
        <w:t xml:space="preserve">"כלי שיט" </w:t>
      </w:r>
      <w:r>
        <w:rPr>
          <w:rStyle w:val="default"/>
          <w:rFonts w:cs="FrankRuehl"/>
          <w:rtl/>
        </w:rPr>
        <w:t>–</w:t>
      </w:r>
      <w:r>
        <w:rPr>
          <w:rStyle w:val="default"/>
          <w:rFonts w:cs="FrankRuehl" w:hint="cs"/>
          <w:rtl/>
        </w:rPr>
        <w:t xml:space="preserve"> כמשמעותו בחוק הספנות (כלי שיט), התש"ך-1960 (בחוק זה </w:t>
      </w:r>
      <w:r>
        <w:rPr>
          <w:rStyle w:val="default"/>
          <w:rFonts w:cs="FrankRuehl"/>
          <w:rtl/>
        </w:rPr>
        <w:t>–</w:t>
      </w:r>
      <w:r>
        <w:rPr>
          <w:rStyle w:val="default"/>
          <w:rFonts w:cs="FrankRuehl" w:hint="cs"/>
          <w:rtl/>
        </w:rPr>
        <w:t xml:space="preserve"> חוק הספנות (כלי שיט)), אשר נבנה או הותאם להוביל שמן בצובר כמטען, ואולם לענין כלי שיט כאמור הכשיר להוביל שמן ומטען אחר </w:t>
      </w:r>
      <w:r>
        <w:rPr>
          <w:rStyle w:val="default"/>
          <w:rFonts w:cs="FrankRuehl"/>
          <w:rtl/>
        </w:rPr>
        <w:t>–</w:t>
      </w:r>
      <w:r>
        <w:rPr>
          <w:rStyle w:val="default"/>
          <w:rFonts w:cs="FrankRuehl" w:hint="cs"/>
          <w:rtl/>
        </w:rPr>
        <w:t xml:space="preserve"> רק כאשר הוא מוביל שמן כמטען או כשהוא במסע לאחר הובלה כאמור, אלא אם כן הוכח שאינו נושא שיירי שמן כמטען;</w:t>
      </w:r>
    </w:p>
    <w:p w:rsidR="00657DE2" w:rsidRDefault="00657DE2">
      <w:pPr>
        <w:pStyle w:val="P00"/>
        <w:spacing w:before="72"/>
        <w:ind w:left="0" w:right="1134"/>
        <w:rPr>
          <w:rStyle w:val="default"/>
          <w:rFonts w:cs="FrankRuehl" w:hint="cs"/>
          <w:rtl/>
        </w:rPr>
      </w:pPr>
      <w:r>
        <w:rPr>
          <w:rStyle w:val="default"/>
          <w:rFonts w:cs="FrankRuehl" w:hint="cs"/>
          <w:rtl/>
        </w:rPr>
        <w:tab/>
        <w:t xml:space="preserve">"מנהל נמל" ו"נמל" </w:t>
      </w:r>
      <w:r>
        <w:rPr>
          <w:rStyle w:val="default"/>
          <w:rFonts w:cs="FrankRuehl"/>
          <w:rtl/>
        </w:rPr>
        <w:t>–</w:t>
      </w:r>
      <w:r>
        <w:rPr>
          <w:rStyle w:val="default"/>
          <w:rFonts w:cs="FrankRuehl" w:hint="cs"/>
          <w:rtl/>
        </w:rPr>
        <w:t xml:space="preserve"> כהגדרתם בפקודת הנמלים [נוסח חדש], התשל"א-1971;</w:t>
      </w:r>
    </w:p>
    <w:p w:rsidR="00657DE2" w:rsidRDefault="00657DE2">
      <w:pPr>
        <w:pStyle w:val="P00"/>
        <w:spacing w:before="72"/>
        <w:ind w:left="0" w:right="1134"/>
        <w:rPr>
          <w:rStyle w:val="default"/>
          <w:rFonts w:cs="FrankRuehl" w:hint="cs"/>
          <w:rtl/>
        </w:rPr>
      </w:pPr>
      <w:r>
        <w:rPr>
          <w:rStyle w:val="default"/>
          <w:rFonts w:cs="FrankRuehl" w:hint="cs"/>
          <w:rtl/>
        </w:rPr>
        <w:tab/>
        <w:t xml:space="preserve">"נזק זיהום" </w:t>
      </w:r>
      <w:r>
        <w:rPr>
          <w:rStyle w:val="default"/>
          <w:rFonts w:cs="FrankRuehl"/>
          <w:rtl/>
        </w:rPr>
        <w:t>–</w:t>
      </w:r>
      <w:r>
        <w:rPr>
          <w:rStyle w:val="default"/>
          <w:rFonts w:cs="FrankRuehl" w:hint="cs"/>
          <w:rtl/>
        </w:rPr>
        <w:t xml:space="preserve"> כל אחד מאלה:</w:t>
      </w:r>
    </w:p>
    <w:p w:rsidR="00657DE2" w:rsidRDefault="00657D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אבדן או נזק, שנגרם מחוץ לכלי השיט על ידי זיהום שנוצר כתוצאה משמן שנפלט או שנשפך מכלי השיט, ויהא מקום השפיכה או הפליטה אשר יהא, ובלבד שפיצוי בעבור פגיעה בסביבה, למעט פיצוי בעבור אבדן רווח מפגיעה כאמור, יוגבל לעלויות של אמצעים סבירים שננקטו או שיינקטו לשם ניקוי או שיקום הסביבה שנפגעה;</w:t>
      </w:r>
    </w:p>
    <w:p w:rsidR="00657DE2" w:rsidRDefault="00657D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עלות אמצעי מנע, לרבות אבדן או נזק הנגרמים על ידי השימוש באמצעי המנע;</w:t>
      </w:r>
    </w:p>
    <w:p w:rsidR="00657DE2" w:rsidRDefault="00657DE2">
      <w:pPr>
        <w:pStyle w:val="P00"/>
        <w:spacing w:before="72"/>
        <w:ind w:left="0" w:right="1134"/>
        <w:rPr>
          <w:rStyle w:val="default"/>
          <w:rFonts w:cs="FrankRuehl" w:hint="cs"/>
          <w:rtl/>
        </w:rPr>
      </w:pPr>
      <w:r>
        <w:rPr>
          <w:rStyle w:val="default"/>
          <w:rFonts w:cs="FrankRuehl" w:hint="cs"/>
          <w:rtl/>
        </w:rPr>
        <w:tab/>
        <w:t xml:space="preserve">"קברניט" </w:t>
      </w:r>
      <w:r>
        <w:rPr>
          <w:rStyle w:val="default"/>
          <w:rFonts w:cs="FrankRuehl"/>
          <w:rtl/>
        </w:rPr>
        <w:t>–</w:t>
      </w:r>
      <w:r>
        <w:rPr>
          <w:rStyle w:val="default"/>
          <w:rFonts w:cs="FrankRuehl" w:hint="cs"/>
          <w:rtl/>
        </w:rPr>
        <w:t xml:space="preserve"> מי שבידו הפיקוח על כלי השיט, למעט נתב;</w:t>
      </w:r>
    </w:p>
    <w:p w:rsidR="00657DE2" w:rsidRDefault="00657DE2">
      <w:pPr>
        <w:pStyle w:val="P00"/>
        <w:spacing w:before="72"/>
        <w:ind w:left="0" w:right="1134"/>
        <w:rPr>
          <w:rStyle w:val="default"/>
          <w:rFonts w:cs="FrankRuehl" w:hint="cs"/>
          <w:rtl/>
        </w:rPr>
      </w:pPr>
      <w:r>
        <w:rPr>
          <w:rStyle w:val="default"/>
          <w:rFonts w:cs="FrankRuehl" w:hint="cs"/>
          <w:rtl/>
        </w:rPr>
        <w:tab/>
        <w:t xml:space="preserve">"שמן" </w:t>
      </w:r>
      <w:r>
        <w:rPr>
          <w:rStyle w:val="default"/>
          <w:rFonts w:cs="FrankRuehl"/>
          <w:rtl/>
        </w:rPr>
        <w:t>–</w:t>
      </w:r>
      <w:r>
        <w:rPr>
          <w:rStyle w:val="default"/>
          <w:rFonts w:cs="FrankRuehl" w:hint="cs"/>
          <w:rtl/>
        </w:rPr>
        <w:t xml:space="preserve"> שמן מינרלי פחמימני עמיד (</w:t>
      </w:r>
      <w:r>
        <w:rPr>
          <w:rStyle w:val="default"/>
          <w:rFonts w:cs="FrankRuehl"/>
          <w:sz w:val="20"/>
          <w:szCs w:val="20"/>
        </w:rPr>
        <w:t>persistent hydrocarbon mineral oil</w:t>
      </w:r>
      <w:r>
        <w:rPr>
          <w:rStyle w:val="default"/>
          <w:rFonts w:cs="FrankRuehl" w:hint="cs"/>
          <w:rtl/>
        </w:rPr>
        <w:t>) לסוגיו, לרבות שמן גלמי (</w:t>
      </w:r>
      <w:r>
        <w:rPr>
          <w:rStyle w:val="default"/>
          <w:rFonts w:cs="FrankRuehl"/>
          <w:sz w:val="20"/>
          <w:szCs w:val="20"/>
        </w:rPr>
        <w:t>crude oil</w:t>
      </w:r>
      <w:r>
        <w:rPr>
          <w:rStyle w:val="default"/>
          <w:rFonts w:cs="FrankRuehl" w:hint="cs"/>
          <w:rtl/>
        </w:rPr>
        <w:t>), דלק היסק (</w:t>
      </w:r>
      <w:r>
        <w:rPr>
          <w:rStyle w:val="default"/>
          <w:rFonts w:cs="FrankRuehl"/>
          <w:sz w:val="20"/>
          <w:szCs w:val="20"/>
        </w:rPr>
        <w:t>fuel oil</w:t>
      </w:r>
      <w:r>
        <w:rPr>
          <w:rStyle w:val="default"/>
          <w:rFonts w:cs="FrankRuehl" w:hint="cs"/>
          <w:rtl/>
        </w:rPr>
        <w:t>), שמן דיזל כבד (</w:t>
      </w:r>
      <w:r>
        <w:rPr>
          <w:rStyle w:val="default"/>
          <w:rFonts w:cs="FrankRuehl"/>
          <w:sz w:val="20"/>
          <w:szCs w:val="20"/>
        </w:rPr>
        <w:t>heavy diesel oil</w:t>
      </w:r>
      <w:r>
        <w:rPr>
          <w:rStyle w:val="default"/>
          <w:rFonts w:cs="FrankRuehl" w:hint="cs"/>
          <w:rtl/>
        </w:rPr>
        <w:t>) או שמן סיכה (</w:t>
      </w:r>
      <w:r>
        <w:rPr>
          <w:rStyle w:val="default"/>
          <w:rFonts w:cs="FrankRuehl"/>
          <w:sz w:val="20"/>
          <w:szCs w:val="20"/>
        </w:rPr>
        <w:t>lubricating oil</w:t>
      </w:r>
      <w:r>
        <w:rPr>
          <w:rStyle w:val="default"/>
          <w:rFonts w:cs="FrankRuehl" w:hint="cs"/>
          <w:rtl/>
        </w:rPr>
        <w:t>), בין כשהוא נישא כמטען בכלי שיט ובין כשהוא במכלי הדלק של כלי שיט;</w:t>
      </w:r>
    </w:p>
    <w:p w:rsidR="00657DE2" w:rsidRDefault="00657DE2">
      <w:pPr>
        <w:pStyle w:val="P00"/>
        <w:spacing w:before="72"/>
        <w:ind w:left="0" w:right="1134"/>
        <w:rPr>
          <w:rStyle w:val="default"/>
          <w:rFonts w:cs="FrankRuehl" w:hint="cs"/>
          <w:rtl/>
        </w:rPr>
      </w:pPr>
      <w:r>
        <w:rPr>
          <w:rStyle w:val="default"/>
          <w:rFonts w:cs="FrankRuehl" w:hint="cs"/>
          <w:rtl/>
        </w:rPr>
        <w:tab/>
        <w:t xml:space="preserve">"תביעה לפיצויים" </w:t>
      </w:r>
      <w:r>
        <w:rPr>
          <w:rStyle w:val="default"/>
          <w:rFonts w:cs="FrankRuehl"/>
          <w:rtl/>
        </w:rPr>
        <w:t>–</w:t>
      </w:r>
      <w:r>
        <w:rPr>
          <w:rStyle w:val="default"/>
          <w:rFonts w:cs="FrankRuehl" w:hint="cs"/>
          <w:rtl/>
        </w:rPr>
        <w:t xml:space="preserve"> תביעה לפיצויים בשל נזק זיהום לפי הוראות חוק זה;</w:t>
      </w:r>
    </w:p>
    <w:p w:rsidR="00657DE2" w:rsidRDefault="00657DE2">
      <w:pPr>
        <w:pStyle w:val="P00"/>
        <w:spacing w:before="72"/>
        <w:ind w:left="0" w:right="1134"/>
        <w:rPr>
          <w:rStyle w:val="default"/>
          <w:rFonts w:cs="FrankRuehl" w:hint="cs"/>
          <w:rtl/>
        </w:rPr>
      </w:pPr>
      <w:r>
        <w:rPr>
          <w:rStyle w:val="default"/>
          <w:rFonts w:cs="FrankRuehl" w:hint="cs"/>
          <w:rtl/>
        </w:rPr>
        <w:tab/>
        <w:t xml:space="preserve">"תעודת אישור" </w:t>
      </w:r>
      <w:r>
        <w:rPr>
          <w:rStyle w:val="default"/>
          <w:rFonts w:cs="FrankRuehl"/>
          <w:rtl/>
        </w:rPr>
        <w:t>–</w:t>
      </w:r>
      <w:r>
        <w:rPr>
          <w:rStyle w:val="default"/>
          <w:rFonts w:cs="FrankRuehl" w:hint="cs"/>
          <w:rtl/>
        </w:rPr>
        <w:t xml:space="preserve"> תעודה המאשרת כי לכלי השיט פוליסת ביטוח או בטוחה כספית, שהיא בתוקף ובהתאם להוראות חוק זה או האמנה, לפי הענין, ושנתנה רשות מוסמכת, כלהלן:</w:t>
      </w:r>
    </w:p>
    <w:p w:rsidR="00657DE2" w:rsidRDefault="00657D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לכלי שיט ישראלי </w:t>
      </w:r>
      <w:r>
        <w:rPr>
          <w:rStyle w:val="default"/>
          <w:rFonts w:cs="FrankRuehl"/>
          <w:rtl/>
        </w:rPr>
        <w:t>–</w:t>
      </w:r>
      <w:r>
        <w:rPr>
          <w:rStyle w:val="default"/>
          <w:rFonts w:cs="FrankRuehl" w:hint="cs"/>
          <w:rtl/>
        </w:rPr>
        <w:t xml:space="preserve"> המנהל;</w:t>
      </w:r>
    </w:p>
    <w:p w:rsidR="00657DE2" w:rsidRDefault="00657D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לכלי שיט שאינו ישראלי הרשום כדין במדינה שהיא חברה באמנה </w:t>
      </w:r>
      <w:r>
        <w:rPr>
          <w:rStyle w:val="default"/>
          <w:rFonts w:cs="FrankRuehl"/>
          <w:rtl/>
        </w:rPr>
        <w:t>–</w:t>
      </w:r>
      <w:r>
        <w:rPr>
          <w:rStyle w:val="default"/>
          <w:rFonts w:cs="FrankRuehl" w:hint="cs"/>
          <w:rtl/>
        </w:rPr>
        <w:t xml:space="preserve"> הרשות המוסמכת של אותה מדינה;</w:t>
      </w:r>
    </w:p>
    <w:p w:rsidR="00657DE2" w:rsidRDefault="00657DE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לכלי שיט שאינו ישראלי ואינו רשום כדין במדינה שהיא חברה באמנה </w:t>
      </w:r>
      <w:r>
        <w:rPr>
          <w:rStyle w:val="default"/>
          <w:rFonts w:cs="FrankRuehl"/>
          <w:rtl/>
        </w:rPr>
        <w:t>–</w:t>
      </w:r>
      <w:r>
        <w:rPr>
          <w:rStyle w:val="default"/>
          <w:rFonts w:cs="FrankRuehl" w:hint="cs"/>
          <w:rtl/>
        </w:rPr>
        <w:t xml:space="preserve"> רשותמוסמכת של מדינה שהיא חברה באמנה, או שהכיר בה המנהל לענין חוק זה;</w:t>
      </w:r>
    </w:p>
    <w:p w:rsidR="00657DE2" w:rsidRDefault="00657DE2">
      <w:pPr>
        <w:pStyle w:val="P00"/>
        <w:spacing w:before="72"/>
        <w:ind w:left="0" w:right="1134"/>
        <w:rPr>
          <w:rStyle w:val="default"/>
          <w:rFonts w:cs="FrankRuehl" w:hint="cs"/>
          <w:rtl/>
        </w:rPr>
      </w:pPr>
      <w:r>
        <w:rPr>
          <w:rStyle w:val="default"/>
          <w:rFonts w:cs="FrankRuehl" w:hint="cs"/>
          <w:rtl/>
        </w:rPr>
        <w:tab/>
        <w:t xml:space="preserve">"תקרית" </w:t>
      </w:r>
      <w:r>
        <w:rPr>
          <w:rStyle w:val="default"/>
          <w:rFonts w:cs="FrankRuehl"/>
          <w:rtl/>
        </w:rPr>
        <w:t>–</w:t>
      </w:r>
      <w:r>
        <w:rPr>
          <w:rStyle w:val="default"/>
          <w:rFonts w:cs="FrankRuehl" w:hint="cs"/>
          <w:rtl/>
        </w:rPr>
        <w:t xml:space="preserve"> אירוע או סדרת אירועים שמקורם אחד, שבהם היה מעורב כלי שיט ואשר גרמו נזק זיהום, או אירוע היוצר חשש ממשי ומיידי לגרימת נזק זיהום.</w:t>
      </w:r>
    </w:p>
    <w:p w:rsidR="00657DE2" w:rsidRDefault="00657DE2">
      <w:pPr>
        <w:pStyle w:val="P00"/>
        <w:spacing w:before="72"/>
        <w:ind w:left="0" w:right="1134"/>
        <w:rPr>
          <w:rStyle w:val="default"/>
          <w:rFonts w:cs="FrankRuehl" w:hint="cs"/>
          <w:rtl/>
        </w:rPr>
      </w:pPr>
      <w:bookmarkStart w:id="2" w:name="Seif2"/>
      <w:bookmarkEnd w:id="2"/>
      <w:r>
        <w:rPr>
          <w:rFonts w:cs="Miriam"/>
          <w:lang w:val="he-IL"/>
        </w:rPr>
        <w:pict>
          <v:rect id="_x0000_s1079" style="position:absolute;left:0;text-align:left;margin-left:463.5pt;margin-top:8.05pt;width:75.05pt;height:17.6pt;z-index:251638272" filled="f" stroked="f" strokecolor="lime" strokeweight=".25pt">
            <v:textbox style="mso-next-textbox:#_x0000_s1079" inset="1mm,0,1mm,0">
              <w:txbxContent>
                <w:p w:rsidR="00657DE2" w:rsidRDefault="00657DE2">
                  <w:pPr>
                    <w:spacing w:line="160" w:lineRule="exact"/>
                    <w:rPr>
                      <w:rFonts w:cs="Miriam" w:hint="cs"/>
                      <w:noProof/>
                      <w:sz w:val="18"/>
                      <w:szCs w:val="18"/>
                      <w:rtl/>
                    </w:rPr>
                  </w:pPr>
                  <w:r>
                    <w:rPr>
                      <w:rFonts w:cs="Miriam" w:hint="cs"/>
                      <w:sz w:val="18"/>
                      <w:szCs w:val="18"/>
                      <w:rtl/>
                    </w:rPr>
                    <w:t>תחולה לגבי נזק זיהום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הוראות חוק זה יחולו על נזק זיהום כלהלן:</w:t>
      </w:r>
    </w:p>
    <w:p w:rsidR="00657DE2" w:rsidRDefault="00657DE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נזק זיהום שנגרם בישראל לרבות במימי החופין, וכן באזור הנלווה;</w:t>
      </w:r>
    </w:p>
    <w:p w:rsidR="00657DE2" w:rsidRDefault="00657DE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נזק זיהום שנגרם במדינה חברה באמנה </w:t>
      </w:r>
      <w:r>
        <w:rPr>
          <w:rStyle w:val="default"/>
          <w:rFonts w:cs="FrankRuehl"/>
          <w:rtl/>
        </w:rPr>
        <w:t>–</w:t>
      </w:r>
      <w:r>
        <w:rPr>
          <w:rStyle w:val="default"/>
          <w:rFonts w:cs="FrankRuehl" w:hint="cs"/>
          <w:rtl/>
        </w:rPr>
        <w:t xml:space="preserve"> כאמור להלן, ובלבד שהוא נגרם מתקרית אשר נגרם ממנה גם נזק זיהום כאמור בפסקה (1);</w:t>
      </w:r>
    </w:p>
    <w:p w:rsidR="00657DE2" w:rsidRDefault="00657DE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בשטחה הריבוני, לרבות במים הטריטוריאליים שלה;</w:t>
      </w:r>
    </w:p>
    <w:p w:rsidR="00657DE2" w:rsidRDefault="00657DE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באזור הכלכלי הבלעדי שלה (</w:t>
      </w:r>
      <w:r>
        <w:rPr>
          <w:rStyle w:val="default"/>
          <w:rFonts w:cs="FrankRuehl"/>
          <w:sz w:val="20"/>
          <w:szCs w:val="20"/>
        </w:rPr>
        <w:t>Exclusive Economic Zone</w:t>
      </w:r>
      <w:r>
        <w:rPr>
          <w:rStyle w:val="default"/>
          <w:rFonts w:cs="FrankRuehl" w:hint="cs"/>
          <w:rtl/>
        </w:rPr>
        <w:t xml:space="preserve">), ואם אין לה אזור כאמור </w:t>
      </w:r>
      <w:r>
        <w:rPr>
          <w:rStyle w:val="default"/>
          <w:rFonts w:cs="FrankRuehl"/>
          <w:rtl/>
        </w:rPr>
        <w:t>–</w:t>
      </w:r>
      <w:r>
        <w:rPr>
          <w:rStyle w:val="default"/>
          <w:rFonts w:cs="FrankRuehl" w:hint="cs"/>
          <w:rtl/>
        </w:rPr>
        <w:t xml:space="preserve"> אזור שהוכרז על ידה לפי סעיף 2 לאמנה;</w:t>
      </w:r>
    </w:p>
    <w:p w:rsidR="00657DE2" w:rsidRDefault="00657DE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עלות אמצעי מנע אשר ננקטו בכל מקום שהוא במטרה למנוע או למזער נזק זיהום, כאמור בפסקאות (1) או (2).</w:t>
      </w:r>
    </w:p>
    <w:p w:rsidR="00657DE2" w:rsidRDefault="00657DE2">
      <w:pPr>
        <w:pStyle w:val="P00"/>
        <w:spacing w:before="72"/>
        <w:ind w:left="0" w:right="1134"/>
        <w:rPr>
          <w:rStyle w:val="default"/>
          <w:rFonts w:cs="FrankRuehl" w:hint="cs"/>
          <w:rtl/>
        </w:rPr>
      </w:pPr>
      <w:bookmarkStart w:id="3" w:name="Seif3"/>
      <w:bookmarkEnd w:id="3"/>
      <w:r>
        <w:rPr>
          <w:rFonts w:cs="Miriam"/>
          <w:lang w:val="he-IL"/>
        </w:rPr>
        <w:pict>
          <v:rect id="_x0000_s1081" style="position:absolute;left:0;text-align:left;margin-left:463.5pt;margin-top:8.05pt;width:75.05pt;height:10pt;z-index:251639296" filled="f" stroked="f" strokecolor="lime" strokeweight=".25pt">
            <v:textbox style="mso-next-textbox:#_x0000_s1081" inset="1mm,0,1mm,0">
              <w:txbxContent>
                <w:p w:rsidR="00657DE2" w:rsidRDefault="00657DE2">
                  <w:pPr>
                    <w:spacing w:line="160" w:lineRule="exact"/>
                    <w:rPr>
                      <w:rFonts w:cs="Miriam" w:hint="cs"/>
                      <w:noProof/>
                      <w:sz w:val="18"/>
                      <w:szCs w:val="18"/>
                      <w:rtl/>
                    </w:rPr>
                  </w:pPr>
                  <w:r>
                    <w:rPr>
                      <w:rFonts w:cs="Miriam" w:hint="cs"/>
                      <w:sz w:val="18"/>
                      <w:szCs w:val="18"/>
                      <w:rtl/>
                    </w:rPr>
                    <w:t>סייד לתחולה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הוראות חוק זה לא יחולו על כלי שיט צבאיים או על כלי שיט אחרים שהם בבעלות של מדינה, או המופעלים על ידי מדינה, ומשמשים באותה עת רק בשירות ממשלתי שאינו מסחרי.</w:t>
      </w:r>
    </w:p>
    <w:p w:rsidR="00657DE2" w:rsidRDefault="00657DE2">
      <w:pPr>
        <w:pStyle w:val="medium2-header"/>
        <w:keepLines w:val="0"/>
        <w:spacing w:before="72"/>
        <w:ind w:left="0" w:right="1134"/>
        <w:outlineLvl w:val="0"/>
        <w:rPr>
          <w:rFonts w:cs="FrankRuehl" w:hint="cs"/>
          <w:noProof/>
          <w:rtl/>
        </w:rPr>
      </w:pPr>
      <w:bookmarkStart w:id="4" w:name="med1"/>
      <w:bookmarkEnd w:id="4"/>
      <w:r>
        <w:rPr>
          <w:rFonts w:cs="FrankRuehl" w:hint="cs"/>
          <w:noProof/>
          <w:rtl/>
        </w:rPr>
        <w:t>פרק ב': חובת ביטוח ותעודת אישור</w:t>
      </w:r>
    </w:p>
    <w:p w:rsidR="00657DE2" w:rsidRDefault="00657DE2">
      <w:pPr>
        <w:pStyle w:val="P00"/>
        <w:spacing w:before="72"/>
        <w:ind w:left="0" w:right="1134"/>
        <w:rPr>
          <w:rStyle w:val="default"/>
          <w:rFonts w:cs="FrankRuehl" w:hint="cs"/>
          <w:rtl/>
        </w:rPr>
      </w:pPr>
      <w:bookmarkStart w:id="5" w:name="Seif4"/>
      <w:bookmarkEnd w:id="5"/>
      <w:r>
        <w:rPr>
          <w:rFonts w:cs="Miriam"/>
          <w:lang w:val="he-IL"/>
        </w:rPr>
        <w:pict>
          <v:rect id="_x0000_s1082" style="position:absolute;left:0;text-align:left;margin-left:463.5pt;margin-top:8.05pt;width:75.05pt;height:10pt;z-index:251640320" filled="f" stroked="f" strokecolor="lime" strokeweight=".25pt">
            <v:textbox style="mso-next-textbox:#_x0000_s1082" inset="1mm,0,1mm,0">
              <w:txbxContent>
                <w:p w:rsidR="00657DE2" w:rsidRDefault="00657DE2">
                  <w:pPr>
                    <w:spacing w:line="160" w:lineRule="exact"/>
                    <w:rPr>
                      <w:rFonts w:cs="Miriam" w:hint="cs"/>
                      <w:noProof/>
                      <w:sz w:val="18"/>
                      <w:szCs w:val="18"/>
                      <w:rtl/>
                    </w:rPr>
                  </w:pPr>
                  <w:r>
                    <w:rPr>
                      <w:rFonts w:cs="Miriam" w:hint="cs"/>
                      <w:sz w:val="18"/>
                      <w:szCs w:val="18"/>
                      <w:rtl/>
                    </w:rPr>
                    <w:t>חובת ביטוח</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בעל כלי שיט המוביל למעלה מ-2,000 טון שמן בצובר כמטען, חייב להחזיק פוליסת ביטוח או בטוחה כספית שהם בתוקף, ולפי חוק זה, בסכום שלא יפחת מהסכום הנדרש לכיסוי חבותו לנזק זיהום, בהתאם לקבוע בתוספת הראשונה.</w:t>
      </w:r>
    </w:p>
    <w:p w:rsidR="00657DE2" w:rsidRDefault="00657DE2">
      <w:pPr>
        <w:pStyle w:val="P00"/>
        <w:spacing w:before="72"/>
        <w:ind w:left="0" w:right="1134"/>
        <w:rPr>
          <w:rStyle w:val="default"/>
          <w:rFonts w:cs="FrankRuehl" w:hint="cs"/>
          <w:rtl/>
        </w:rPr>
      </w:pPr>
      <w:bookmarkStart w:id="6" w:name="Seif5"/>
      <w:bookmarkEnd w:id="6"/>
      <w:r>
        <w:rPr>
          <w:rFonts w:cs="Miriam"/>
          <w:lang w:val="he-IL"/>
        </w:rPr>
        <w:pict>
          <v:rect id="_x0000_s1083" style="position:absolute;left:0;text-align:left;margin-left:463.5pt;margin-top:8.05pt;width:75.05pt;height:10.05pt;z-index:251641344" filled="f" stroked="f" strokecolor="lime" strokeweight=".25pt">
            <v:textbox style="mso-next-textbox:#_x0000_s1083" inset="1mm,0,1mm,0">
              <w:txbxContent>
                <w:p w:rsidR="00657DE2" w:rsidRDefault="00657DE2">
                  <w:pPr>
                    <w:spacing w:line="160" w:lineRule="exact"/>
                    <w:rPr>
                      <w:rFonts w:cs="Miriam" w:hint="cs"/>
                      <w:noProof/>
                      <w:sz w:val="18"/>
                      <w:szCs w:val="18"/>
                      <w:rtl/>
                    </w:rPr>
                  </w:pPr>
                  <w:r>
                    <w:rPr>
                      <w:rFonts w:cs="Miriam" w:hint="cs"/>
                      <w:sz w:val="18"/>
                      <w:szCs w:val="18"/>
                      <w:rtl/>
                    </w:rPr>
                    <w:t>מתן תעודת אישור</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נוכח המנהל כי לבעל כלי שיט ישראלי פוליסת ביטוח או בטוחה כספית כאמור בסעיף 4, ייתן לכלי השיט תעודת אישור; תעודת האישור תהיה בשפות העברית והאנגלית, נוסחה יהיה כאמור בתוספת השניה ועותק שלה יופקד במרשם הישראלי כהגדרתו בחוק הספנות (כלי שיט).</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התחבורה, בהתייעצות עם שר האוצר, יקבע תנאים למתן תעודת אישור, במטרה להבטיח מלוא תשלום נזק זיהום לפי הוראות חוק זה, ובין השאר לענין זהות המבטח ואיתנותו הפיננסית והכלכלית, אופן דרכי פקיעת פוליסת הביטוח או הבטוחה הכספית ומועד פקיעתה.</w:t>
      </w:r>
    </w:p>
    <w:p w:rsidR="00657DE2" w:rsidRDefault="00657DE2">
      <w:pPr>
        <w:pStyle w:val="P00"/>
        <w:spacing w:before="72"/>
        <w:ind w:left="0" w:right="1134"/>
        <w:rPr>
          <w:rStyle w:val="default"/>
          <w:rFonts w:cs="FrankRuehl" w:hint="cs"/>
          <w:rtl/>
        </w:rPr>
      </w:pPr>
      <w:bookmarkStart w:id="7" w:name="Seif16"/>
      <w:bookmarkEnd w:id="7"/>
      <w:r>
        <w:rPr>
          <w:rFonts w:cs="Miriam"/>
          <w:lang w:val="he-IL"/>
        </w:rPr>
        <w:pict>
          <v:rect id="_x0000_s1096" style="position:absolute;left:0;text-align:left;margin-left:463.5pt;margin-top:8.05pt;width:75.05pt;height:21.7pt;z-index:251652608" filled="f" stroked="f" strokecolor="lime" strokeweight=".25pt">
            <v:textbox style="mso-next-textbox:#_x0000_s1096" inset="1mm,0,1mm,0">
              <w:txbxContent>
                <w:p w:rsidR="00657DE2" w:rsidRDefault="00657DE2">
                  <w:pPr>
                    <w:spacing w:line="160" w:lineRule="exact"/>
                    <w:rPr>
                      <w:rFonts w:cs="Miriam" w:hint="cs"/>
                      <w:noProof/>
                      <w:sz w:val="18"/>
                      <w:szCs w:val="18"/>
                      <w:rtl/>
                    </w:rPr>
                  </w:pPr>
                  <w:r>
                    <w:rPr>
                      <w:rFonts w:cs="Miriam" w:hint="cs"/>
                      <w:sz w:val="18"/>
                      <w:szCs w:val="18"/>
                      <w:rtl/>
                    </w:rPr>
                    <w:t>איסור השטה בלא תעודת אישור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ישיט אדם כלי שיט ישראלי שחלה עליו חובת ביטוח או בטוחה כספית לפי סעיף 4 אלא אם כן יש בכלי השיט תעודת אישור תקפה לפי הטופס שבתוספת השניה.</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ישיט אדם אל נמל בישראל או מנמל בישראל, כלי שיט שאינו ישראלי שחלות עליו החובות לפי סעיף 4 אלא אם כן יש בכלי השיט תעודת אישור תקפה.</w:t>
      </w:r>
    </w:p>
    <w:p w:rsidR="00657DE2" w:rsidRDefault="00657DE2">
      <w:pPr>
        <w:pStyle w:val="P00"/>
        <w:spacing w:before="72"/>
        <w:ind w:left="0" w:right="1134"/>
        <w:rPr>
          <w:rStyle w:val="default"/>
          <w:rFonts w:cs="FrankRuehl" w:hint="cs"/>
          <w:rtl/>
        </w:rPr>
      </w:pPr>
      <w:bookmarkStart w:id="8" w:name="Seif17"/>
      <w:bookmarkEnd w:id="8"/>
      <w:r>
        <w:rPr>
          <w:rFonts w:cs="Miriam"/>
          <w:lang w:val="he-IL"/>
        </w:rPr>
        <w:pict>
          <v:rect id="_x0000_s1097" style="position:absolute;left:0;text-align:left;margin-left:463.5pt;margin-top:8.05pt;width:75.05pt;height:13.2pt;z-index:251653632" filled="f" stroked="f" strokecolor="lime" strokeweight=".25pt">
            <v:textbox style="mso-next-textbox:#_x0000_s1097" inset="1mm,0,1mm,0">
              <w:txbxContent>
                <w:p w:rsidR="00657DE2" w:rsidRDefault="00657DE2">
                  <w:pPr>
                    <w:spacing w:line="160" w:lineRule="exact"/>
                    <w:rPr>
                      <w:rFonts w:cs="Miriam" w:hint="cs"/>
                      <w:noProof/>
                      <w:sz w:val="18"/>
                      <w:szCs w:val="18"/>
                      <w:rtl/>
                    </w:rPr>
                  </w:pPr>
                  <w:r>
                    <w:rPr>
                      <w:rFonts w:cs="Miriam" w:hint="cs"/>
                      <w:sz w:val="18"/>
                      <w:szCs w:val="18"/>
                      <w:rtl/>
                    </w:rPr>
                    <w:t>פיקוח</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המנהל רשאי לעלות על כלי שיט בכל עת כדי לפקח על קיום הוראות פרק זה.</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להורות למנהל נמל שלא להרשות כניסת כלי שיט שאינו ישראלי לתחום נמל אם הוא אינו נושא תעודת אישור תקפה, או למנוע יציאתו של כלי שיט כאמור מתחום נמל, עד שיוכיח להנחת דעת המנהל כי הוא נושא תעודת אישור כאמור.</w:t>
      </w:r>
    </w:p>
    <w:p w:rsidR="00657DE2" w:rsidRDefault="00657DE2">
      <w:pPr>
        <w:pStyle w:val="medium2-header"/>
        <w:keepLines w:val="0"/>
        <w:spacing w:before="72"/>
        <w:ind w:left="0" w:right="1134"/>
        <w:outlineLvl w:val="0"/>
        <w:rPr>
          <w:rFonts w:cs="FrankRuehl" w:hint="cs"/>
          <w:noProof/>
          <w:rtl/>
        </w:rPr>
      </w:pPr>
      <w:bookmarkStart w:id="9" w:name="med2"/>
      <w:bookmarkEnd w:id="9"/>
      <w:r>
        <w:rPr>
          <w:rFonts w:cs="FrankRuehl" w:hint="cs"/>
          <w:noProof/>
          <w:rtl/>
        </w:rPr>
        <w:t>פרק ג': אחריות</w:t>
      </w:r>
    </w:p>
    <w:p w:rsidR="00657DE2" w:rsidRDefault="00657DE2">
      <w:pPr>
        <w:pStyle w:val="header-2"/>
        <w:ind w:left="0" w:right="1134"/>
        <w:rPr>
          <w:rFonts w:cs="Miriam" w:hint="cs"/>
          <w:rtl/>
        </w:rPr>
      </w:pPr>
      <w:bookmarkStart w:id="10" w:name="hed20"/>
      <w:bookmarkEnd w:id="10"/>
      <w:r>
        <w:rPr>
          <w:rFonts w:cs="Miriam" w:hint="cs"/>
          <w:rtl/>
        </w:rPr>
        <w:t>סימן א': היקף האחריות של בעל כלי שיט</w:t>
      </w:r>
    </w:p>
    <w:p w:rsidR="00657DE2" w:rsidRDefault="00657DE2">
      <w:pPr>
        <w:pStyle w:val="P00"/>
        <w:spacing w:before="72"/>
        <w:ind w:left="0" w:right="1134"/>
        <w:rPr>
          <w:rStyle w:val="default"/>
          <w:rFonts w:cs="FrankRuehl" w:hint="cs"/>
          <w:rtl/>
        </w:rPr>
      </w:pPr>
      <w:bookmarkStart w:id="11" w:name="Seif6"/>
      <w:bookmarkEnd w:id="11"/>
      <w:r>
        <w:rPr>
          <w:rFonts w:cs="Miriam"/>
          <w:lang w:val="he-IL"/>
        </w:rPr>
        <w:pict>
          <v:rect id="_x0000_s1086" style="position:absolute;left:0;text-align:left;margin-left:463.5pt;margin-top:8.05pt;width:75.05pt;height:11.3pt;z-index:251642368" filled="f" stroked="f" strokecolor="lime" strokeweight=".25pt">
            <v:textbox style="mso-next-textbox:#_x0000_s1086" inset="1mm,0,1mm,0">
              <w:txbxContent>
                <w:p w:rsidR="00657DE2" w:rsidRDefault="00657DE2">
                  <w:pPr>
                    <w:spacing w:line="160" w:lineRule="exact"/>
                    <w:rPr>
                      <w:rFonts w:cs="Miriam" w:hint="cs"/>
                      <w:noProof/>
                      <w:sz w:val="18"/>
                      <w:szCs w:val="18"/>
                      <w:rtl/>
                    </w:rPr>
                  </w:pPr>
                  <w:r>
                    <w:rPr>
                      <w:rFonts w:cs="Miriam" w:hint="cs"/>
                      <w:sz w:val="18"/>
                      <w:szCs w:val="18"/>
                      <w:rtl/>
                    </w:rPr>
                    <w:t>אחריות בנזיקין</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נגרם נזק זיהום יהיה אחראי לנזק שנגרם </w:t>
      </w:r>
      <w:r>
        <w:rPr>
          <w:rStyle w:val="default"/>
          <w:rFonts w:cs="FrankRuehl"/>
          <w:rtl/>
        </w:rPr>
        <w:t>–</w:t>
      </w:r>
    </w:p>
    <w:p w:rsidR="00657DE2" w:rsidRDefault="00657D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בתקרית שהיא אירוע </w:t>
      </w:r>
      <w:r>
        <w:rPr>
          <w:rStyle w:val="default"/>
          <w:rFonts w:cs="FrankRuehl"/>
          <w:rtl/>
        </w:rPr>
        <w:t>–</w:t>
      </w:r>
      <w:r>
        <w:rPr>
          <w:rStyle w:val="default"/>
          <w:rFonts w:cs="FrankRuehl" w:hint="cs"/>
          <w:rtl/>
        </w:rPr>
        <w:t xml:space="preserve"> בעל כלי השיט בזמן התקרית;</w:t>
      </w:r>
    </w:p>
    <w:p w:rsidR="00657DE2" w:rsidRDefault="00657D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בתקרית שהיא סדרת אירועים שמקורם אחד </w:t>
      </w:r>
      <w:r>
        <w:rPr>
          <w:rStyle w:val="default"/>
          <w:rFonts w:cs="FrankRuehl"/>
          <w:rtl/>
        </w:rPr>
        <w:t>–</w:t>
      </w:r>
      <w:r>
        <w:rPr>
          <w:rStyle w:val="default"/>
          <w:rFonts w:cs="FrankRuehl" w:hint="cs"/>
          <w:rtl/>
        </w:rPr>
        <w:t xml:space="preserve"> מי שהיה בעל כלי השיט בזמן האירוע הראשון.</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נגרם נזק זיהום כתוצאה מתקרית שבה מעורבים שני כלי שיט או יותר, יהיו כל בעלי כלי השיט המעורבים בתקרית, יחד ולחוד, אחראים לנזק הזיהום שאי אפשר להפרידו ביניהם באופן סביר.</w:t>
      </w:r>
    </w:p>
    <w:p w:rsidR="00657DE2" w:rsidRDefault="00657DE2">
      <w:pPr>
        <w:pStyle w:val="P00"/>
        <w:spacing w:before="72"/>
        <w:ind w:left="0" w:right="1134"/>
        <w:rPr>
          <w:rStyle w:val="default"/>
          <w:rFonts w:cs="FrankRuehl" w:hint="cs"/>
          <w:rtl/>
        </w:rPr>
      </w:pPr>
      <w:bookmarkStart w:id="12" w:name="Seif7"/>
      <w:bookmarkEnd w:id="12"/>
      <w:r>
        <w:rPr>
          <w:rFonts w:cs="Miriam"/>
          <w:lang w:val="he-IL"/>
        </w:rPr>
        <w:pict>
          <v:rect id="_x0000_s1087" style="position:absolute;left:0;text-align:left;margin-left:463.5pt;margin-top:8.05pt;width:75.05pt;height:9.7pt;z-index:251643392" filled="f" stroked="f" strokecolor="lime" strokeweight=".25pt">
            <v:textbox style="mso-next-textbox:#_x0000_s1087" inset="1mm,0,1mm,0">
              <w:txbxContent>
                <w:p w:rsidR="00657DE2" w:rsidRDefault="00657DE2">
                  <w:pPr>
                    <w:spacing w:line="160" w:lineRule="exact"/>
                    <w:rPr>
                      <w:rFonts w:cs="Miriam" w:hint="cs"/>
                      <w:noProof/>
                      <w:sz w:val="18"/>
                      <w:szCs w:val="18"/>
                      <w:rtl/>
                    </w:rPr>
                  </w:pPr>
                  <w:r>
                    <w:rPr>
                      <w:rFonts w:cs="Miriam" w:hint="cs"/>
                      <w:sz w:val="18"/>
                      <w:szCs w:val="18"/>
                      <w:rtl/>
                    </w:rPr>
                    <w:t>פטור מאחריות</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בעל כלי שיט יהיה פטור מאחריותו לגרימת נזק זיהום לפי הוראות סעיף 8 אם הוכח אחד מאלה:</w:t>
      </w:r>
    </w:p>
    <w:p w:rsidR="00657DE2" w:rsidRDefault="00657D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נזק הזיהום נגרם כתוצאה מפעילות מלחמתית, מסכסוך מזוין או מפעילות עוינת, ממלחמת אזרחים, ממרי, או מתופעת טבע חריגה שלא ניתן להימנע ממנה ושאי אפשר לעמוד בפניה;</w:t>
      </w:r>
    </w:p>
    <w:p w:rsidR="00657DE2" w:rsidRDefault="00657D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נזק הזיהום נגרם, בשלמותו, בשל מעשה או מחדל של צד שלישי, לרבות הניזוק, במטרה לגרום נזק;</w:t>
      </w:r>
    </w:p>
    <w:p w:rsidR="00657DE2" w:rsidRDefault="00657DE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נזק הזיהום נגרם, בשלמותו, בשל רשלנות או התנהגות פסולה אחרת של רושת שלטונית או רשות אחרת, האחראית לפי דין לאחזקה או להפעלה של אורות או עזרי ניווט אחרים, בעת ביצוע תפקידה.</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הוכיח בעל כלי שיט כי נזק הזיהום נגרם, בשלמותו או בחלקו, ממעשה או ממחדל של הניזוק במטרה לגרום נזק, או בשל רשלנותו של הניזוק, רשאי בית המשפט לפטרו, באופן מלא או חלקי, מאחריותו לפי סעיף 8 כלפי אותו ניזוק.</w:t>
      </w:r>
    </w:p>
    <w:p w:rsidR="00657DE2" w:rsidRDefault="00657DE2">
      <w:pPr>
        <w:pStyle w:val="header-2"/>
        <w:ind w:left="0" w:right="1134"/>
        <w:rPr>
          <w:rFonts w:cs="Miriam" w:hint="cs"/>
          <w:rtl/>
        </w:rPr>
      </w:pPr>
      <w:bookmarkStart w:id="13" w:name="hed21"/>
      <w:bookmarkEnd w:id="13"/>
      <w:r>
        <w:rPr>
          <w:rFonts w:cs="Miriam" w:hint="cs"/>
          <w:rtl/>
        </w:rPr>
        <w:t>סימן ב': היקף חבותו של בעל כלי שיט</w:t>
      </w:r>
    </w:p>
    <w:p w:rsidR="00657DE2" w:rsidRDefault="00657DE2">
      <w:pPr>
        <w:pStyle w:val="P00"/>
        <w:spacing w:before="72"/>
        <w:ind w:left="0" w:right="1134"/>
        <w:rPr>
          <w:rStyle w:val="default"/>
          <w:rFonts w:cs="FrankRuehl" w:hint="cs"/>
          <w:rtl/>
        </w:rPr>
      </w:pPr>
      <w:bookmarkStart w:id="14" w:name="Seif8"/>
      <w:bookmarkEnd w:id="14"/>
      <w:r>
        <w:rPr>
          <w:rFonts w:cs="Miriam"/>
          <w:lang w:val="he-IL"/>
        </w:rPr>
        <w:pict>
          <v:rect id="_x0000_s1088" style="position:absolute;left:0;text-align:left;margin-left:463.5pt;margin-top:8.05pt;width:75.05pt;height:18.9pt;z-index:251644416" filled="f" stroked="f" strokecolor="lime" strokeweight=".25pt">
            <v:textbox style="mso-next-textbox:#_x0000_s1088" inset="1mm,0,1mm,0">
              <w:txbxContent>
                <w:p w:rsidR="00657DE2" w:rsidRDefault="00657DE2">
                  <w:pPr>
                    <w:spacing w:line="160" w:lineRule="exact"/>
                    <w:rPr>
                      <w:rFonts w:cs="Miriam" w:hint="cs"/>
                      <w:noProof/>
                      <w:sz w:val="18"/>
                      <w:szCs w:val="18"/>
                      <w:rtl/>
                    </w:rPr>
                  </w:pPr>
                  <w:r>
                    <w:rPr>
                      <w:rFonts w:cs="Miriam" w:hint="cs"/>
                      <w:sz w:val="18"/>
                      <w:szCs w:val="18"/>
                      <w:rtl/>
                    </w:rPr>
                    <w:t>הגבלת חבות לנזק זיהום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בעל כלי שיט רשאי, בהתאם להוראות חוק זה, להגביל את חבותו לנזק זיהום, לכל תקרית שאירעה, לסכומים שיחושבו כאמור בתוספת הראשונה, בהתאם לתפוסת כלי השיט.</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תפוסת כלי השיט תחושב לפי הוראות האמנה הבין-לאומית בדבר מדידת תפוסתן של אניות, שנחתמה בלונדון ביום 25 ביוני 1969</w:t>
      </w:r>
      <w:r>
        <w:rPr>
          <w:rStyle w:val="default"/>
          <w:sz w:val="22"/>
          <w:szCs w:val="22"/>
          <w:rtl/>
        </w:rPr>
        <w:footnoteReference w:customMarkFollows="1" w:id="3"/>
        <w:t>*</w:t>
      </w:r>
      <w:r>
        <w:rPr>
          <w:rStyle w:val="default"/>
          <w:rFonts w:cs="FrankRuehl" w:hint="cs"/>
          <w:rtl/>
        </w:rPr>
        <w:t>.</w:t>
      </w:r>
    </w:p>
    <w:p w:rsidR="00657DE2" w:rsidRDefault="00657DE2">
      <w:pPr>
        <w:pStyle w:val="P00"/>
        <w:spacing w:before="72"/>
        <w:ind w:left="0" w:right="1134"/>
        <w:rPr>
          <w:rStyle w:val="default"/>
          <w:rFonts w:cs="FrankRuehl" w:hint="cs"/>
          <w:rtl/>
        </w:rPr>
      </w:pPr>
      <w:bookmarkStart w:id="15" w:name="Seif9"/>
      <w:bookmarkEnd w:id="15"/>
      <w:r>
        <w:rPr>
          <w:rFonts w:cs="Miriam"/>
          <w:lang w:val="he-IL"/>
        </w:rPr>
        <w:pict>
          <v:rect id="_x0000_s1089" style="position:absolute;left:0;text-align:left;margin-left:463.5pt;margin-top:8.05pt;width:75.05pt;height:10.3pt;z-index:251645440" filled="f" stroked="f" strokecolor="lime" strokeweight=".25pt">
            <v:textbox style="mso-next-textbox:#_x0000_s1089" inset="1mm,0,1mm,0">
              <w:txbxContent>
                <w:p w:rsidR="00657DE2" w:rsidRDefault="00657DE2">
                  <w:pPr>
                    <w:spacing w:line="160" w:lineRule="exact"/>
                    <w:rPr>
                      <w:rFonts w:cs="Miriam" w:hint="cs"/>
                      <w:noProof/>
                      <w:sz w:val="18"/>
                      <w:szCs w:val="18"/>
                      <w:rtl/>
                    </w:rPr>
                  </w:pPr>
                  <w:r>
                    <w:rPr>
                      <w:rFonts w:cs="Miriam" w:hint="cs"/>
                      <w:sz w:val="18"/>
                      <w:szCs w:val="18"/>
                      <w:rtl/>
                    </w:rPr>
                    <w:t>סייג</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על אף האמור בסעיף 10, בעל כלי שיט אינו רשאי להגביל את חבותו לנזק זיהום אם הוכח שנזק הזיהום נגרם ממעשה או ממחדל שלו שנעשה בכוונה לגרום לנזק האמור, או בקלות דעת ביודעו כי המעשה או המחדל יגרום, קרוב לודאי, להתרחשות הנזק.</w:t>
      </w:r>
    </w:p>
    <w:p w:rsidR="00657DE2" w:rsidRDefault="00657DE2">
      <w:pPr>
        <w:pStyle w:val="header-2"/>
        <w:ind w:left="0" w:right="1134"/>
        <w:rPr>
          <w:rFonts w:cs="Miriam" w:hint="cs"/>
          <w:rtl/>
        </w:rPr>
      </w:pPr>
      <w:bookmarkStart w:id="16" w:name="hed22"/>
      <w:bookmarkEnd w:id="16"/>
      <w:r>
        <w:rPr>
          <w:rFonts w:cs="Miriam" w:hint="cs"/>
          <w:rtl/>
        </w:rPr>
        <w:t>סימן ג': היקף חבותו של המבטח</w:t>
      </w:r>
    </w:p>
    <w:p w:rsidR="00657DE2" w:rsidRDefault="00657DE2">
      <w:pPr>
        <w:pStyle w:val="P00"/>
        <w:spacing w:before="72"/>
        <w:ind w:left="0" w:right="1134"/>
        <w:rPr>
          <w:rStyle w:val="default"/>
          <w:rFonts w:cs="FrankRuehl" w:hint="cs"/>
          <w:rtl/>
        </w:rPr>
      </w:pPr>
      <w:bookmarkStart w:id="17" w:name="Seif10"/>
      <w:bookmarkEnd w:id="17"/>
      <w:r>
        <w:rPr>
          <w:rFonts w:cs="Miriam"/>
          <w:lang w:val="he-IL"/>
        </w:rPr>
        <w:pict>
          <v:rect id="_x0000_s1090" style="position:absolute;left:0;text-align:left;margin-left:463.5pt;margin-top:8.05pt;width:75.05pt;height:22.55pt;z-index:251646464" filled="f" stroked="f" strokecolor="lime" strokeweight=".25pt">
            <v:textbox style="mso-next-textbox:#_x0000_s1090" inset="1mm,0,1mm,0">
              <w:txbxContent>
                <w:p w:rsidR="00657DE2" w:rsidRDefault="00657DE2">
                  <w:pPr>
                    <w:spacing w:line="160" w:lineRule="exact"/>
                    <w:rPr>
                      <w:rFonts w:cs="Miriam" w:hint="cs"/>
                      <w:noProof/>
                      <w:sz w:val="18"/>
                      <w:szCs w:val="18"/>
                      <w:rtl/>
                    </w:rPr>
                  </w:pPr>
                  <w:r>
                    <w:rPr>
                      <w:rFonts w:cs="Miriam" w:hint="cs"/>
                      <w:sz w:val="18"/>
                      <w:szCs w:val="18"/>
                      <w:rtl/>
                    </w:rPr>
                    <w:t>הגבלת חבות המבטח</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חבותו של מבטח או של מי שהמציא בטוחה כספית (בסימן זה ובסימן ד' </w:t>
      </w:r>
      <w:r>
        <w:rPr>
          <w:rStyle w:val="default"/>
          <w:rFonts w:cs="FrankRuehl"/>
          <w:rtl/>
        </w:rPr>
        <w:t>–</w:t>
      </w:r>
      <w:r>
        <w:rPr>
          <w:rStyle w:val="default"/>
          <w:rFonts w:cs="FrankRuehl" w:hint="cs"/>
          <w:rtl/>
        </w:rPr>
        <w:t xml:space="preserve"> המבטח), מוגבלת, לכל תקרית, לאותו הסכום שאליו זכאי בעל כלי השיט להגביל את חבותו לפי הוראות סעיף 10.</w:t>
      </w:r>
    </w:p>
    <w:p w:rsidR="00657DE2" w:rsidRDefault="00657DE2">
      <w:pPr>
        <w:pStyle w:val="P00"/>
        <w:spacing w:before="72"/>
        <w:ind w:left="0" w:right="1134"/>
        <w:rPr>
          <w:rStyle w:val="default"/>
          <w:rFonts w:cs="FrankRuehl" w:hint="cs"/>
          <w:rtl/>
        </w:rPr>
      </w:pPr>
      <w:bookmarkStart w:id="18" w:name="Seif11"/>
      <w:bookmarkEnd w:id="18"/>
      <w:r>
        <w:rPr>
          <w:rFonts w:cs="Miriam"/>
          <w:lang w:val="he-IL"/>
        </w:rPr>
        <w:pict>
          <v:rect id="_x0000_s1091" style="position:absolute;left:0;text-align:left;margin-left:463.5pt;margin-top:8.05pt;width:75.05pt;height:10pt;z-index:251647488" filled="f" stroked="f" strokecolor="lime" strokeweight=".25pt">
            <v:textbox style="mso-next-textbox:#_x0000_s1091" inset="1mm,0,1mm,0">
              <w:txbxContent>
                <w:p w:rsidR="00657DE2" w:rsidRDefault="00657DE2">
                  <w:pPr>
                    <w:spacing w:line="160" w:lineRule="exact"/>
                    <w:rPr>
                      <w:rFonts w:cs="Miriam" w:hint="cs"/>
                      <w:noProof/>
                      <w:sz w:val="18"/>
                      <w:szCs w:val="18"/>
                      <w:rtl/>
                    </w:rPr>
                  </w:pPr>
                  <w:r>
                    <w:rPr>
                      <w:rFonts w:cs="Miriam" w:hint="cs"/>
                      <w:sz w:val="18"/>
                      <w:szCs w:val="18"/>
                      <w:rtl/>
                    </w:rPr>
                    <w:t>הגנות המבטח</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הוגשה תביעה נגד המבטח יחולו הוראות אלה:</w:t>
      </w:r>
    </w:p>
    <w:p w:rsidR="00657DE2" w:rsidRDefault="00657DE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המבטח רשאי להתגונן בעילות הפטור המפורטות בסעיף 9(א)(1) עד (3) ו-(ב);</w:t>
      </w:r>
    </w:p>
    <w:p w:rsidR="00657DE2" w:rsidRDefault="00657DE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המבטח רשאי להתגונן בטענה שנזק הזיהום נגרם בשל התנהגות פסולה ומכוונת של בעל כלי השיט;</w:t>
      </w:r>
    </w:p>
    <w:p w:rsidR="00657DE2" w:rsidRDefault="00657DE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המבטח לא יהיה רשאי להתגונן בטענה שבעל כלי השיט נמצא בהליכי פירוק או פשיטת רגל;</w:t>
      </w:r>
    </w:p>
    <w:p w:rsidR="00657DE2" w:rsidRDefault="00657DE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המבטח לא יהיה רשאי להתגונן בכל טענה אחרת שהיה יכול להתגונן בה אילו נתבע על ידי בעל כלי השיט.</w:t>
      </w:r>
    </w:p>
    <w:p w:rsidR="00657DE2" w:rsidRDefault="00657DE2">
      <w:pPr>
        <w:pStyle w:val="P00"/>
        <w:spacing w:before="72"/>
        <w:ind w:left="0" w:right="1134"/>
        <w:rPr>
          <w:rStyle w:val="default"/>
          <w:rFonts w:cs="FrankRuehl" w:hint="cs"/>
          <w:rtl/>
        </w:rPr>
      </w:pPr>
      <w:bookmarkStart w:id="19" w:name="Seif12"/>
      <w:bookmarkEnd w:id="19"/>
      <w:r>
        <w:rPr>
          <w:rFonts w:cs="Miriam"/>
          <w:lang w:val="he-IL"/>
        </w:rPr>
        <w:pict>
          <v:rect id="_x0000_s1092" style="position:absolute;left:0;text-align:left;margin-left:463.5pt;margin-top:8.05pt;width:75.05pt;height:10pt;z-index:251648512" filled="f" stroked="f" strokecolor="lime" strokeweight=".25pt">
            <v:textbox style="mso-next-textbox:#_x0000_s1092" inset="1mm,0,1mm,0">
              <w:txbxContent>
                <w:p w:rsidR="00657DE2" w:rsidRDefault="00657DE2">
                  <w:pPr>
                    <w:spacing w:line="160" w:lineRule="exact"/>
                    <w:rPr>
                      <w:rFonts w:cs="Miriam" w:hint="cs"/>
                      <w:noProof/>
                      <w:sz w:val="18"/>
                      <w:szCs w:val="18"/>
                      <w:rtl/>
                    </w:rPr>
                  </w:pPr>
                  <w:r>
                    <w:rPr>
                      <w:rFonts w:cs="Miriam" w:hint="cs"/>
                      <w:sz w:val="18"/>
                      <w:szCs w:val="18"/>
                      <w:rtl/>
                    </w:rPr>
                    <w:t>ייחוד כספים</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הסכומים הקבועים בפוליסת הביטוח או בבטוחה הכספית שניתנו לפי חוק זה יעמדו באופן בלעדי לצורך פיצויים לפי חוק זה.</w:t>
      </w:r>
    </w:p>
    <w:p w:rsidR="00657DE2" w:rsidRDefault="00657DE2">
      <w:pPr>
        <w:pStyle w:val="header-2"/>
        <w:ind w:left="0" w:right="1134"/>
        <w:rPr>
          <w:rFonts w:cs="Miriam" w:hint="cs"/>
          <w:rtl/>
        </w:rPr>
      </w:pPr>
      <w:bookmarkStart w:id="20" w:name="hed23"/>
      <w:bookmarkEnd w:id="20"/>
      <w:r>
        <w:rPr>
          <w:rFonts w:cs="Miriam" w:hint="cs"/>
          <w:rtl/>
        </w:rPr>
        <w:t>סימן ד': הקמת קרן הגבלה</w:t>
      </w:r>
    </w:p>
    <w:p w:rsidR="00657DE2" w:rsidRDefault="00657DE2">
      <w:pPr>
        <w:pStyle w:val="P00"/>
        <w:spacing w:before="72"/>
        <w:ind w:left="0" w:right="1134"/>
        <w:rPr>
          <w:rStyle w:val="default"/>
          <w:rFonts w:cs="FrankRuehl" w:hint="cs"/>
          <w:rtl/>
        </w:rPr>
      </w:pPr>
      <w:bookmarkStart w:id="21" w:name="Seif18"/>
      <w:bookmarkEnd w:id="21"/>
      <w:r>
        <w:rPr>
          <w:rFonts w:cs="Miriam"/>
          <w:lang w:val="he-IL"/>
        </w:rPr>
        <w:pict>
          <v:rect id="_x0000_s1098" style="position:absolute;left:0;text-align:left;margin-left:463.5pt;margin-top:8.05pt;width:75.05pt;height:20.6pt;z-index:251654656" filled="f" stroked="f" strokecolor="lime" strokeweight=".25pt">
            <v:textbox style="mso-next-textbox:#_x0000_s1098" inset="1mm,0,1mm,0">
              <w:txbxContent>
                <w:p w:rsidR="00657DE2" w:rsidRDefault="00657DE2">
                  <w:pPr>
                    <w:spacing w:line="160" w:lineRule="exact"/>
                    <w:rPr>
                      <w:rFonts w:cs="Miriam" w:hint="cs"/>
                      <w:noProof/>
                      <w:sz w:val="18"/>
                      <w:szCs w:val="18"/>
                      <w:rtl/>
                    </w:rPr>
                  </w:pPr>
                  <w:r>
                    <w:rPr>
                      <w:rFonts w:cs="Miriam" w:hint="cs"/>
                      <w:sz w:val="18"/>
                      <w:szCs w:val="18"/>
                      <w:rtl/>
                    </w:rPr>
                    <w:t>התנאים להקמת קרן הגבלה</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בעל כלי שיט המעוניין להגביל את חבותו כאמור בסעיף 10 יגיש בקשה לבית המשפט לקבלת אישור להקמת קרן להגבלה חבותו (להלן </w:t>
      </w:r>
      <w:r>
        <w:rPr>
          <w:rStyle w:val="default"/>
          <w:rFonts w:cs="FrankRuehl"/>
          <w:rtl/>
        </w:rPr>
        <w:t>–</w:t>
      </w:r>
      <w:r>
        <w:rPr>
          <w:rStyle w:val="default"/>
          <w:rFonts w:cs="FrankRuehl" w:hint="cs"/>
          <w:rtl/>
        </w:rPr>
        <w:t xml:space="preserve"> קרן הגבלה); לבקשה תצורף רשימת התביעות לפיצויים, הידועות לו באותה שעה, שברצונו להכפיפן להגבלת החבות, וכן יודיע על כל תביעה נוספת כאמור שנודע לו עליה אחרי הגשת הבקשה.</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הרמת קרן הגבלה בידי בית המשפט מותנה בהפקדת סכום ההגבלה בבית המשפט או בהמצאת ערבות בנקאית או בטוחה כספית אחרת בגובה סכום ההגבלה, לבית המשפט; אין במתן אישור לפי סעיף קטן זה כדי להכריע בשאלת זכאותו של בעל כלי השיט להגביל את חבותו לפי הוראות חוק זה.</w:t>
      </w:r>
    </w:p>
    <w:p w:rsidR="00657DE2" w:rsidRDefault="00657DE2">
      <w:pPr>
        <w:pStyle w:val="P00"/>
        <w:spacing w:before="72"/>
        <w:ind w:left="0" w:right="1134"/>
        <w:rPr>
          <w:rStyle w:val="default"/>
          <w:rFonts w:cs="FrankRuehl" w:hint="cs"/>
          <w:rtl/>
        </w:rPr>
      </w:pPr>
      <w:bookmarkStart w:id="22" w:name="Seif19"/>
      <w:bookmarkEnd w:id="22"/>
      <w:r>
        <w:rPr>
          <w:rFonts w:cs="Miriam"/>
          <w:lang w:val="he-IL"/>
        </w:rPr>
        <w:pict>
          <v:rect id="_x0000_s1099" style="position:absolute;left:0;text-align:left;margin-left:463.5pt;margin-top:8.05pt;width:75.05pt;height:21pt;z-index:251655680" filled="f" stroked="f" strokecolor="lime" strokeweight=".25pt">
            <v:textbox style="mso-next-textbox:#_x0000_s1099" inset="1mm,0,1mm,0">
              <w:txbxContent>
                <w:p w:rsidR="00657DE2" w:rsidRDefault="00657DE2">
                  <w:pPr>
                    <w:spacing w:line="160" w:lineRule="exact"/>
                    <w:rPr>
                      <w:rFonts w:cs="Miriam" w:hint="cs"/>
                      <w:noProof/>
                      <w:sz w:val="18"/>
                      <w:szCs w:val="18"/>
                      <w:rtl/>
                    </w:rPr>
                  </w:pPr>
                  <w:r>
                    <w:rPr>
                      <w:rFonts w:cs="Miriam" w:hint="cs"/>
                      <w:sz w:val="18"/>
                      <w:szCs w:val="18"/>
                      <w:rtl/>
                    </w:rPr>
                    <w:t>בקשת מבטח להקמת קרן הגבלה</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מבטח רשאי להקים קרן הגבלה; הקמת קרן הגבלה לפי סעיף זה תהיה בהתאם להוראות סעיף 15, בשינויים המחויבים, ויחול עליה הדין החל על קרן הגבלה שהוקמה לפי סעיף 15.</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מבטח רשאי להקים קרן הגבלה גם אם בעל כלי השיט אינו רשאי להגביל את חבותו לפי הוראות סעיף 11; הקמת קרן הגבלה לפי סעיף זה לא תגרע מזכותו של תובע להגיש תביעה לפיצויים נגד בעל כלי השיט.</w:t>
      </w:r>
    </w:p>
    <w:p w:rsidR="00657DE2" w:rsidRDefault="00657D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הוגשה בקשה לקבלת אישור להקמת קרן הגבלה, הן על ידי בעל גלי השיט והן על ידי מבטח, בשל אותה תקרית, יראו כל סכום שהופקד בבית המשפט, או כל ערבות בנקאית או בטוחה כספית שניתנו לבית המשפט, לצורך קבלת אישור להקמת אחת מקרנות ההגבלה האמורות, כאילו הופקד או ניתן גם לצורך קבלת אישור להקמת קרן ההגבלה השניה.</w:t>
      </w:r>
    </w:p>
    <w:p w:rsidR="00657DE2" w:rsidRDefault="00657DE2">
      <w:pPr>
        <w:pStyle w:val="P00"/>
        <w:spacing w:before="72"/>
        <w:ind w:left="0" w:right="1134"/>
        <w:rPr>
          <w:rStyle w:val="default"/>
          <w:rFonts w:cs="FrankRuehl" w:hint="cs"/>
          <w:rtl/>
        </w:rPr>
      </w:pPr>
      <w:bookmarkStart w:id="23" w:name="Seif20"/>
      <w:bookmarkEnd w:id="23"/>
      <w:r>
        <w:rPr>
          <w:rFonts w:cs="Miriam"/>
          <w:lang w:val="he-IL"/>
        </w:rPr>
        <w:pict>
          <v:rect id="_x0000_s1100" style="position:absolute;left:0;text-align:left;margin-left:463.5pt;margin-top:8.05pt;width:75.05pt;height:29.9pt;z-index:251656704" filled="f" stroked="f" strokecolor="lime" strokeweight=".25pt">
            <v:textbox style="mso-next-textbox:#_x0000_s1100" inset="1mm,0,1mm,0">
              <w:txbxContent>
                <w:p w:rsidR="00657DE2" w:rsidRDefault="00657DE2">
                  <w:pPr>
                    <w:spacing w:line="160" w:lineRule="exact"/>
                    <w:rPr>
                      <w:rFonts w:cs="Miriam" w:hint="cs"/>
                      <w:noProof/>
                      <w:sz w:val="18"/>
                      <w:szCs w:val="18"/>
                      <w:rtl/>
                    </w:rPr>
                  </w:pPr>
                  <w:r>
                    <w:rPr>
                      <w:rFonts w:cs="Miriam" w:hint="cs"/>
                      <w:sz w:val="18"/>
                      <w:szCs w:val="18"/>
                      <w:rtl/>
                    </w:rPr>
                    <w:t>עיכוב הליכים אחרי הגשת בקשה להקמת קרן הגבלה</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הוגשה בקשה להקמת קרן הגבלה רשאי בית המשפט לעכב בצו את הדיון בכל תביעה לפיצויים שהוגשה לפי הוראות חוק זה, וכן כל פעולה של הוצאה לפועל או של כל סעד, לרבות בעד זמני, שניתן בהליך אזרחי אחר, נגד בעל כלי השיט, שענינם נזק זיהום שבשלו מתבקשת הקמת הקרן; צו לפי סעיף זה יעמוד בתוקפו עד למתן החלטה לפי סעיף 18.</w:t>
      </w:r>
    </w:p>
    <w:p w:rsidR="00657DE2" w:rsidRDefault="00657DE2">
      <w:pPr>
        <w:pStyle w:val="P00"/>
        <w:spacing w:before="72"/>
        <w:ind w:left="0" w:right="1134"/>
        <w:rPr>
          <w:rStyle w:val="default"/>
          <w:rFonts w:cs="FrankRuehl" w:hint="cs"/>
          <w:rtl/>
        </w:rPr>
      </w:pPr>
      <w:bookmarkStart w:id="24" w:name="Seif21"/>
      <w:bookmarkEnd w:id="24"/>
      <w:r>
        <w:rPr>
          <w:rFonts w:cs="Miriam"/>
          <w:lang w:val="he-IL"/>
        </w:rPr>
        <w:pict>
          <v:rect id="_x0000_s1101" style="position:absolute;left:0;text-align:left;margin-left:463.5pt;margin-top:8.05pt;width:75.05pt;height:15.95pt;z-index:251657728" filled="f" stroked="f" strokecolor="lime" strokeweight=".25pt">
            <v:textbox style="mso-next-textbox:#_x0000_s1101" inset="1mm,0,1mm,0">
              <w:txbxContent>
                <w:p w:rsidR="00657DE2" w:rsidRDefault="00657DE2">
                  <w:pPr>
                    <w:spacing w:line="160" w:lineRule="exact"/>
                    <w:rPr>
                      <w:rFonts w:cs="Miriam" w:hint="cs"/>
                      <w:noProof/>
                      <w:sz w:val="18"/>
                      <w:szCs w:val="18"/>
                      <w:rtl/>
                    </w:rPr>
                  </w:pPr>
                  <w:r>
                    <w:rPr>
                      <w:rFonts w:cs="Miriam" w:hint="cs"/>
                      <w:sz w:val="18"/>
                      <w:szCs w:val="18"/>
                      <w:rtl/>
                    </w:rPr>
                    <w:t>ביטול עיקולים, עיכובים וערובות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הקים בעל כלי שיט קרן הגבלה באישור בית המשפט לפי סעיף 15 והוא זכאי להגביל את חבותו לפי הוראות חוק זה, יחולו הוראות אלה:</w:t>
      </w:r>
    </w:p>
    <w:p w:rsidR="00657DE2" w:rsidRDefault="00657DE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לא תהיה למי שנזק הזיהום מקנה לו עילת תביעה לפי סעיף 21, או למי שניתן לזכותו פסק דין בשל עילה כאמור, הזכות להיפרע מנכסים אחרים של בעל כלי השיט;</w:t>
      </w:r>
    </w:p>
    <w:p w:rsidR="00657DE2" w:rsidRDefault="00657DE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בית המשפט יחליט בענין תביעה לפיצויים, ובענין כל פעולה או סעד, לרבות סעד זמני, שעוכבו בצו לפי הוראות סעיף 17;</w:t>
      </w:r>
    </w:p>
    <w:p w:rsidR="00657DE2" w:rsidRDefault="00657DE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בית המשפט יורה על שחרור כל כלי שיט או רכוש אחר השייך לבעל כלי השיט שעוכב או שעוקל לצורך הבטחת חבותו בשל נזק הזיהום שנוצר מאותה תקרית, וכן יורה על שחרור כל ערובה שנתן בעל כלי השיט לצורך שחרור כלי שעוכב או שעוקל כאמור.</w:t>
      </w:r>
    </w:p>
    <w:p w:rsidR="00657DE2" w:rsidRDefault="00657DE2">
      <w:pPr>
        <w:pStyle w:val="P00"/>
        <w:spacing w:before="72"/>
        <w:ind w:left="0" w:right="1134"/>
        <w:rPr>
          <w:rStyle w:val="default"/>
          <w:rFonts w:cs="FrankRuehl" w:hint="cs"/>
          <w:rtl/>
        </w:rPr>
      </w:pPr>
      <w:bookmarkStart w:id="25" w:name="Seif22"/>
      <w:bookmarkEnd w:id="25"/>
      <w:r>
        <w:rPr>
          <w:rFonts w:cs="Miriam"/>
          <w:lang w:val="he-IL"/>
        </w:rPr>
        <w:pict>
          <v:rect id="_x0000_s1102" style="position:absolute;left:0;text-align:left;margin-left:463.5pt;margin-top:8.05pt;width:75.05pt;height:16.25pt;z-index:251658752" filled="f" stroked="f" strokecolor="lime" strokeweight=".25pt">
            <v:textbox style="mso-next-textbox:#_x0000_s1102" inset="1mm,0,1mm,0">
              <w:txbxContent>
                <w:p w:rsidR="00657DE2" w:rsidRDefault="00657DE2">
                  <w:pPr>
                    <w:spacing w:line="160" w:lineRule="exact"/>
                    <w:rPr>
                      <w:rFonts w:cs="Miriam" w:hint="cs"/>
                      <w:noProof/>
                      <w:sz w:val="18"/>
                      <w:szCs w:val="18"/>
                      <w:rtl/>
                    </w:rPr>
                  </w:pPr>
                  <w:r>
                    <w:rPr>
                      <w:rFonts w:cs="Miriam" w:hint="cs"/>
                      <w:sz w:val="18"/>
                      <w:szCs w:val="18"/>
                      <w:rtl/>
                    </w:rPr>
                    <w:t>מתן הודעה לתובעים</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הוקמה קרן הגבלה, ייתן בית המשפט הודעה על כך לכל תובע שתביעתו לפיצויים כפופה להגבלת החבות ושעליה הודיע בעל כלי השיט לבית המשפט עד להקמת הקרן, וכן יפרסם הודעה על כך ברשומות ובכל דרך אחרת נוספת שתיראה לו.</w:t>
      </w:r>
    </w:p>
    <w:p w:rsidR="00657DE2" w:rsidRDefault="00657DE2">
      <w:pPr>
        <w:pStyle w:val="P00"/>
        <w:spacing w:before="72"/>
        <w:ind w:left="0" w:right="1134"/>
        <w:rPr>
          <w:rStyle w:val="default"/>
          <w:rFonts w:cs="FrankRuehl" w:hint="cs"/>
          <w:rtl/>
        </w:rPr>
      </w:pPr>
      <w:bookmarkStart w:id="26" w:name="Seif23"/>
      <w:bookmarkEnd w:id="26"/>
      <w:r>
        <w:rPr>
          <w:rFonts w:cs="Miriam"/>
          <w:lang w:val="he-IL"/>
        </w:rPr>
        <w:pict>
          <v:rect id="_x0000_s1103" style="position:absolute;left:0;text-align:left;margin-left:463.5pt;margin-top:8.05pt;width:75.05pt;height:24.3pt;z-index:251659776" filled="f" stroked="f" strokecolor="lime" strokeweight=".25pt">
            <v:textbox style="mso-next-textbox:#_x0000_s1103" inset="1mm,0,1mm,0">
              <w:txbxContent>
                <w:p w:rsidR="00657DE2" w:rsidRDefault="00657DE2">
                  <w:pPr>
                    <w:spacing w:line="160" w:lineRule="exact"/>
                    <w:rPr>
                      <w:rFonts w:cs="Miriam" w:hint="cs"/>
                      <w:noProof/>
                      <w:sz w:val="18"/>
                      <w:szCs w:val="18"/>
                      <w:rtl/>
                    </w:rPr>
                  </w:pPr>
                  <w:r>
                    <w:rPr>
                      <w:rFonts w:cs="Miriam" w:hint="cs"/>
                      <w:sz w:val="18"/>
                      <w:szCs w:val="18"/>
                      <w:rtl/>
                    </w:rPr>
                    <w:t>הקמת קרן הגבלה במדינה אחרת החברה באמנה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הוגשה תביעה לפיצויים, ובעל כלי השיט או המבטח הקים קרן הגבלה לשם הגבלת חבותו לגבי אותה תקרית באחת המדינות החברות באמנה, וקרן ההגבלה האמורה הוקמה בהתאם לאמנה, והוכח לבית המשפט כי כספי קרן ההגבלה באותה מדינה עומדים בפועל לרשותם של תובעים בישראל, יחולו הוראות אלה:</w:t>
      </w:r>
    </w:p>
    <w:p w:rsidR="00657DE2" w:rsidRDefault="00657DE2">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יראו את בעל כלי השיט כאילו הקים קרן הגבלה לפי חוק זה לצורך הגבלת חבותו לפי סעיף 15, ויראו את המבטח כאילו הרים קרן הגבלה בהתאם לסעיף 16, לפי הענין;</w:t>
      </w:r>
    </w:p>
    <w:p w:rsidR="00657DE2" w:rsidRDefault="00657DE2">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הוכח לבית המשפט כי בעל כלי השיט זכאי להגביל את חבותו, יחולו הוראות סעיף 18;</w:t>
      </w:r>
    </w:p>
    <w:p w:rsidR="00657DE2" w:rsidRDefault="00657DE2">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הסמכות להקצות את כספי קרן ההגבלה כאמור בסעיף 24 תהיה לבית המשפט של המדינה שבה הוקמה קרן ההגבלה, ואולם לענין גובה נזק הזיהום שנגרם לתובע, ישמש פסק דין חלוט של בית המשפט בישראל ראיה לכך בבית המשפט של המדינה שבה הוקמה קרן ההגבלה.</w:t>
      </w:r>
    </w:p>
    <w:p w:rsidR="00657DE2" w:rsidRDefault="00657DE2">
      <w:pPr>
        <w:pStyle w:val="medium2-header"/>
        <w:keepLines w:val="0"/>
        <w:spacing w:before="72"/>
        <w:ind w:left="0" w:right="1134"/>
        <w:outlineLvl w:val="0"/>
        <w:rPr>
          <w:rFonts w:cs="FrankRuehl" w:hint="cs"/>
          <w:noProof/>
          <w:rtl/>
        </w:rPr>
      </w:pPr>
      <w:bookmarkStart w:id="27" w:name="med3"/>
      <w:bookmarkEnd w:id="27"/>
      <w:r>
        <w:rPr>
          <w:rFonts w:cs="FrankRuehl" w:hint="cs"/>
          <w:noProof/>
          <w:rtl/>
        </w:rPr>
        <w:t>פרק ד': תביעות וסמכות שיפוט</w:t>
      </w:r>
    </w:p>
    <w:p w:rsidR="00657DE2" w:rsidRDefault="00657DE2">
      <w:pPr>
        <w:pStyle w:val="P00"/>
        <w:spacing w:before="72"/>
        <w:ind w:left="0" w:right="1134"/>
        <w:rPr>
          <w:rStyle w:val="default"/>
          <w:rFonts w:cs="FrankRuehl" w:hint="cs"/>
          <w:rtl/>
        </w:rPr>
      </w:pPr>
      <w:bookmarkStart w:id="28" w:name="Seif13"/>
      <w:bookmarkEnd w:id="28"/>
      <w:r>
        <w:rPr>
          <w:rFonts w:cs="Miriam"/>
          <w:lang w:val="he-IL"/>
        </w:rPr>
        <w:pict>
          <v:rect id="_x0000_s1093" style="position:absolute;left:0;text-align:left;margin-left:463.5pt;margin-top:8.05pt;width:75.05pt;height:23pt;z-index:251649536" filled="f" stroked="f" strokecolor="lime" strokeweight=".25pt">
            <v:textbox style="mso-next-textbox:#_x0000_s1093" inset="1mm,0,1mm,0">
              <w:txbxContent>
                <w:p w:rsidR="00657DE2" w:rsidRDefault="00657DE2">
                  <w:pPr>
                    <w:spacing w:line="160" w:lineRule="exact"/>
                    <w:rPr>
                      <w:rFonts w:cs="Miriam" w:hint="cs"/>
                      <w:noProof/>
                      <w:sz w:val="18"/>
                      <w:szCs w:val="18"/>
                      <w:rtl/>
                    </w:rPr>
                  </w:pPr>
                  <w:r>
                    <w:rPr>
                      <w:rFonts w:cs="Miriam" w:hint="cs"/>
                      <w:sz w:val="18"/>
                      <w:szCs w:val="18"/>
                      <w:rtl/>
                    </w:rPr>
                    <w:t>הוראות לענין הגשת תביעה לפיצויים</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תביעה לפיצויים תוגש לבית המשפט עלידי מי שנגרם לו נזק זיהום.</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תביעה לפיצויים תוגש נגד אחד או יותר מאלה:</w:t>
      </w:r>
    </w:p>
    <w:p w:rsidR="00657DE2" w:rsidRDefault="00657D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כלי השיט האחראי לנזק זיהום לפי הוראות סעיף 8;</w:t>
      </w:r>
    </w:p>
    <w:p w:rsidR="00657DE2" w:rsidRDefault="00657D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שנתן פוליסת ביטוח או בטוחה כספית לפי סעיף 4 לבעל כלי השיט כאמור בפסקה (1);</w:t>
      </w:r>
    </w:p>
    <w:p w:rsidR="00657DE2" w:rsidRDefault="00657DE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הקרן הבין-לאומית.</w:t>
      </w:r>
    </w:p>
    <w:p w:rsidR="00657DE2" w:rsidRDefault="00657D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המגיש תביעה לפיצויים ימציא אותה גם למנהל הקרן הבין-לאומית, בדרך שנקבעה לפי סעיף 39.</w:t>
      </w:r>
    </w:p>
    <w:p w:rsidR="00657DE2" w:rsidRDefault="00657DE2">
      <w:pPr>
        <w:pStyle w:val="P00"/>
        <w:spacing w:before="72"/>
        <w:ind w:left="0" w:right="1134"/>
        <w:rPr>
          <w:rStyle w:val="default"/>
          <w:rFonts w:cs="FrankRuehl" w:hint="cs"/>
          <w:rtl/>
        </w:rPr>
      </w:pPr>
      <w:bookmarkStart w:id="29" w:name="Seif14"/>
      <w:bookmarkEnd w:id="29"/>
      <w:r>
        <w:rPr>
          <w:rFonts w:cs="Miriam"/>
          <w:lang w:val="he-IL"/>
        </w:rPr>
        <w:pict>
          <v:rect id="_x0000_s1094" style="position:absolute;left:0;text-align:left;margin-left:463.5pt;margin-top:8.05pt;width:75.05pt;height:13.8pt;z-index:251650560" filled="f" stroked="f" strokecolor="lime" strokeweight=".25pt">
            <v:textbox style="mso-next-textbox:#_x0000_s1094" inset="1mm,0,1mm,0">
              <w:txbxContent>
                <w:p w:rsidR="00657DE2" w:rsidRDefault="00657DE2">
                  <w:pPr>
                    <w:spacing w:line="160" w:lineRule="exact"/>
                    <w:rPr>
                      <w:rFonts w:cs="Miriam" w:hint="cs"/>
                      <w:noProof/>
                      <w:sz w:val="18"/>
                      <w:szCs w:val="18"/>
                      <w:rtl/>
                    </w:rPr>
                  </w:pPr>
                  <w:r>
                    <w:rPr>
                      <w:rFonts w:cs="Miriam" w:hint="cs"/>
                      <w:sz w:val="18"/>
                      <w:szCs w:val="18"/>
                      <w:rtl/>
                    </w:rPr>
                    <w:t>ייחוד עילת תביעה לפיצויים</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מי שנזק זיהום מקנה לו עילת תביעה לפיצויים לפי חוק זה </w:t>
      </w:r>
      <w:r>
        <w:rPr>
          <w:rStyle w:val="default"/>
          <w:rFonts w:cs="FrankRuehl"/>
          <w:rtl/>
        </w:rPr>
        <w:t>–</w:t>
      </w:r>
    </w:p>
    <w:p w:rsidR="00657DE2" w:rsidRDefault="00657D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תהיה לו עילת תביעה לפיצויים על פי חוק אחר כנגד מי שמנוי בסעיף 21(ב).</w:t>
      </w:r>
    </w:p>
    <w:p w:rsidR="00657DE2" w:rsidRDefault="00657D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תהיה לו עילת תביעה לפיצויים לפי כל דין כנגד על אחד מהמפורטים להלן, אלא אם כן נזק הזיהום נגרם ממעשה או ממחדל של אותו אדם שנעשה בכוונה לגרום לנזק זיהום, או בקלות דעת ביודעו כי המעשה או המחדל יגרום, קרוב לודאי, להתרחשות הנזק:</w:t>
      </w:r>
    </w:p>
    <w:p w:rsidR="00657DE2" w:rsidRDefault="00657DE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סוכן שלוח או עובד של בעל כלי השיט;</w:t>
      </w:r>
    </w:p>
    <w:p w:rsidR="00657DE2" w:rsidRDefault="00657DE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איש צוות של כלי השיט;</w:t>
      </w:r>
    </w:p>
    <w:p w:rsidR="00657DE2" w:rsidRDefault="00657DE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נתב או אדם אחר המבצע פעילות בעבור כלי השיט;</w:t>
      </w:r>
    </w:p>
    <w:p w:rsidR="00657DE2" w:rsidRDefault="00657DE2">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חוכר, מנהל או מפעיל של כלי השיט;</w:t>
      </w:r>
    </w:p>
    <w:p w:rsidR="00657DE2" w:rsidRDefault="00657DE2">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אדם המבצע פעולות חילוץ בהסכמת בעל כלי השיט או על פי הוראות רשות ציבורית מוסמכת;</w:t>
      </w:r>
    </w:p>
    <w:p w:rsidR="00657DE2" w:rsidRDefault="00657DE2">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אדם הנוקט אמצעי מנע כדין;</w:t>
      </w:r>
    </w:p>
    <w:p w:rsidR="00657DE2" w:rsidRDefault="00657DE2">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סוכן, שלוח או עובד או מי מטעמם של כל אחד מהמפורטים בפסקאות משנה (א), (ד), (ה) ו-(ו).</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קטן (א) כדי לגרוע מזכותו של תובע להגיש תביעה לפי חוק אחר, לרבות מזכותו של בעל כלי השיט לחזור על צד שלישי, ובלבד שחוק זה אינו מקנה לו עילת תביעה לפיצויים.</w:t>
      </w:r>
    </w:p>
    <w:p w:rsidR="00657DE2" w:rsidRDefault="00657DE2">
      <w:pPr>
        <w:pStyle w:val="P00"/>
        <w:spacing w:before="72"/>
        <w:ind w:left="0" w:right="1134"/>
        <w:rPr>
          <w:rStyle w:val="default"/>
          <w:rFonts w:cs="FrankRuehl" w:hint="cs"/>
          <w:rtl/>
        </w:rPr>
      </w:pPr>
      <w:bookmarkStart w:id="30" w:name="Seif15"/>
      <w:bookmarkEnd w:id="30"/>
      <w:r>
        <w:rPr>
          <w:rFonts w:cs="Miriam"/>
          <w:lang w:val="he-IL"/>
        </w:rPr>
        <w:pict>
          <v:rect id="_x0000_s1095" style="position:absolute;left:0;text-align:left;margin-left:463.5pt;margin-top:8.05pt;width:75.05pt;height:8.95pt;z-index:251651584" filled="f" stroked="f" strokecolor="lime" strokeweight=".25pt">
            <v:textbox style="mso-next-textbox:#_x0000_s1095" inset="1mm,0,1mm,0">
              <w:txbxContent>
                <w:p w:rsidR="00657DE2" w:rsidRDefault="00657DE2">
                  <w:pPr>
                    <w:spacing w:line="160" w:lineRule="exact"/>
                    <w:rPr>
                      <w:rFonts w:cs="Miriam" w:hint="cs"/>
                      <w:noProof/>
                      <w:sz w:val="18"/>
                      <w:szCs w:val="18"/>
                      <w:rtl/>
                    </w:rPr>
                  </w:pPr>
                  <w:r>
                    <w:rPr>
                      <w:rFonts w:cs="Miriam" w:hint="cs"/>
                      <w:sz w:val="18"/>
                      <w:szCs w:val="18"/>
                      <w:rtl/>
                    </w:rPr>
                    <w:t>התיישנות</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התקופה שבה מתיישנת תביעה לפיצויים לפי חוק זה היא שלוש שנים מהיום שבו קרה נזק הזיהום (בחוק זה </w:t>
      </w:r>
      <w:r>
        <w:rPr>
          <w:rStyle w:val="default"/>
          <w:rFonts w:cs="FrankRuehl"/>
          <w:rtl/>
        </w:rPr>
        <w:t>–</w:t>
      </w:r>
      <w:r>
        <w:rPr>
          <w:rStyle w:val="default"/>
          <w:rFonts w:cs="FrankRuehl" w:hint="cs"/>
          <w:rtl/>
        </w:rPr>
        <w:t xml:space="preserve"> תקופת ההתיישנות).</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תביעה לפיצויים תתיישן בתום שש שנים ממועד התקרית אף אם טרם חלפה תקופת ההתיישנות, ולענין תקרית שהיא סדרת אירועים יימנו שש השנים האמורות ממועד האירוע הראשון.</w:t>
      </w:r>
    </w:p>
    <w:p w:rsidR="00657DE2" w:rsidRDefault="00657D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התיישנה תביעה לפיצויים תפקע הזכות לפיצויים בשל נזק הזיהום.</w:t>
      </w:r>
    </w:p>
    <w:p w:rsidR="00657DE2" w:rsidRDefault="00657DE2">
      <w:pPr>
        <w:pStyle w:val="P00"/>
        <w:spacing w:before="72"/>
        <w:ind w:left="0" w:right="1134"/>
        <w:rPr>
          <w:rStyle w:val="default"/>
          <w:rFonts w:cs="FrankRuehl" w:hint="cs"/>
          <w:rtl/>
        </w:rPr>
      </w:pPr>
      <w:bookmarkStart w:id="31" w:name="Seif24"/>
      <w:bookmarkEnd w:id="31"/>
      <w:r>
        <w:rPr>
          <w:rFonts w:cs="Miriam"/>
          <w:lang w:val="he-IL"/>
        </w:rPr>
        <w:pict>
          <v:rect id="_x0000_s1104" style="position:absolute;left:0;text-align:left;margin-left:463.5pt;margin-top:8.05pt;width:75.05pt;height:10pt;z-index:251660800" filled="f" stroked="f" strokecolor="lime" strokeweight=".25pt">
            <v:textbox style="mso-next-textbox:#_x0000_s1104" inset="1mm,0,1mm,0">
              <w:txbxContent>
                <w:p w:rsidR="00657DE2" w:rsidRDefault="00657DE2">
                  <w:pPr>
                    <w:spacing w:line="160" w:lineRule="exact"/>
                    <w:rPr>
                      <w:rFonts w:cs="Miriam" w:hint="cs"/>
                      <w:noProof/>
                      <w:sz w:val="18"/>
                      <w:szCs w:val="18"/>
                      <w:rtl/>
                    </w:rPr>
                  </w:pPr>
                  <w:r>
                    <w:rPr>
                      <w:rFonts w:cs="Miriam" w:hint="cs"/>
                      <w:sz w:val="18"/>
                      <w:szCs w:val="18"/>
                      <w:rtl/>
                    </w:rPr>
                    <w:t>הקצאת כספי הקרן</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hint="cs"/>
          <w:rtl/>
        </w:rPr>
        <w:t>הוקמה בישראל קרן הגבלה לפי סימן ד' לפרק ג' ופסק בית המשפט, בתביעה לפיצויים לתובעים, את הסכומים לתשלום, ופסק הדין נעשה חלוט, יחולו הוראות אלה:</w:t>
      </w:r>
    </w:p>
    <w:p w:rsidR="00657DE2" w:rsidRDefault="00657DE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בית המשפט יקצה לתובעים את כספי קרן ההגבלה, לפי יחס הסכומים שנפסקו לתובעים;</w:t>
      </w:r>
    </w:p>
    <w:p w:rsidR="00657DE2" w:rsidRDefault="00657DE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הוכיח בעל כלי השיט או אדם אחר, כי הוא עשוי לחוב בתשלום מכספי הקרן בתאריך המאוחר מיום הקצאת כספי הקרן לפי פסקה (1), רשאי בית המשפט להורות כי עד לתאריך שיקבע יוקצה מכספי הקרן סכום הולם לכיסוי החבות כאמור;</w:t>
      </w:r>
    </w:p>
    <w:p w:rsidR="00657DE2" w:rsidRDefault="00657DE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הכריז בית משפט בישראל על פסק חוץ כפסק אכיף לפי הוראות חוק אכיפת פסקי חוץ, התשי"ח-1958, יחולו הוראות אלה:</w:t>
      </w:r>
    </w:p>
    <w:p w:rsidR="00657DE2" w:rsidRDefault="00657DE2">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פסק החוץ יהווה ראיה לגובה נזק הזיהום של הזוכה בו;</w:t>
      </w:r>
    </w:p>
    <w:p w:rsidR="00657DE2" w:rsidRDefault="00657DE2">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הסכום שנפסק בפסק החוץ יבוא בחשבון הסכומים שנפסקו לתובעים לפי פסקה (1);</w:t>
      </w:r>
    </w:p>
    <w:p w:rsidR="00657DE2" w:rsidRDefault="00657DE2">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בית המשפט יקצה לזוכה בפסק החוץ את חלקו היחסי מתוך כספי קרן ההגבלה;</w:t>
      </w:r>
    </w:p>
    <w:p w:rsidR="00657DE2" w:rsidRDefault="00657DE2">
      <w:pPr>
        <w:pStyle w:val="P00"/>
        <w:spacing w:before="72"/>
        <w:ind w:left="624" w:right="1134"/>
        <w:rPr>
          <w:rStyle w:val="default"/>
          <w:rFonts w:cs="FrankRuehl" w:hint="cs"/>
          <w:rtl/>
        </w:rPr>
      </w:pPr>
      <w:r>
        <w:rPr>
          <w:rStyle w:val="default"/>
          <w:rFonts w:cs="FrankRuehl" w:hint="cs"/>
          <w:rtl/>
        </w:rPr>
        <w:t xml:space="preserve">בחוק זה, "פסק חוץ" </w:t>
      </w:r>
      <w:r>
        <w:rPr>
          <w:rStyle w:val="default"/>
          <w:rFonts w:cs="FrankRuehl"/>
          <w:rtl/>
        </w:rPr>
        <w:t>–</w:t>
      </w:r>
      <w:r>
        <w:rPr>
          <w:rStyle w:val="default"/>
          <w:rFonts w:cs="FrankRuehl" w:hint="cs"/>
          <w:rtl/>
        </w:rPr>
        <w:t xml:space="preserve"> פסק דין שניתן בתביעה לפיצויים, בשל נזק זיהום שנבע מאותה תקרית שבשלה הוקמה קרן ההגבלה בישראל, על ידי בית משפט במדינה אחרת החברה באמנה.</w:t>
      </w:r>
    </w:p>
    <w:p w:rsidR="00657DE2" w:rsidRDefault="00657DE2">
      <w:pPr>
        <w:pStyle w:val="P00"/>
        <w:spacing w:before="72"/>
        <w:ind w:left="0" w:right="1134"/>
        <w:rPr>
          <w:rStyle w:val="default"/>
          <w:rFonts w:cs="FrankRuehl" w:hint="cs"/>
          <w:rtl/>
        </w:rPr>
      </w:pPr>
      <w:bookmarkStart w:id="32" w:name="Seif25"/>
      <w:bookmarkEnd w:id="32"/>
      <w:r>
        <w:rPr>
          <w:rFonts w:cs="Miriam"/>
          <w:lang w:val="he-IL"/>
        </w:rPr>
        <w:pict>
          <v:rect id="_x0000_s1105" style="position:absolute;left:0;text-align:left;margin-left:463.5pt;margin-top:8.05pt;width:75.05pt;height:10pt;z-index:251661824" filled="f" stroked="f" strokecolor="lime" strokeweight=".25pt">
            <v:textbox style="mso-next-textbox:#_x0000_s1105" inset="1mm,0,1mm,0">
              <w:txbxContent>
                <w:p w:rsidR="00657DE2" w:rsidRDefault="00657DE2">
                  <w:pPr>
                    <w:spacing w:line="160" w:lineRule="exact"/>
                    <w:rPr>
                      <w:rFonts w:cs="Miriam" w:hint="cs"/>
                      <w:noProof/>
                      <w:sz w:val="18"/>
                      <w:szCs w:val="18"/>
                      <w:rtl/>
                    </w:rPr>
                  </w:pPr>
                  <w:r>
                    <w:rPr>
                      <w:rFonts w:cs="Miriam" w:hint="cs"/>
                      <w:sz w:val="18"/>
                      <w:szCs w:val="18"/>
                      <w:rtl/>
                    </w:rPr>
                    <w:t>תחלוף</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hint="cs"/>
          <w:rtl/>
        </w:rPr>
        <w:t>שולמו פיצויים בשל נזק זיהום כתוצאה מתקרית, לפני הקצאת כספי קרן ההגבלה, עוברות למי ששילם פיצויים כאמור כל הזכויות שהאדם שפוצה על ידו היה נהנה מהן על פי הוראות חוק זה בשיעור התשלומים ששילם.</w:t>
      </w:r>
    </w:p>
    <w:p w:rsidR="00657DE2" w:rsidRDefault="00657DE2">
      <w:pPr>
        <w:pStyle w:val="P00"/>
        <w:spacing w:before="72"/>
        <w:ind w:left="0" w:right="1134"/>
        <w:rPr>
          <w:rStyle w:val="default"/>
          <w:rFonts w:cs="FrankRuehl" w:hint="cs"/>
          <w:rtl/>
        </w:rPr>
      </w:pPr>
      <w:bookmarkStart w:id="33" w:name="Seif26"/>
      <w:bookmarkEnd w:id="33"/>
      <w:r>
        <w:rPr>
          <w:rFonts w:cs="Miriam"/>
          <w:lang w:val="he-IL"/>
        </w:rPr>
        <w:pict>
          <v:rect id="_x0000_s1106" style="position:absolute;left:0;text-align:left;margin-left:463.5pt;margin-top:8.05pt;width:75.05pt;height:10pt;z-index:251662848" filled="f" stroked="f" strokecolor="lime" strokeweight=".25pt">
            <v:textbox style="mso-next-textbox:#_x0000_s1106" inset="1mm,0,1mm,0">
              <w:txbxContent>
                <w:p w:rsidR="00657DE2" w:rsidRDefault="00657DE2">
                  <w:pPr>
                    <w:spacing w:line="160" w:lineRule="exact"/>
                    <w:rPr>
                      <w:rFonts w:cs="Miriam" w:hint="cs"/>
                      <w:noProof/>
                      <w:sz w:val="18"/>
                      <w:szCs w:val="18"/>
                      <w:rtl/>
                    </w:rPr>
                  </w:pPr>
                  <w:r>
                    <w:rPr>
                      <w:rFonts w:cs="Miriam" w:hint="cs"/>
                      <w:sz w:val="18"/>
                      <w:szCs w:val="18"/>
                      <w:rtl/>
                    </w:rPr>
                    <w:t>סמכות שיפוט</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hint="cs"/>
          <w:rtl/>
        </w:rPr>
        <w:t>בית המשפט יהא בעל סמכות שיפוט ייחודית בתביעות המוגשות על פי חוק זה.</w:t>
      </w:r>
    </w:p>
    <w:p w:rsidR="00657DE2" w:rsidRDefault="00657DE2">
      <w:pPr>
        <w:pStyle w:val="medium2-header"/>
        <w:keepLines w:val="0"/>
        <w:spacing w:before="72"/>
        <w:ind w:left="0" w:right="1134"/>
        <w:outlineLvl w:val="0"/>
        <w:rPr>
          <w:rFonts w:cs="FrankRuehl" w:hint="cs"/>
          <w:noProof/>
          <w:rtl/>
        </w:rPr>
      </w:pPr>
      <w:bookmarkStart w:id="34" w:name="med4"/>
      <w:bookmarkEnd w:id="34"/>
      <w:r>
        <w:rPr>
          <w:rFonts w:cs="FrankRuehl" w:hint="cs"/>
          <w:noProof/>
          <w:rtl/>
        </w:rPr>
        <w:t>פרק ה': הקרן הבין-לאומית</w:t>
      </w:r>
    </w:p>
    <w:p w:rsidR="00657DE2" w:rsidRDefault="00657DE2">
      <w:pPr>
        <w:pStyle w:val="header-2"/>
        <w:ind w:left="0" w:right="1134"/>
        <w:rPr>
          <w:rFonts w:cs="Miriam" w:hint="cs"/>
          <w:rtl/>
        </w:rPr>
      </w:pPr>
      <w:bookmarkStart w:id="35" w:name="hed24"/>
      <w:bookmarkEnd w:id="35"/>
      <w:r>
        <w:rPr>
          <w:rFonts w:cs="Miriam" w:hint="cs"/>
          <w:rtl/>
        </w:rPr>
        <w:t>סימן א': חובת הקרן הבין-לאומית לתשלום פיצויים</w:t>
      </w:r>
    </w:p>
    <w:p w:rsidR="00657DE2" w:rsidRDefault="00657DE2">
      <w:pPr>
        <w:pStyle w:val="P00"/>
        <w:spacing w:before="72"/>
        <w:ind w:left="0" w:right="1134"/>
        <w:rPr>
          <w:rStyle w:val="default"/>
          <w:rFonts w:cs="FrankRuehl" w:hint="cs"/>
          <w:rtl/>
        </w:rPr>
      </w:pPr>
      <w:bookmarkStart w:id="36" w:name="Seif27"/>
      <w:bookmarkEnd w:id="36"/>
      <w:r>
        <w:rPr>
          <w:rFonts w:cs="Miriam"/>
          <w:lang w:val="he-IL"/>
        </w:rPr>
        <w:pict>
          <v:rect id="_x0000_s1107" style="position:absolute;left:0;text-align:left;margin-left:463.5pt;margin-top:8.05pt;width:75.05pt;height:15.35pt;z-index:251663872" filled="f" stroked="f" strokecolor="lime" strokeweight=".25pt">
            <v:textbox style="mso-next-textbox:#_x0000_s1107" inset="1mm,0,1mm,0">
              <w:txbxContent>
                <w:p w:rsidR="00657DE2" w:rsidRDefault="00657DE2">
                  <w:pPr>
                    <w:spacing w:line="160" w:lineRule="exact"/>
                    <w:rPr>
                      <w:rFonts w:cs="Miriam" w:hint="cs"/>
                      <w:noProof/>
                      <w:sz w:val="18"/>
                      <w:szCs w:val="18"/>
                      <w:rtl/>
                    </w:rPr>
                  </w:pPr>
                  <w:r>
                    <w:rPr>
                      <w:rFonts w:cs="Miriam" w:hint="cs"/>
                      <w:sz w:val="18"/>
                      <w:szCs w:val="18"/>
                      <w:rtl/>
                    </w:rPr>
                    <w:t>כשרות משפטית של הקרן הבין-לאומית</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הקרן הבין-לאומית היא אישיות משפטית כשרה לכל זכות, חובה ופעולה משפטית.</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הקרן הבין-לאומית הוא נציגה החוקי של הקרן לענין חוק זה.</w:t>
      </w:r>
    </w:p>
    <w:p w:rsidR="00657DE2" w:rsidRDefault="00657DE2">
      <w:pPr>
        <w:pStyle w:val="P00"/>
        <w:spacing w:before="72"/>
        <w:ind w:left="0" w:right="1134"/>
        <w:rPr>
          <w:rStyle w:val="default"/>
          <w:rFonts w:cs="FrankRuehl" w:hint="cs"/>
          <w:rtl/>
        </w:rPr>
      </w:pPr>
      <w:bookmarkStart w:id="37" w:name="Seif28"/>
      <w:bookmarkEnd w:id="37"/>
      <w:r>
        <w:rPr>
          <w:rFonts w:cs="Miriam"/>
          <w:lang w:val="he-IL"/>
        </w:rPr>
        <w:pict>
          <v:rect id="_x0000_s1108" style="position:absolute;left:0;text-align:left;margin-left:463.5pt;margin-top:8.05pt;width:75.05pt;height:14.85pt;z-index:251664896" filled="f" stroked="f" strokecolor="lime" strokeweight=".25pt">
            <v:textbox style="mso-next-textbox:#_x0000_s1108" inset="1mm,0,1mm,0">
              <w:txbxContent>
                <w:p w:rsidR="00657DE2" w:rsidRDefault="00657DE2">
                  <w:pPr>
                    <w:spacing w:line="160" w:lineRule="exact"/>
                    <w:rPr>
                      <w:rFonts w:cs="Miriam" w:hint="cs"/>
                      <w:noProof/>
                      <w:sz w:val="18"/>
                      <w:szCs w:val="18"/>
                      <w:rtl/>
                    </w:rPr>
                  </w:pPr>
                  <w:r>
                    <w:rPr>
                      <w:rFonts w:cs="Miriam" w:hint="cs"/>
                      <w:sz w:val="18"/>
                      <w:szCs w:val="18"/>
                      <w:rtl/>
                    </w:rPr>
                    <w:t>הקרן הבין-לאומית כצד להליך משפטי</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default"/>
          <w:rFonts w:cs="FrankRuehl" w:hint="cs"/>
          <w:rtl/>
        </w:rPr>
        <w:t>הומצאה תביעה לפיצויים לפי הוראות סעיף 21(ג) יחולו הוראות אלה:</w:t>
      </w:r>
    </w:p>
    <w:p w:rsidR="00657DE2" w:rsidRDefault="00657DE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הקרן הבין-לאומית רשאית להצטרף כצד להליך המשפטי;</w:t>
      </w:r>
    </w:p>
    <w:p w:rsidR="00657DE2" w:rsidRDefault="00657DE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בית המשפט רשאי ליתן נגד הקרן הבין-לאומית פסק דין לפיצוי התובעים לפי הוראות חוק זה, אף אם הקרן האמורה לא הצטרפה להליך, אם נוכח שלמנהל הקרן הבין-לאומית ניתנה הזדמנות להצטרף כצד להליך;</w:t>
      </w:r>
    </w:p>
    <w:p w:rsidR="00657DE2" w:rsidRDefault="00657DE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ניתן פסק דין נגד הקרן הבין-לאומית כאמור בפסקה (2) ופסק הדין נעשה חלוט, מנועה הקרן הבין-לאומית מלטעון לגבי העובדות והממצאים שנקבעו בפסק הדין.</w:t>
      </w:r>
    </w:p>
    <w:p w:rsidR="00657DE2" w:rsidRDefault="00657DE2">
      <w:pPr>
        <w:pStyle w:val="P00"/>
        <w:spacing w:before="72"/>
        <w:ind w:left="0" w:right="1134"/>
        <w:rPr>
          <w:rStyle w:val="default"/>
          <w:rFonts w:cs="FrankRuehl" w:hint="cs"/>
          <w:rtl/>
        </w:rPr>
      </w:pPr>
      <w:bookmarkStart w:id="38" w:name="Seif29"/>
      <w:bookmarkEnd w:id="38"/>
      <w:r>
        <w:rPr>
          <w:rFonts w:cs="Miriam"/>
          <w:lang w:val="he-IL"/>
        </w:rPr>
        <w:pict>
          <v:rect id="_x0000_s1109" style="position:absolute;left:0;text-align:left;margin-left:463.5pt;margin-top:8.05pt;width:75.05pt;height:32.1pt;z-index:251665920" filled="f" stroked="f" strokecolor="lime" strokeweight=".25pt">
            <v:textbox style="mso-next-textbox:#_x0000_s1109" inset="1mm,0,1mm,0">
              <w:txbxContent>
                <w:p w:rsidR="00657DE2" w:rsidRDefault="00657DE2">
                  <w:pPr>
                    <w:spacing w:line="160" w:lineRule="exact"/>
                    <w:rPr>
                      <w:rFonts w:cs="Miriam" w:hint="cs"/>
                      <w:noProof/>
                      <w:sz w:val="18"/>
                      <w:szCs w:val="18"/>
                      <w:rtl/>
                    </w:rPr>
                  </w:pPr>
                  <w:r>
                    <w:rPr>
                      <w:rFonts w:cs="Miriam" w:hint="cs"/>
                      <w:sz w:val="18"/>
                      <w:szCs w:val="18"/>
                      <w:rtl/>
                    </w:rPr>
                    <w:t>סמכות בית המשפט לחייב את הקרן הבין-לאומית בתשלום פיצויים</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פסק בית המשפט, לפי הוראות סעיף 24(1) את סכום הפיצויים לכל תובע, וקבע בפסק הדין אחד או יותר מהאמור בפסקאות (1) עד (4) של סעיף קטן (ב), יפסוק בית המשפט גם את הסכום המגיע לכל תובע מתוך הסכום הכולל של הפיצויים שעל הקרן הבין-לאומית לשלם לפי הוראות פרק זה, בהתאם ליחס סכומי התביעות שנפסקו.</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אלה קביעות בית המשפט בפסק דין בתביעה לפיצויים המחייבת את הקרן הבין-לאומית לשלם את הפיצויים שפסק:</w:t>
      </w:r>
    </w:p>
    <w:p w:rsidR="00657DE2" w:rsidRDefault="00657D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 פי הוראות האמנה לא קמה אחראיות לנזק;</w:t>
      </w:r>
    </w:p>
    <w:p w:rsidR="00657DE2" w:rsidRDefault="00657D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כלי השיט האחראי לנזק אינו יכול לעמוד בנטל הכספי הכרוך בביצוע פסק הדין ובלבד שהתובע נקט אמצעים כדין לביצוע פסק הדין;</w:t>
      </w:r>
    </w:p>
    <w:p w:rsidR="00657DE2" w:rsidRDefault="00657DE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פוליסת ביטוח או בטוחה כספית, שניתנה לפי האמנה, אינה מגעת כדי סכום הפיצויים שפסק בית המשפט כאמור בסעיף 24(1), והסכום, כולו או חלקו, לא שולם לתובע לאחר שנקט אמצעים כדין למימושה של הפוליסה או הבטוחה;</w:t>
      </w:r>
    </w:p>
    <w:p w:rsidR="00657DE2" w:rsidRDefault="00657DE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כלל סכום הפיצויים שפסק בית המשפט לפי סעיף 24 גבוה מחבותו של המבטח או נותן הבטוחה הכספית, כפי שזו הוגבלה על ידי בעל כלי השיט לפי פרק ג'.</w:t>
      </w:r>
    </w:p>
    <w:p w:rsidR="00657DE2" w:rsidRDefault="00657D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הכריז בית משפט בישראל על פסק חוץ כפסק אכיף לפי סעיף 24(3), יפסוק בית המשפט לזוכה בפסק החוץ את הסכום המגיע לו מתוך הסכום הכולל של הפיצוי שעל הקרן הבין-לאומית לשלם לפי הוראות פרק זה, בהתאם ליחס הסכומים שפסק בית המשפט לתובעים כאמור בסעיף 24(1).</w:t>
      </w:r>
    </w:p>
    <w:p w:rsidR="00657DE2" w:rsidRDefault="00657DE2">
      <w:pPr>
        <w:pStyle w:val="P00"/>
        <w:spacing w:before="72"/>
        <w:ind w:left="0" w:right="1134"/>
        <w:rPr>
          <w:rStyle w:val="default"/>
          <w:rFonts w:cs="FrankRuehl" w:hint="cs"/>
          <w:rtl/>
        </w:rPr>
      </w:pPr>
      <w:bookmarkStart w:id="39" w:name="Seif30"/>
      <w:bookmarkEnd w:id="39"/>
      <w:r>
        <w:rPr>
          <w:rFonts w:cs="Miriam"/>
          <w:lang w:val="he-IL"/>
        </w:rPr>
        <w:pict>
          <v:rect id="_x0000_s1110" style="position:absolute;left:0;text-align:left;margin-left:463.5pt;margin-top:8.05pt;width:75.05pt;height:21.6pt;z-index:251666944" filled="f" stroked="f" strokecolor="lime" strokeweight=".25pt">
            <v:textbox style="mso-next-textbox:#_x0000_s1110" inset="1mm,0,1mm,0">
              <w:txbxContent>
                <w:p w:rsidR="00657DE2" w:rsidRDefault="00657DE2">
                  <w:pPr>
                    <w:spacing w:line="160" w:lineRule="exact"/>
                    <w:rPr>
                      <w:rFonts w:cs="Miriam" w:hint="cs"/>
                      <w:noProof/>
                      <w:sz w:val="18"/>
                      <w:szCs w:val="18"/>
                      <w:rtl/>
                    </w:rPr>
                  </w:pPr>
                  <w:r>
                    <w:rPr>
                      <w:rFonts w:cs="Miriam" w:hint="cs"/>
                      <w:sz w:val="18"/>
                      <w:szCs w:val="18"/>
                      <w:rtl/>
                    </w:rPr>
                    <w:t>סייג לחובת תשלום פיצויים</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הקרן הבין-לאומית לא תישא בתשלום פיצויים לתובעים ובית המשפט לא יפסוק להם פיצויים מכספי הקרן הבין-לאומית לפי הוראות סעיף 29, אם נקבע בפסק הדין כי הוכח אחד מאלה:</w:t>
      </w:r>
    </w:p>
    <w:p w:rsidR="00657DE2" w:rsidRDefault="00657D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נזק הזיהום נבע מפעילות מלחמתית, סכסוך מזוין, פעילות עוינת, מלחמת אזרחים או מרד;</w:t>
      </w:r>
    </w:p>
    <w:p w:rsidR="00657DE2" w:rsidRDefault="00657D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נזק הזיהום מקורו בשמן שנפלט או שנשפך מכלי שיט שהוראות חוק זה אינן חלות עליו על פי סעיף 3;</w:t>
      </w:r>
    </w:p>
    <w:p w:rsidR="00657DE2" w:rsidRDefault="00657DE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התובע לא הוכיח כי נזק הזיהום נבע מתקרית שבה היה מעורב כלי שיט.</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נטל ההוכחה לענין פסקאות (1) ו-(2) של סעיף קטן (א) הוא על הקרן הבין-לאומית.</w:t>
      </w:r>
    </w:p>
    <w:p w:rsidR="00657DE2" w:rsidRDefault="00657DE2">
      <w:pPr>
        <w:pStyle w:val="P00"/>
        <w:spacing w:before="72"/>
        <w:ind w:left="0" w:right="1134"/>
        <w:rPr>
          <w:rStyle w:val="default"/>
          <w:rFonts w:cs="FrankRuehl" w:hint="cs"/>
          <w:rtl/>
        </w:rPr>
      </w:pPr>
      <w:bookmarkStart w:id="40" w:name="Seif31"/>
      <w:bookmarkEnd w:id="40"/>
      <w:r>
        <w:rPr>
          <w:rFonts w:cs="Miriam"/>
          <w:lang w:val="he-IL"/>
        </w:rPr>
        <w:pict>
          <v:rect id="_x0000_s1111" style="position:absolute;left:0;text-align:left;margin-left:463.5pt;margin-top:4.25pt;width:75.05pt;height:19pt;z-index:251667968" filled="f" stroked="f" strokecolor="lime" strokeweight=".25pt">
            <v:textbox style="mso-next-textbox:#_x0000_s1111" inset="1mm,0,1mm,0">
              <w:txbxContent>
                <w:p w:rsidR="00657DE2" w:rsidRDefault="00657DE2">
                  <w:pPr>
                    <w:spacing w:line="160" w:lineRule="exact"/>
                    <w:rPr>
                      <w:rFonts w:cs="Miriam" w:hint="cs"/>
                      <w:noProof/>
                      <w:sz w:val="18"/>
                      <w:szCs w:val="18"/>
                      <w:rtl/>
                    </w:rPr>
                  </w:pPr>
                  <w:r>
                    <w:rPr>
                      <w:rFonts w:cs="Miriam" w:hint="cs"/>
                      <w:sz w:val="18"/>
                      <w:szCs w:val="18"/>
                      <w:rtl/>
                    </w:rPr>
                    <w:t>פטור מחובת תשלום פיצויים</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default"/>
          <w:rFonts w:cs="FrankRuehl" w:hint="cs"/>
          <w:rtl/>
        </w:rPr>
        <w:t>הוכיחה הקרן הבין-לאומית כי נזק הזיהום נגרם, כולו או חלקו, ממעשה או ממחדל של הניזוק במטרה לגרום נזק או בשל רשלנותו של הניזוק, רשאי בית המשפט לפטור את הקרן הבין-לאומית, באופן מלא או חלקי, מחובתה לתשלום פיצויים כלפי אותו ניזוק; הוראה זו לא תחול לגבי עלויות אמצעי מנע, לרבות אבדן או נזק נוסף הנגרמים מהשימוש באמצעי המנע.</w:t>
      </w:r>
    </w:p>
    <w:p w:rsidR="00657DE2" w:rsidRDefault="00657DE2">
      <w:pPr>
        <w:pStyle w:val="P00"/>
        <w:spacing w:before="72"/>
        <w:ind w:left="0" w:right="1134"/>
        <w:rPr>
          <w:rStyle w:val="default"/>
          <w:rFonts w:cs="FrankRuehl" w:hint="cs"/>
          <w:rtl/>
        </w:rPr>
      </w:pPr>
      <w:bookmarkStart w:id="41" w:name="Seif32"/>
      <w:bookmarkEnd w:id="41"/>
      <w:r>
        <w:rPr>
          <w:rFonts w:cs="Miriam"/>
          <w:lang w:val="he-IL"/>
        </w:rPr>
        <w:pict>
          <v:rect id="_x0000_s1112" style="position:absolute;left:0;text-align:left;margin-left:463.5pt;margin-top:8.05pt;width:75.05pt;height:17.7pt;z-index:251668992" filled="f" stroked="f" strokecolor="lime" strokeweight=".25pt">
            <v:textbox style="mso-next-textbox:#_x0000_s1112" inset="1mm,0,1mm,0">
              <w:txbxContent>
                <w:p w:rsidR="00657DE2" w:rsidRDefault="00657DE2">
                  <w:pPr>
                    <w:spacing w:line="160" w:lineRule="exact"/>
                    <w:rPr>
                      <w:rFonts w:cs="Miriam" w:hint="cs"/>
                      <w:noProof/>
                      <w:sz w:val="18"/>
                      <w:szCs w:val="18"/>
                      <w:rtl/>
                    </w:rPr>
                  </w:pPr>
                  <w:r>
                    <w:rPr>
                      <w:rFonts w:cs="Miriam" w:hint="cs"/>
                      <w:sz w:val="18"/>
                      <w:szCs w:val="18"/>
                      <w:rtl/>
                    </w:rPr>
                    <w:t>הגבלת סכום הפיצויים</w:t>
                  </w:r>
                </w:p>
              </w:txbxContent>
            </v:textbox>
            <w10:anchorlock/>
          </v:rect>
        </w:pict>
      </w:r>
      <w:r>
        <w:rPr>
          <w:rStyle w:val="big-number"/>
          <w:rFonts w:cs="Miriam" w:hint="cs"/>
          <w:rtl/>
        </w:rPr>
        <w:t>32</w:t>
      </w:r>
      <w:r>
        <w:rPr>
          <w:rStyle w:val="big-number"/>
          <w:rFonts w:cs="FrankRuehl"/>
          <w:sz w:val="26"/>
          <w:szCs w:val="26"/>
          <w:rtl/>
        </w:rPr>
        <w:t>.</w:t>
      </w:r>
      <w:r>
        <w:rPr>
          <w:rStyle w:val="big-number"/>
          <w:rFonts w:cs="FrankRuehl"/>
          <w:sz w:val="26"/>
          <w:szCs w:val="26"/>
          <w:rtl/>
        </w:rPr>
        <w:tab/>
      </w:r>
      <w:r>
        <w:rPr>
          <w:rStyle w:val="default"/>
          <w:rFonts w:cs="FrankRuehl" w:hint="cs"/>
          <w:rtl/>
        </w:rPr>
        <w:t>הסכום הכולל של הפיצויים אשר תשלם הקרן הבין-לאומית לפי פרק זה, לגבי כל תקרית יחידה, מוגבל, באופן שהסכום הכולל של הפיצויים כאמור, בצירוף כלל סכום הפיצויים שהקצה בית המשפט מכספי קרן ההגבלה לפי הוראות סעיף 24, לא יעלה על הסכום שיחושב כאמור בתוספת השלישית.</w:t>
      </w:r>
    </w:p>
    <w:p w:rsidR="00657DE2" w:rsidRDefault="00657DE2">
      <w:pPr>
        <w:pStyle w:val="P00"/>
        <w:spacing w:before="72"/>
        <w:ind w:left="0" w:right="1134"/>
        <w:rPr>
          <w:rStyle w:val="default"/>
          <w:rFonts w:cs="FrankRuehl" w:hint="cs"/>
          <w:rtl/>
        </w:rPr>
      </w:pPr>
      <w:bookmarkStart w:id="42" w:name="Seif33"/>
      <w:bookmarkEnd w:id="42"/>
      <w:r>
        <w:rPr>
          <w:rFonts w:cs="Miriam"/>
          <w:lang w:val="he-IL"/>
        </w:rPr>
        <w:pict>
          <v:rect id="_x0000_s1113" style="position:absolute;left:0;text-align:left;margin-left:463.5pt;margin-top:8.05pt;width:75.05pt;height:21.75pt;z-index:251670016" filled="f" stroked="f" strokecolor="lime" strokeweight=".25pt">
            <v:textbox style="mso-next-textbox:#_x0000_s1113" inset="1mm,0,1mm,0">
              <w:txbxContent>
                <w:p w:rsidR="00657DE2" w:rsidRDefault="00657DE2">
                  <w:pPr>
                    <w:spacing w:line="160" w:lineRule="exact"/>
                    <w:rPr>
                      <w:rFonts w:cs="Miriam" w:hint="cs"/>
                      <w:noProof/>
                      <w:sz w:val="18"/>
                      <w:szCs w:val="18"/>
                      <w:rtl/>
                    </w:rPr>
                  </w:pPr>
                  <w:r>
                    <w:rPr>
                      <w:rFonts w:cs="Miriam" w:hint="cs"/>
                      <w:sz w:val="18"/>
                      <w:szCs w:val="18"/>
                      <w:rtl/>
                    </w:rPr>
                    <w:t>תחלוף לקרן הבין-לאומית ולמדינה</w:t>
                  </w:r>
                </w:p>
              </w:txbxContent>
            </v:textbox>
            <w10:anchorlock/>
          </v:rect>
        </w:pict>
      </w:r>
      <w:r>
        <w:rPr>
          <w:rStyle w:val="big-number"/>
          <w:rFonts w:cs="Miriam" w:hint="cs"/>
          <w:rtl/>
        </w:rPr>
        <w:t>33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שילמה הקרן הבין-לאומית פיצויים לתובע, עוברת זכותו של התובע כלפי בעל כלי השיט, מבטחו, מי שנתן בטוחה כספית או כל אדם אחר, אל הקרן הבין-לאומית, בשיעור התשלומים ששילמה.</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שילמה המדינה או מי מטעמה פיצויים לתובע, עוברת זכותו של התובע כלפי בעל כלי השיט, מבטחו, מי שנתן לו בטוחה כספית או כל אדם אחר, למדינה, בשיעור התשלומים ששילמה.</w:t>
      </w:r>
    </w:p>
    <w:p w:rsidR="00657DE2" w:rsidRDefault="00657DE2">
      <w:pPr>
        <w:pStyle w:val="header-2"/>
        <w:ind w:left="0" w:right="1134"/>
        <w:rPr>
          <w:rFonts w:cs="Miriam" w:hint="cs"/>
          <w:rtl/>
        </w:rPr>
      </w:pPr>
      <w:bookmarkStart w:id="43" w:name="hed25"/>
      <w:bookmarkEnd w:id="43"/>
      <w:r>
        <w:rPr>
          <w:rFonts w:cs="Miriam" w:hint="cs"/>
          <w:rtl/>
        </w:rPr>
        <w:t>סימן ב': היטל השתתפות בקרן הבין-לאומית</w:t>
      </w:r>
    </w:p>
    <w:p w:rsidR="00657DE2" w:rsidRDefault="00657DE2">
      <w:pPr>
        <w:pStyle w:val="P00"/>
        <w:spacing w:before="72"/>
        <w:ind w:left="0" w:right="1134"/>
        <w:rPr>
          <w:rStyle w:val="default"/>
          <w:rFonts w:cs="FrankRuehl" w:hint="cs"/>
          <w:rtl/>
        </w:rPr>
      </w:pPr>
      <w:bookmarkStart w:id="44" w:name="Seif34"/>
      <w:bookmarkEnd w:id="44"/>
      <w:r>
        <w:rPr>
          <w:rFonts w:cs="Miriam"/>
          <w:lang w:val="he-IL"/>
        </w:rPr>
        <w:pict>
          <v:rect id="_x0000_s1114" style="position:absolute;left:0;text-align:left;margin-left:463.5pt;margin-top:8.05pt;width:75.05pt;height:23.05pt;z-index:251671040" filled="f" stroked="f" strokecolor="lime" strokeweight=".25pt">
            <v:textbox style="mso-next-textbox:#_x0000_s1114" inset="1mm,0,1mm,0">
              <w:txbxContent>
                <w:p w:rsidR="00657DE2" w:rsidRDefault="00657DE2">
                  <w:pPr>
                    <w:spacing w:line="160" w:lineRule="exact"/>
                    <w:rPr>
                      <w:rFonts w:cs="Miriam" w:hint="cs"/>
                      <w:noProof/>
                      <w:sz w:val="18"/>
                      <w:szCs w:val="18"/>
                      <w:rtl/>
                    </w:rPr>
                  </w:pPr>
                  <w:r>
                    <w:rPr>
                      <w:rFonts w:cs="Miriam" w:hint="cs"/>
                      <w:sz w:val="18"/>
                      <w:szCs w:val="18"/>
                      <w:rtl/>
                    </w:rPr>
                    <w:t>היטל השתתפות בקרן-הבין-לאומית</w:t>
                  </w:r>
                </w:p>
              </w:txbxContent>
            </v:textbox>
            <w10:anchorlock/>
          </v:rect>
        </w:pict>
      </w:r>
      <w:r>
        <w:rPr>
          <w:rStyle w:val="big-number"/>
          <w:rFonts w:cs="Miriam" w:hint="cs"/>
          <w:rtl/>
        </w:rPr>
        <w:t>34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בסימן זה </w:t>
      </w:r>
      <w:r>
        <w:rPr>
          <w:rStyle w:val="default"/>
          <w:rFonts w:cs="FrankRuehl"/>
          <w:rtl/>
        </w:rPr>
        <w:t>–</w:t>
      </w:r>
    </w:p>
    <w:p w:rsidR="00657DE2" w:rsidRDefault="00657DE2">
      <w:pPr>
        <w:pStyle w:val="P00"/>
        <w:spacing w:before="72"/>
        <w:ind w:left="0" w:right="1134"/>
        <w:rPr>
          <w:rStyle w:val="default"/>
          <w:rFonts w:cs="FrankRuehl" w:hint="cs"/>
          <w:rtl/>
        </w:rPr>
      </w:pPr>
      <w:r>
        <w:rPr>
          <w:rStyle w:val="default"/>
          <w:rFonts w:cs="FrankRuehl" w:hint="cs"/>
          <w:rtl/>
        </w:rPr>
        <w:tab/>
        <w:t xml:space="preserve">"מיתקן מסוף" </w:t>
      </w:r>
      <w:r>
        <w:rPr>
          <w:rStyle w:val="default"/>
          <w:rFonts w:cs="FrankRuehl"/>
          <w:rtl/>
        </w:rPr>
        <w:t>–</w:t>
      </w:r>
      <w:r>
        <w:rPr>
          <w:rStyle w:val="default"/>
          <w:rFonts w:cs="FrankRuehl" w:hint="cs"/>
          <w:rtl/>
        </w:rPr>
        <w:t xml:space="preserve"> אתר המשמש לאחסנת שמן בצובר, המסוגל לקלוט שמן אשר הובל בים, לרבות כל מיתקן הממוקם במרחק מן החוף, אך קשור לאותו אתר;</w:t>
      </w:r>
    </w:p>
    <w:p w:rsidR="00657DE2" w:rsidRDefault="00657DE2">
      <w:pPr>
        <w:pStyle w:val="P00"/>
        <w:spacing w:before="72"/>
        <w:ind w:left="0" w:right="1134"/>
        <w:rPr>
          <w:rStyle w:val="default"/>
          <w:rFonts w:cs="FrankRuehl" w:hint="cs"/>
          <w:rtl/>
        </w:rPr>
      </w:pPr>
      <w:r>
        <w:rPr>
          <w:rStyle w:val="default"/>
          <w:rFonts w:cs="FrankRuehl" w:hint="cs"/>
          <w:rtl/>
        </w:rPr>
        <w:tab/>
        <w:t xml:space="preserve">"שמן משתתף" </w:t>
      </w:r>
      <w:r>
        <w:rPr>
          <w:rStyle w:val="default"/>
          <w:rFonts w:cs="FrankRuehl"/>
          <w:rtl/>
        </w:rPr>
        <w:t>–</w:t>
      </w:r>
      <w:r>
        <w:rPr>
          <w:rStyle w:val="default"/>
          <w:rFonts w:cs="FrankRuehl" w:hint="cs"/>
          <w:rtl/>
        </w:rPr>
        <w:t xml:space="preserve"> שמן שהתקיים בו אחד מאלה:</w:t>
      </w:r>
    </w:p>
    <w:p w:rsidR="00657DE2" w:rsidRDefault="00657D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יובא דרך הים ונתקבל בנמל או במיתקן מסוף בישראל לאחסון;</w:t>
      </w:r>
    </w:p>
    <w:p w:rsidR="00657DE2" w:rsidRDefault="00657D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נתקבל בישראל בנמל או במיתקן מסוף כיעד ראשון, לאחר שנפרק במדינה שאינה חברה באמנת הקרן.</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מטען או יבואן אשר במשך שנת כספים מייבא מעל 150,000 טון שמן משתתף ישלם היטל השתתפות בקרן הבין-לאומית, שייקבע על בסיס כלל חבות מדינת ישראל לקרן הבין-לאומית לשנת כספים בהתאמה לחלקו היחסי מתוך כלל כמות השמן המשתתף שנתקבל בישראל באותה שנה.</w:t>
      </w:r>
    </w:p>
    <w:p w:rsidR="00657DE2" w:rsidRDefault="00657D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שילם בעל מטען או יבואן את היטל ההשתתפות החל עליו במועד שנקבע, יחויב בעל המטען או היבואן האמור בתשלום ריבית פיגורים בהתאם להוראות אמנת הקרן ובתשלום ריבית נוספת כפי שקבע שר התחבורה בהתאם להוראות סעיף קטן (ה).</w:t>
      </w:r>
    </w:p>
    <w:p w:rsidR="00657DE2" w:rsidRDefault="00657DE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היטל ההשתתפות כאמור בסעיף קטן (ב) ישולם למנהל, והוא יעבירו לקרן הבין-לאומית.</w:t>
      </w:r>
    </w:p>
    <w:p w:rsidR="00657DE2" w:rsidRDefault="00657DE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שיעור ההיטל והמועדים, הדרכים והתנאים לתשלומו ולהעברתו לקרן הבין-לאומית, וכן שיעור הריבית הנוספת בשל אי תשלום ההיטל במועד, ייקבעו בידי שר התחבורה באישור ועדת הכלכלה של הכנסת.</w:t>
      </w:r>
    </w:p>
    <w:p w:rsidR="00657DE2" w:rsidRDefault="00657DE2">
      <w:pPr>
        <w:pStyle w:val="P00"/>
        <w:spacing w:before="72"/>
        <w:ind w:left="0" w:right="1134"/>
        <w:rPr>
          <w:rStyle w:val="default"/>
          <w:rFonts w:cs="FrankRuehl" w:hint="cs"/>
          <w:rtl/>
        </w:rPr>
      </w:pPr>
      <w:bookmarkStart w:id="45" w:name="Seif35"/>
      <w:bookmarkEnd w:id="45"/>
      <w:r>
        <w:rPr>
          <w:rFonts w:cs="Miriam"/>
          <w:lang w:val="he-IL"/>
        </w:rPr>
        <w:pict>
          <v:rect id="_x0000_s1115" style="position:absolute;left:0;text-align:left;margin-left:463.5pt;margin-top:8.05pt;width:75.05pt;height:19.3pt;z-index:251672064" filled="f" stroked="f" strokecolor="lime" strokeweight=".25pt">
            <v:textbox style="mso-next-textbox:#_x0000_s1115" inset="1mm,0,1mm,0">
              <w:txbxContent>
                <w:p w:rsidR="00657DE2" w:rsidRDefault="00657DE2">
                  <w:pPr>
                    <w:spacing w:line="160" w:lineRule="exact"/>
                    <w:rPr>
                      <w:rFonts w:cs="Miriam" w:hint="cs"/>
                      <w:noProof/>
                      <w:sz w:val="18"/>
                      <w:szCs w:val="18"/>
                      <w:rtl/>
                    </w:rPr>
                  </w:pPr>
                  <w:r>
                    <w:rPr>
                      <w:rFonts w:cs="Miriam" w:hint="cs"/>
                      <w:sz w:val="18"/>
                      <w:szCs w:val="18"/>
                      <w:rtl/>
                    </w:rPr>
                    <w:t>חישוב כמות שמן משתתף</w:t>
                  </w:r>
                </w:p>
              </w:txbxContent>
            </v:textbox>
            <w10:anchorlock/>
          </v:rect>
        </w:pict>
      </w:r>
      <w:r>
        <w:rPr>
          <w:rStyle w:val="big-number"/>
          <w:rFonts w:cs="Miriam" w:hint="cs"/>
          <w:rtl/>
        </w:rPr>
        <w:t>35</w:t>
      </w:r>
      <w:r>
        <w:rPr>
          <w:rStyle w:val="big-number"/>
          <w:rFonts w:cs="FrankRuehl"/>
          <w:sz w:val="26"/>
          <w:szCs w:val="26"/>
          <w:rtl/>
        </w:rPr>
        <w:t>.</w:t>
      </w:r>
      <w:r>
        <w:rPr>
          <w:rStyle w:val="big-number"/>
          <w:rFonts w:cs="FrankRuehl"/>
          <w:sz w:val="26"/>
          <w:szCs w:val="26"/>
          <w:rtl/>
        </w:rPr>
        <w:tab/>
      </w:r>
      <w:r>
        <w:rPr>
          <w:rStyle w:val="default"/>
          <w:rFonts w:cs="FrankRuehl" w:hint="cs"/>
          <w:rtl/>
        </w:rPr>
        <w:t>לצורך חישוב כמות השמן המשתתף של בעל מטען או יבואן בשנת כספים, תובא בחשבון כל כמות שמן משתתף שיובאה גם באמצעות חברה בת, חברה מסונפת או חברה קשורה, כמשמעותן בחוק ניירות ערך, התשכ"ח-1968, של אותו בעל מטען או יבואן.</w:t>
      </w:r>
    </w:p>
    <w:p w:rsidR="00657DE2" w:rsidRDefault="00657DE2">
      <w:pPr>
        <w:pStyle w:val="medium2-header"/>
        <w:keepLines w:val="0"/>
        <w:spacing w:before="72"/>
        <w:ind w:left="0" w:right="1134"/>
        <w:outlineLvl w:val="0"/>
        <w:rPr>
          <w:rFonts w:cs="FrankRuehl" w:hint="cs"/>
          <w:noProof/>
          <w:rtl/>
        </w:rPr>
      </w:pPr>
      <w:bookmarkStart w:id="46" w:name="med5"/>
      <w:bookmarkEnd w:id="46"/>
      <w:r>
        <w:rPr>
          <w:rFonts w:cs="FrankRuehl" w:hint="cs"/>
          <w:noProof/>
          <w:rtl/>
        </w:rPr>
        <w:t>פרק ו': עבירות</w:t>
      </w:r>
    </w:p>
    <w:p w:rsidR="00657DE2" w:rsidRDefault="00657DE2">
      <w:pPr>
        <w:pStyle w:val="P00"/>
        <w:spacing w:before="72"/>
        <w:ind w:left="0" w:right="1134"/>
        <w:rPr>
          <w:rStyle w:val="default"/>
          <w:rFonts w:cs="FrankRuehl" w:hint="cs"/>
          <w:rtl/>
        </w:rPr>
      </w:pPr>
      <w:bookmarkStart w:id="47" w:name="Seif36"/>
      <w:bookmarkEnd w:id="47"/>
      <w:r>
        <w:rPr>
          <w:rFonts w:cs="Miriam"/>
          <w:lang w:val="he-IL"/>
        </w:rPr>
        <w:pict>
          <v:rect id="_x0000_s1116" style="position:absolute;left:0;text-align:left;margin-left:463.5pt;margin-top:8.05pt;width:75.05pt;height:10pt;z-index:251673088" filled="f" stroked="f" strokecolor="lime" strokeweight=".25pt">
            <v:textbox style="mso-next-textbox:#_x0000_s1116" inset="1mm,0,1mm,0">
              <w:txbxContent>
                <w:p w:rsidR="00657DE2" w:rsidRDefault="00657DE2">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36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בעל כלי שיט המוביל שמן ואין לו פוליסת ביטוח או בטוחה כספית להובלת השמן, בניגוד להוראת סעיף 4(א), דינו </w:t>
      </w:r>
      <w:r>
        <w:rPr>
          <w:rStyle w:val="default"/>
          <w:rFonts w:cs="FrankRuehl"/>
          <w:rtl/>
        </w:rPr>
        <w:t>–</w:t>
      </w:r>
      <w:r>
        <w:rPr>
          <w:rStyle w:val="default"/>
          <w:rFonts w:cs="FrankRuehl" w:hint="cs"/>
          <w:rtl/>
        </w:rPr>
        <w:t xml:space="preserve"> קנס פי ארבעה מהקנס האמור בסעיף 61(א)(3) לחוק העונשין, התשל"ז-1977 (בחוק זה </w:t>
      </w:r>
      <w:r>
        <w:rPr>
          <w:rStyle w:val="default"/>
          <w:rFonts w:cs="FrankRuehl"/>
          <w:rtl/>
        </w:rPr>
        <w:t>–</w:t>
      </w:r>
      <w:r>
        <w:rPr>
          <w:rStyle w:val="default"/>
          <w:rFonts w:cs="FrankRuehl" w:hint="cs"/>
          <w:rtl/>
        </w:rPr>
        <w:t xml:space="preserve"> חוק העונשין).</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העושה אחד מאלה, דינו </w:t>
      </w:r>
      <w:r>
        <w:rPr>
          <w:rStyle w:val="default"/>
          <w:rFonts w:cs="FrankRuehl"/>
          <w:rtl/>
        </w:rPr>
        <w:t>–</w:t>
      </w:r>
      <w:r>
        <w:rPr>
          <w:rStyle w:val="default"/>
          <w:rFonts w:cs="FrankRuehl" w:hint="cs"/>
          <w:rtl/>
        </w:rPr>
        <w:t xml:space="preserve"> קנס פי שניים מהקנס האמור בסעיף 61(א)(3) לחוק העונשין </w:t>
      </w:r>
      <w:r>
        <w:rPr>
          <w:rStyle w:val="default"/>
          <w:rFonts w:cs="FrankRuehl"/>
          <w:rtl/>
        </w:rPr>
        <w:t>–</w:t>
      </w:r>
    </w:p>
    <w:p w:rsidR="00657DE2" w:rsidRDefault="00657DE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משיט כלי שיט בלי שיש בכלי השיט תעודת אישור, בניגוד להוראות סעיף 6;</w:t>
      </w:r>
    </w:p>
    <w:p w:rsidR="00657DE2" w:rsidRDefault="00657DE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משיט כלי שיט בניגוד להוראות המנהל או מנהל נמל, לפי הוראות סעיף 7.</w:t>
      </w:r>
    </w:p>
    <w:p w:rsidR="00657DE2" w:rsidRDefault="00657D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נעברה עבירה לפי סעיף זה בידי תאגיד, דינו </w:t>
      </w:r>
      <w:r>
        <w:rPr>
          <w:rStyle w:val="default"/>
          <w:rFonts w:cs="FrankRuehl"/>
          <w:rtl/>
        </w:rPr>
        <w:t>–</w:t>
      </w:r>
      <w:r>
        <w:rPr>
          <w:rStyle w:val="default"/>
          <w:rFonts w:cs="FrankRuehl" w:hint="cs"/>
          <w:rtl/>
        </w:rPr>
        <w:t xml:space="preserve"> קנס פי ארבעה מהקנס שנקבע לאותה עבירה.</w:t>
      </w:r>
    </w:p>
    <w:p w:rsidR="00657DE2" w:rsidRDefault="00657DE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נעברה עבירה לפי סעיף זה, ועושה העבירה המשיך לבצע את העבירה לאחר שנמסרה לו התראה בכתב מאת המנהל לענין ההפרה, דינו </w:t>
      </w:r>
      <w:r>
        <w:rPr>
          <w:rStyle w:val="default"/>
          <w:rFonts w:cs="FrankRuehl"/>
          <w:rtl/>
        </w:rPr>
        <w:t>–</w:t>
      </w:r>
      <w:r>
        <w:rPr>
          <w:rStyle w:val="default"/>
          <w:rFonts w:cs="FrankRuehl" w:hint="cs"/>
          <w:rtl/>
        </w:rPr>
        <w:t xml:space="preserve"> נוסף על העונש הקבוע לעבירה, קנס נוסף, בשיעור חמישה אחוזים מהקנס הקבוע לעבירה, לכל יום שבו נמשכת העבירה, מיום מסירת ההתראה, או ממועד מאוחר יותר שנקבע בה אם נקבע; על מסירה לפי סעיף זה יחולו הוראות סעיף 237 לחוק סדר הדין הפלילי [נוסח משולב], התשמ"ב-1982, בענין המצאת מסמכים, בשינויים המחויבים.</w:t>
      </w:r>
    </w:p>
    <w:p w:rsidR="00657DE2" w:rsidRDefault="00657DE2">
      <w:pPr>
        <w:pStyle w:val="medium2-header"/>
        <w:keepLines w:val="0"/>
        <w:spacing w:before="72"/>
        <w:ind w:left="0" w:right="1134"/>
        <w:outlineLvl w:val="0"/>
        <w:rPr>
          <w:rFonts w:cs="FrankRuehl" w:hint="cs"/>
          <w:noProof/>
          <w:rtl/>
        </w:rPr>
      </w:pPr>
      <w:bookmarkStart w:id="48" w:name="med6"/>
      <w:bookmarkEnd w:id="48"/>
      <w:r>
        <w:rPr>
          <w:rFonts w:cs="FrankRuehl" w:hint="cs"/>
          <w:noProof/>
          <w:rtl/>
        </w:rPr>
        <w:t>פרק ז': שונות</w:t>
      </w:r>
    </w:p>
    <w:p w:rsidR="00657DE2" w:rsidRDefault="00657DE2">
      <w:pPr>
        <w:pStyle w:val="P00"/>
        <w:spacing w:before="72"/>
        <w:ind w:left="0" w:right="1134"/>
        <w:rPr>
          <w:rStyle w:val="default"/>
          <w:rFonts w:cs="FrankRuehl" w:hint="cs"/>
          <w:rtl/>
        </w:rPr>
      </w:pPr>
      <w:bookmarkStart w:id="49" w:name="Seif37"/>
      <w:bookmarkEnd w:id="49"/>
      <w:r>
        <w:rPr>
          <w:rFonts w:cs="Miriam"/>
          <w:lang w:val="he-IL"/>
        </w:rPr>
        <w:pict>
          <v:rect id="_x0000_s1117" style="position:absolute;left:0;text-align:left;margin-left:463.5pt;margin-top:8.05pt;width:75.05pt;height:21.8pt;z-index:251674112" filled="f" stroked="f" strokecolor="lime" strokeweight=".25pt">
            <v:textbox style="mso-next-textbox:#_x0000_s1117" inset="1mm,0,1mm,0">
              <w:txbxContent>
                <w:p w:rsidR="00657DE2" w:rsidRDefault="00657DE2">
                  <w:pPr>
                    <w:spacing w:line="160" w:lineRule="exact"/>
                    <w:rPr>
                      <w:rFonts w:cs="Miriam" w:hint="cs"/>
                      <w:noProof/>
                      <w:sz w:val="18"/>
                      <w:szCs w:val="18"/>
                      <w:rtl/>
                    </w:rPr>
                  </w:pPr>
                  <w:r>
                    <w:rPr>
                      <w:rFonts w:cs="Miriam" w:hint="cs"/>
                      <w:sz w:val="18"/>
                      <w:szCs w:val="18"/>
                      <w:rtl/>
                    </w:rPr>
                    <w:t>דין המדינה ודין מדינות אחרות בעלות כלי שיט</w:t>
                  </w:r>
                </w:p>
              </w:txbxContent>
            </v:textbox>
            <w10:anchorlock/>
          </v:rect>
        </w:pict>
      </w:r>
      <w:r>
        <w:rPr>
          <w:rStyle w:val="big-number"/>
          <w:rFonts w:cs="Miriam" w:hint="cs"/>
          <w:rtl/>
        </w:rPr>
        <w:t>37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לענין חוק זה, די המדינה כבעלת כלי שיט בעת שהוא בשימוש מסחרי, כדין בעל כלי שיט אחר, ואולם חובת הביטוח או הבטוחה הכספית לפי סעיף 4 והחובה לשאת תעודת אישור לפי סעיף 6 לא יחולו, ובלבד שהמנהל באישור שר התחבורה ושר האוצר הוציא לכלי השיט תעודה לפיה כלי השיט הוא בבעלות המדינה וחבות המדינה כבעל כלי השיט לנזק זיהום מכוסה על ידה בגובה סכום החבות הקבוע לפי חוק זה, וכלי השיט נושא תעודה זו בעת הפלגתו; תעודה כאמור תהיה ככל האפשר ובשינויים המחויבים, כאמור בתוספת השניה.</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דין מדינה החברה באמנה כבעלת כלי שיט בעת שהוא בשימוש מסחרי, כדין המדינה, ואולם התעודה האמורה בסעיף קטן (א) תוצא בידי הרשות המוסמכת של אותה מדינה, וסכום החבות ונוסח התעודה יהיו כקבוע לפי האמנה.</w:t>
      </w:r>
    </w:p>
    <w:p w:rsidR="00657DE2" w:rsidRDefault="00657DE2">
      <w:pPr>
        <w:pStyle w:val="P00"/>
        <w:spacing w:before="72"/>
        <w:ind w:left="0" w:right="1134"/>
        <w:rPr>
          <w:rStyle w:val="default"/>
          <w:rFonts w:cs="FrankRuehl" w:hint="cs"/>
          <w:rtl/>
        </w:rPr>
      </w:pPr>
      <w:bookmarkStart w:id="50" w:name="Seif38"/>
      <w:bookmarkEnd w:id="50"/>
      <w:r>
        <w:rPr>
          <w:rFonts w:cs="Miriam"/>
          <w:lang w:val="he-IL"/>
        </w:rPr>
        <w:pict>
          <v:rect id="_x0000_s1118" style="position:absolute;left:0;text-align:left;margin-left:463.5pt;margin-top:8.05pt;width:75.05pt;height:10pt;z-index:251675136" filled="f" stroked="f" strokecolor="lime" strokeweight=".25pt">
            <v:textbox style="mso-next-textbox:#_x0000_s1118" inset="1mm,0,1mm,0">
              <w:txbxContent>
                <w:p w:rsidR="00657DE2" w:rsidRDefault="00657DE2">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38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שר התחבורה ממונה על ביצוע חוק זה והוא רשאי להתקין תקנות לביצועו, וכן רשאי הוא לשנות את התוספת השניה.</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תוקנה האמנה או אמנת הקרן, באופן שהוראותיה אינן תואמות עוד את הוראות התוספת הראשונה או התוספת השלישית, לפי הענין, והתיקון אושרר, יתקן שר התחבורה, בצו, את התוספת הראשונה או התוספת השלישית, לפי הענין, באופן שסכומי הגבלת החבות הקבועים בתוספת הראשונה, או הסכום הכולל של הפיצויים שניתן להטיל על הקרן הבין-לאומית הקבוע בתוספת השלישית, יהיה כאמור בתיקון שאושרר.</w:t>
      </w:r>
    </w:p>
    <w:p w:rsidR="00657DE2" w:rsidRDefault="00657DE2">
      <w:pPr>
        <w:pStyle w:val="P00"/>
        <w:spacing w:before="72"/>
        <w:ind w:left="0" w:right="1134"/>
        <w:rPr>
          <w:rStyle w:val="default"/>
          <w:rFonts w:cs="FrankRuehl" w:hint="cs"/>
          <w:rtl/>
        </w:rPr>
      </w:pPr>
      <w:bookmarkStart w:id="51" w:name="Seif39"/>
      <w:bookmarkEnd w:id="51"/>
      <w:r>
        <w:rPr>
          <w:rFonts w:cs="Miriam"/>
          <w:lang w:val="he-IL"/>
        </w:rPr>
        <w:pict>
          <v:rect id="_x0000_s1119" style="position:absolute;left:0;text-align:left;margin-left:463.5pt;margin-top:8.05pt;width:75.05pt;height:10pt;z-index:251676160" filled="f" stroked="f" strokecolor="lime" strokeweight=".25pt">
            <v:textbox style="mso-next-textbox:#_x0000_s1119" inset="1mm,0,1mm,0">
              <w:txbxContent>
                <w:p w:rsidR="00657DE2" w:rsidRDefault="00657DE2">
                  <w:pPr>
                    <w:spacing w:line="160" w:lineRule="exact"/>
                    <w:rPr>
                      <w:rFonts w:cs="Miriam" w:hint="cs"/>
                      <w:noProof/>
                      <w:sz w:val="18"/>
                      <w:szCs w:val="18"/>
                      <w:rtl/>
                    </w:rPr>
                  </w:pPr>
                  <w:r>
                    <w:rPr>
                      <w:rFonts w:cs="Miriam" w:hint="cs"/>
                      <w:sz w:val="18"/>
                      <w:szCs w:val="18"/>
                      <w:rtl/>
                    </w:rPr>
                    <w:t>תקנות סדרי דין</w:t>
                  </w:r>
                </w:p>
              </w:txbxContent>
            </v:textbox>
            <w10:anchorlock/>
          </v:rect>
        </w:pict>
      </w:r>
      <w:r>
        <w:rPr>
          <w:rStyle w:val="big-number"/>
          <w:rFonts w:cs="Miriam" w:hint="cs"/>
          <w:rtl/>
        </w:rPr>
        <w:t>39</w:t>
      </w:r>
      <w:r>
        <w:rPr>
          <w:rStyle w:val="big-number"/>
          <w:rFonts w:cs="FrankRuehl"/>
          <w:sz w:val="26"/>
          <w:szCs w:val="26"/>
          <w:rtl/>
        </w:rPr>
        <w:t>.</w:t>
      </w:r>
      <w:r>
        <w:rPr>
          <w:rStyle w:val="big-number"/>
          <w:rFonts w:cs="FrankRuehl"/>
          <w:sz w:val="26"/>
          <w:szCs w:val="26"/>
          <w:rtl/>
        </w:rPr>
        <w:tab/>
      </w:r>
      <w:r>
        <w:rPr>
          <w:rStyle w:val="default"/>
          <w:rFonts w:cs="FrankRuehl" w:hint="cs"/>
          <w:rtl/>
        </w:rPr>
        <w:t>שר המשפטים, בהסכמת שר התחבורה, יתקין תקנות בדבר סדרי הדין לענין חוק זה לרבות בדבר בקשה להקמת קרן הגבלה, הגשת תביעה לפיצויים, דרכי מסירת הודעות ומסמכים וערעור.</w:t>
      </w:r>
    </w:p>
    <w:p w:rsidR="00657DE2" w:rsidRDefault="00657DE2">
      <w:pPr>
        <w:pStyle w:val="P00"/>
        <w:spacing w:before="72"/>
        <w:ind w:left="0" w:right="1134"/>
        <w:rPr>
          <w:rStyle w:val="default"/>
          <w:rFonts w:cs="FrankRuehl" w:hint="cs"/>
          <w:rtl/>
        </w:rPr>
      </w:pPr>
      <w:r>
        <w:rPr>
          <w:rFonts w:cs="Miriam"/>
          <w:lang w:val="he-IL"/>
        </w:rPr>
        <w:pict>
          <v:rect id="_x0000_s1120" style="position:absolute;left:0;text-align:left;margin-left:463.5pt;margin-top:8.05pt;width:75.05pt;height:20.85pt;z-index:251677184" filled="f" stroked="f" strokecolor="lime" strokeweight=".25pt">
            <v:textbox style="mso-next-textbox:#_x0000_s1120" inset="1mm,0,1mm,0">
              <w:txbxContent>
                <w:p w:rsidR="00657DE2" w:rsidRDefault="00657DE2">
                  <w:pPr>
                    <w:spacing w:line="160" w:lineRule="exact"/>
                    <w:rPr>
                      <w:rFonts w:cs="Miriam" w:hint="cs"/>
                      <w:noProof/>
                      <w:sz w:val="18"/>
                      <w:szCs w:val="18"/>
                      <w:rtl/>
                    </w:rPr>
                  </w:pPr>
                  <w:r>
                    <w:rPr>
                      <w:rFonts w:cs="Miriam" w:hint="cs"/>
                      <w:sz w:val="18"/>
                      <w:szCs w:val="18"/>
                      <w:rtl/>
                    </w:rPr>
                    <w:t>תיקון פקודת מניעת זיהום מי-ים בשמן</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Pr>
          <w:rStyle w:val="default"/>
          <w:rFonts w:cs="FrankRuehl" w:hint="cs"/>
          <w:rtl/>
        </w:rPr>
        <w:t>בפקודת מניעת זיהום מי-ים בשמן [נוסח חדש], התש"ם-1980, בסעיף 29, אחרי סעיף קטן (ה) יבוא:</w:t>
      </w:r>
    </w:p>
    <w:p w:rsidR="00657DE2" w:rsidRDefault="00657DE2">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הורשע אשם בעבירה לפי סעיף 18, ועל אותו מעשה שעליו הורשע חל חוק האחריות לפיצוי נזקי זיהום בזמן, התשס"ד-2004, והוגשה תביעה לפיצויים לפי סעיף 21 לאותו חוק, לא יחולו על מי שהורשע כאמור הוראות סעיף זה, וכן לא יחולו הוראות סעיף 30".</w:t>
      </w:r>
    </w:p>
    <w:p w:rsidR="00657DE2" w:rsidRDefault="00657DE2">
      <w:pPr>
        <w:pStyle w:val="P00"/>
        <w:spacing w:before="72"/>
        <w:ind w:left="0" w:right="1134"/>
        <w:rPr>
          <w:rStyle w:val="default"/>
          <w:rFonts w:cs="FrankRuehl" w:hint="cs"/>
          <w:rtl/>
        </w:rPr>
      </w:pPr>
      <w:bookmarkStart w:id="52" w:name="Seif40"/>
      <w:bookmarkEnd w:id="52"/>
      <w:r>
        <w:rPr>
          <w:rFonts w:cs="Miriam"/>
          <w:lang w:val="he-IL"/>
        </w:rPr>
        <w:pict>
          <v:rect id="_x0000_s1121" style="position:absolute;left:0;text-align:left;margin-left:463.5pt;margin-top:8.05pt;width:75.05pt;height:10pt;z-index:251678208" filled="f" stroked="f" strokecolor="lime" strokeweight=".25pt">
            <v:textbox style="mso-next-textbox:#_x0000_s1121" inset="1mm,0,1mm,0">
              <w:txbxContent>
                <w:p w:rsidR="00657DE2" w:rsidRDefault="00657DE2">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תחילתו של חוק זה שנה מיום שמדינת ישראל הפקידה הודעות בדבר אשרור האמנה ואמנת הקרן בידי ממשלת ישראל אצל המזכיר הכללי של ארגון הספנות הבין-לאומי</w:t>
      </w:r>
      <w:r w:rsidR="00E248F2">
        <w:rPr>
          <w:rStyle w:val="a6"/>
          <w:rFonts w:cs="FrankRuehl"/>
          <w:sz w:val="26"/>
          <w:rtl/>
        </w:rPr>
        <w:footnoteReference w:id="4"/>
      </w:r>
      <w:r>
        <w:rPr>
          <w:rStyle w:val="default"/>
          <w:rFonts w:cs="FrankRuehl" w:hint="cs"/>
          <w:rtl/>
        </w:rPr>
        <w:t>.</w:t>
      </w:r>
    </w:p>
    <w:p w:rsidR="00657DE2" w:rsidRDefault="00657D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התחבורה יפרסם ברשומות הודעה בדבר הפקדת הודעות האשרור ומועדן, כאמור בסעיף קטן (א), סמוך ככל האפשר להפקדתן.</w:t>
      </w:r>
    </w:p>
    <w:p w:rsidR="00657DE2" w:rsidRDefault="00657DE2">
      <w:pPr>
        <w:pStyle w:val="P00"/>
        <w:spacing w:before="72"/>
        <w:ind w:left="0" w:right="1134"/>
        <w:rPr>
          <w:rStyle w:val="default"/>
          <w:rFonts w:cs="FrankRuehl" w:hint="cs"/>
          <w:rtl/>
        </w:rPr>
      </w:pPr>
    </w:p>
    <w:p w:rsidR="00657DE2" w:rsidRDefault="00657DE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ראשונה</w:t>
      </w:r>
    </w:p>
    <w:p w:rsidR="00657DE2" w:rsidRDefault="00657DE2">
      <w:pPr>
        <w:pStyle w:val="P00"/>
        <w:spacing w:before="72"/>
        <w:ind w:left="0" w:right="1134"/>
        <w:jc w:val="center"/>
        <w:rPr>
          <w:rStyle w:val="default"/>
          <w:rFonts w:cs="FrankRuehl" w:hint="cs"/>
          <w:sz w:val="24"/>
          <w:szCs w:val="24"/>
          <w:rtl/>
        </w:rPr>
      </w:pPr>
      <w:r>
        <w:rPr>
          <w:rStyle w:val="default"/>
          <w:rFonts w:cs="FrankRuehl" w:hint="cs"/>
          <w:sz w:val="24"/>
          <w:szCs w:val="24"/>
          <w:rtl/>
        </w:rPr>
        <w:t>(סעיפים 4 ו-10)</w:t>
      </w:r>
    </w:p>
    <w:p w:rsidR="00657DE2" w:rsidRDefault="00657DE2">
      <w:pPr>
        <w:pStyle w:val="P00"/>
        <w:spacing w:before="72"/>
        <w:ind w:left="0" w:right="1134"/>
        <w:rPr>
          <w:rStyle w:val="default"/>
          <w:rFonts w:cs="FrankRuehl" w:hint="cs"/>
          <w:rtl/>
        </w:rPr>
      </w:pPr>
    </w:p>
    <w:p w:rsidR="00657DE2" w:rsidRDefault="00657DE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(חישוב סכומי החבות של בעל כלי השיט)</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 xml:space="preserve">בתוספת זו, "יחידת חישוב" </w:t>
      </w:r>
      <w:r>
        <w:rPr>
          <w:rStyle w:val="default"/>
          <w:rFonts w:cs="FrankRuehl"/>
          <w:rtl/>
        </w:rPr>
        <w:t>–</w:t>
      </w:r>
      <w:r>
        <w:rPr>
          <w:rStyle w:val="default"/>
          <w:rFonts w:cs="FrankRuehl" w:hint="cs"/>
          <w:rtl/>
        </w:rPr>
        <w:t xml:space="preserve"> זכות המשיכה המיוחדת (</w:t>
      </w:r>
      <w:r>
        <w:rPr>
          <w:rStyle w:val="default"/>
          <w:rFonts w:cs="FrankRuehl"/>
          <w:sz w:val="20"/>
          <w:szCs w:val="20"/>
        </w:rPr>
        <w:t>Special Drawing Right</w:t>
      </w:r>
      <w:r>
        <w:rPr>
          <w:rStyle w:val="default"/>
          <w:rFonts w:cs="FrankRuehl" w:hint="cs"/>
          <w:rtl/>
        </w:rPr>
        <w:t>) כפי שהוגדרה על ידי קרן המטבע הבין-לאומית.</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סכומי הגבלת החבות יהיו כלהלן:</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 xml:space="preserve">לגבי כלי שיט שתפוסתו ברוטו אינה עולה על 5,000 טון רשום </w:t>
      </w:r>
      <w:r>
        <w:rPr>
          <w:rStyle w:val="default"/>
          <w:rFonts w:cs="FrankRuehl"/>
          <w:rtl/>
        </w:rPr>
        <w:t>–</w:t>
      </w:r>
      <w:r>
        <w:rPr>
          <w:rStyle w:val="default"/>
          <w:rFonts w:cs="FrankRuehl" w:hint="cs"/>
          <w:rtl/>
        </w:rPr>
        <w:t xml:space="preserve"> סכום השווה בשקלים חדשים ל-4.51 מיליון יחידות חישוב;</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 xml:space="preserve">לגבי כלי שיט שתפוסתו ברוטו מעל 5,000 טון רשום </w:t>
      </w:r>
      <w:r>
        <w:rPr>
          <w:rStyle w:val="default"/>
          <w:rFonts w:cs="FrankRuehl"/>
          <w:rtl/>
        </w:rPr>
        <w:t>–</w:t>
      </w:r>
      <w:r>
        <w:rPr>
          <w:rStyle w:val="default"/>
          <w:rFonts w:cs="FrankRuehl" w:hint="cs"/>
          <w:rtl/>
        </w:rPr>
        <w:t xml:space="preserve"> סכום השווה בשקלים חדשים ל-4.51 מיליון יחידות חישוב, בתוספת של סכום השווה בשקלים חדשים ל-6.31 יחידות חישוב לכל טון רשות שמעל 5,000 הטון הראשונים;</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(3)</w:t>
      </w:r>
      <w:r>
        <w:rPr>
          <w:rStyle w:val="default"/>
          <w:rFonts w:cs="FrankRuehl" w:hint="cs"/>
          <w:rtl/>
        </w:rPr>
        <w:tab/>
        <w:t>הגבלת החבות לא תעלה על סכום השווה בשקלים חדשים ל-89.77 מיליון יחידות חישוב.</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לצורך חישוב סכום הגבלת החבות בשקלים חדשים, כאמור בסעיף 2 בתוספת זו, ישמשו שערי החליפין האלה:</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שער החליפין של יחידת החישוב לעומת הדולר של ארצות הברית של אמריקה כפי שפרסמה קרן המטבע הבין-לאומית ביום הקמת קרן-ההגבלה לפי סעיף 15 לחוק זה;</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שער החליפין היציד של הדולר של ארצות הברית של אמריקה לעומת השקל החדש כפי שפרסם בנק ישראל ביום הקמת קרן ההגבלה כאמור בפסקה (1).</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p>
    <w:p w:rsidR="00657DE2" w:rsidRDefault="00657DE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שניה</w:t>
      </w:r>
    </w:p>
    <w:p w:rsidR="00657DE2" w:rsidRDefault="00657DE2">
      <w:pPr>
        <w:pStyle w:val="P00"/>
        <w:spacing w:before="72"/>
        <w:ind w:left="0" w:right="1134"/>
        <w:jc w:val="center"/>
        <w:rPr>
          <w:rStyle w:val="default"/>
          <w:rFonts w:cs="FrankRuehl" w:hint="cs"/>
          <w:sz w:val="24"/>
          <w:szCs w:val="24"/>
          <w:rtl/>
        </w:rPr>
      </w:pPr>
      <w:r>
        <w:rPr>
          <w:rStyle w:val="default"/>
          <w:rFonts w:cs="FrankRuehl" w:hint="cs"/>
          <w:sz w:val="24"/>
          <w:szCs w:val="24"/>
          <w:rtl/>
        </w:rPr>
        <w:t>(סעיף 5)</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657DE2" w:rsidRDefault="00657DE2">
      <w:pPr>
        <w:pStyle w:val="P00"/>
        <w:spacing w:before="72"/>
        <w:ind w:left="0" w:right="1134"/>
        <w:jc w:val="center"/>
        <w:rPr>
          <w:rStyle w:val="default"/>
          <w:rFonts w:cs="FrankRuehl"/>
          <w:b/>
          <w:bCs/>
          <w:sz w:val="22"/>
          <w:szCs w:val="22"/>
          <w:rtl/>
        </w:rPr>
      </w:pPr>
      <w:r>
        <w:rPr>
          <w:rStyle w:val="default"/>
          <w:rFonts w:cs="FrankRuehl" w:hint="cs"/>
          <w:b/>
          <w:bCs/>
          <w:sz w:val="22"/>
          <w:szCs w:val="22"/>
          <w:rtl/>
        </w:rPr>
        <w:t>(תעודת אישור לפוליסת ביטוח לבטוחה כספית לכיסוי חבות בנזיקין לנזק זיהום בשמן)</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rtl/>
        </w:rPr>
      </w:pP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rtl/>
        </w:rPr>
      </w:pPr>
      <w:r>
        <w:rPr>
          <w:rStyle w:val="default"/>
          <w:rFonts w:cs="FrankRuehl" w:hint="cs"/>
          <w:b/>
          <w:bCs/>
          <w:rtl/>
        </w:rPr>
        <w:t>מדינת ישראל</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sz w:val="20"/>
          <w:szCs w:val="20"/>
          <w:rtl/>
        </w:rPr>
      </w:pPr>
      <w:r>
        <w:rPr>
          <w:rStyle w:val="default"/>
          <w:rFonts w:cs="FrankRuehl"/>
          <w:sz w:val="20"/>
          <w:szCs w:val="20"/>
        </w:rPr>
        <w:t xml:space="preserve">STATE OF </w:t>
      </w:r>
      <w:smartTag w:uri="urn:schemas-microsoft-com:office:smarttags" w:element="country-region">
        <w:smartTag w:uri="urn:schemas-microsoft-com:office:smarttags" w:element="place">
          <w:r>
            <w:rPr>
              <w:rStyle w:val="default"/>
              <w:rFonts w:cs="FrankRuehl"/>
              <w:sz w:val="20"/>
              <w:szCs w:val="20"/>
            </w:rPr>
            <w:t>ISRAEL</w:t>
          </w:r>
        </w:smartTag>
      </w:smartTag>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b/>
          <w:bCs/>
          <w:sz w:val="24"/>
          <w:szCs w:val="24"/>
          <w:rtl/>
        </w:rPr>
      </w:pPr>
      <w:r>
        <w:rPr>
          <w:rStyle w:val="default"/>
          <w:rFonts w:cs="FrankRuehl" w:hint="cs"/>
          <w:b/>
          <w:bCs/>
          <w:sz w:val="24"/>
          <w:szCs w:val="24"/>
          <w:rtl/>
        </w:rPr>
        <w:t>תעודת אישור בדבר ביטוח או בטוחה כספית אחרת לכיסוי חבות בנזיקין לנזק זיהום בשמן</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rtl/>
        </w:rPr>
      </w:pPr>
      <w:r>
        <w:rPr>
          <w:rStyle w:val="default"/>
          <w:rFonts w:cs="FrankRuehl"/>
          <w:sz w:val="20"/>
          <w:szCs w:val="20"/>
        </w:rPr>
        <w:t>CERTIFICATE OF INSURANCE OR OTHER FINANCIAL SECURITY IN RESPECT OF CIVIL LIABILITY FOR OIL POLLUTION DAMAGE</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sz w:val="24"/>
          <w:szCs w:val="24"/>
          <w:rtl/>
        </w:rPr>
      </w:pPr>
      <w:r>
        <w:rPr>
          <w:rStyle w:val="default"/>
          <w:rFonts w:cs="FrankRuehl" w:hint="cs"/>
          <w:sz w:val="24"/>
          <w:szCs w:val="24"/>
          <w:rtl/>
        </w:rPr>
        <w:t>ניתנה בהתאם להוראות האמנה הבין-לאומית בדבר אחריות לנזקי זיהום בשמן, 1992</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rtl/>
        </w:rPr>
      </w:pPr>
      <w:r>
        <w:rPr>
          <w:rStyle w:val="default"/>
          <w:rFonts w:cs="FrankRuehl"/>
          <w:sz w:val="20"/>
          <w:szCs w:val="20"/>
        </w:rPr>
        <w:t>Issued in accordance with the provisions of the International Convention on Civil Liability for Oil Pollution Damage, 1991</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Style w:val="default"/>
          <w:rFonts w:cs="FrankRuehl" w:hint="cs"/>
          <w:rtl/>
        </w:rPr>
      </w:pPr>
      <w:r>
        <w:rPr>
          <w:rStyle w:val="default"/>
          <w:rFonts w:cs="FrankRuehl" w:hint="cs"/>
          <w:rtl/>
        </w:rPr>
        <w:t xml:space="preserve">תעודה מס' ________________ </w:t>
      </w:r>
      <w:r>
        <w:rPr>
          <w:rStyle w:val="default"/>
          <w:rFonts w:cs="FrankRuehl"/>
          <w:sz w:val="20"/>
          <w:szCs w:val="20"/>
        </w:rPr>
        <w:t>Certificate No.</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657DE2" w:rsidRDefault="00657DE2">
      <w:pPr>
        <w:pStyle w:val="P00"/>
        <w:pBdr>
          <w:top w:val="single" w:sz="4" w:space="1" w:color="auto"/>
        </w:pBdr>
        <w:tabs>
          <w:tab w:val="clear" w:pos="624"/>
          <w:tab w:val="clear" w:pos="1021"/>
          <w:tab w:val="clear" w:pos="1474"/>
          <w:tab w:val="clear" w:pos="1928"/>
          <w:tab w:val="clear" w:pos="2381"/>
          <w:tab w:val="clear" w:pos="2835"/>
          <w:tab w:val="clear" w:pos="6259"/>
          <w:tab w:val="left" w:pos="2268"/>
          <w:tab w:val="left" w:pos="4536"/>
          <w:tab w:val="left" w:pos="5954"/>
        </w:tabs>
        <w:spacing w:before="72"/>
        <w:ind w:left="0" w:right="1134"/>
        <w:rPr>
          <w:rStyle w:val="default"/>
          <w:rFonts w:cs="FrankRuehl" w:hint="cs"/>
          <w:sz w:val="18"/>
          <w:szCs w:val="18"/>
          <w:rtl/>
        </w:rPr>
      </w:pPr>
      <w:r>
        <w:rPr>
          <w:rStyle w:val="default"/>
          <w:rFonts w:cs="FrankRuehl"/>
          <w:sz w:val="18"/>
          <w:szCs w:val="18"/>
        </w:rPr>
        <w:t>Name of ship &amp;</w:t>
      </w:r>
      <w:r>
        <w:rPr>
          <w:rStyle w:val="default"/>
          <w:rFonts w:cs="FrankRuehl" w:hint="cs"/>
          <w:sz w:val="18"/>
          <w:szCs w:val="18"/>
          <w:rtl/>
        </w:rPr>
        <w:tab/>
      </w:r>
      <w:r>
        <w:rPr>
          <w:rStyle w:val="default"/>
          <w:rFonts w:cs="FrankRuehl"/>
          <w:sz w:val="18"/>
          <w:szCs w:val="18"/>
        </w:rPr>
        <w:t>Distinctive</w:t>
      </w:r>
      <w:r>
        <w:rPr>
          <w:rStyle w:val="default"/>
          <w:rFonts w:cs="FrankRuehl" w:hint="cs"/>
          <w:sz w:val="18"/>
          <w:szCs w:val="18"/>
          <w:rtl/>
        </w:rPr>
        <w:tab/>
      </w:r>
      <w:r>
        <w:rPr>
          <w:rStyle w:val="default"/>
          <w:rFonts w:cs="FrankRuehl"/>
          <w:sz w:val="18"/>
          <w:szCs w:val="18"/>
        </w:rPr>
        <w:t>Port of</w:t>
      </w:r>
      <w:r>
        <w:rPr>
          <w:rStyle w:val="default"/>
          <w:rFonts w:cs="FrankRuehl" w:hint="cs"/>
          <w:sz w:val="18"/>
          <w:szCs w:val="18"/>
          <w:rtl/>
        </w:rPr>
        <w:tab/>
      </w:r>
      <w:r>
        <w:rPr>
          <w:rStyle w:val="default"/>
          <w:rFonts w:cs="FrankRuehl"/>
          <w:sz w:val="18"/>
          <w:szCs w:val="18"/>
        </w:rPr>
        <w:t>Name and address</w:t>
      </w:r>
    </w:p>
    <w:p w:rsidR="00657DE2" w:rsidRDefault="00657DE2">
      <w:pPr>
        <w:pStyle w:val="P00"/>
        <w:tabs>
          <w:tab w:val="clear" w:pos="624"/>
          <w:tab w:val="clear" w:pos="1021"/>
          <w:tab w:val="clear" w:pos="1474"/>
          <w:tab w:val="clear" w:pos="1928"/>
          <w:tab w:val="clear" w:pos="2381"/>
          <w:tab w:val="clear" w:pos="2835"/>
          <w:tab w:val="clear" w:pos="6259"/>
          <w:tab w:val="left" w:pos="2268"/>
          <w:tab w:val="left" w:pos="4536"/>
          <w:tab w:val="left" w:pos="5954"/>
        </w:tabs>
        <w:spacing w:before="72"/>
        <w:ind w:left="0" w:right="1134"/>
        <w:rPr>
          <w:rStyle w:val="default"/>
          <w:rFonts w:cs="FrankRuehl"/>
          <w:sz w:val="18"/>
          <w:szCs w:val="18"/>
          <w:rtl/>
        </w:rPr>
      </w:pPr>
      <w:r>
        <w:rPr>
          <w:rStyle w:val="default"/>
          <w:rFonts w:cs="FrankRuehl"/>
          <w:sz w:val="18"/>
          <w:szCs w:val="18"/>
        </w:rPr>
        <w:t>IMO Number</w:t>
      </w:r>
      <w:r>
        <w:rPr>
          <w:rStyle w:val="default"/>
          <w:rFonts w:cs="FrankRuehl" w:hint="cs"/>
          <w:sz w:val="18"/>
          <w:szCs w:val="18"/>
          <w:rtl/>
        </w:rPr>
        <w:tab/>
      </w:r>
      <w:r>
        <w:rPr>
          <w:rStyle w:val="default"/>
          <w:rFonts w:cs="FrankRuehl"/>
          <w:sz w:val="18"/>
          <w:szCs w:val="18"/>
        </w:rPr>
        <w:t>number of letters</w:t>
      </w:r>
      <w:r>
        <w:rPr>
          <w:rStyle w:val="default"/>
          <w:rFonts w:cs="FrankRuehl" w:hint="cs"/>
          <w:sz w:val="18"/>
          <w:szCs w:val="18"/>
          <w:rtl/>
        </w:rPr>
        <w:tab/>
      </w:r>
      <w:r>
        <w:rPr>
          <w:rStyle w:val="default"/>
          <w:rFonts w:cs="FrankRuehl"/>
          <w:sz w:val="18"/>
          <w:szCs w:val="18"/>
        </w:rPr>
        <w:t>registry</w:t>
      </w:r>
      <w:r>
        <w:rPr>
          <w:rStyle w:val="default"/>
          <w:rFonts w:cs="FrankRuehl" w:hint="cs"/>
          <w:sz w:val="18"/>
          <w:szCs w:val="18"/>
          <w:rtl/>
        </w:rPr>
        <w:tab/>
      </w:r>
      <w:r>
        <w:rPr>
          <w:rStyle w:val="default"/>
          <w:rFonts w:cs="FrankRuehl"/>
          <w:sz w:val="18"/>
          <w:szCs w:val="18"/>
        </w:rPr>
        <w:t>of owner</w:t>
      </w:r>
    </w:p>
    <w:p w:rsidR="00657DE2" w:rsidRDefault="00657DE2">
      <w:pPr>
        <w:pStyle w:val="P00"/>
        <w:pBdr>
          <w:bottom w:val="single" w:sz="4" w:space="1" w:color="auto"/>
        </w:pBdr>
        <w:tabs>
          <w:tab w:val="clear" w:pos="624"/>
          <w:tab w:val="clear" w:pos="1021"/>
          <w:tab w:val="clear" w:pos="1474"/>
          <w:tab w:val="clear" w:pos="1928"/>
          <w:tab w:val="clear" w:pos="2381"/>
          <w:tab w:val="clear" w:pos="2835"/>
          <w:tab w:val="clear" w:pos="6259"/>
          <w:tab w:val="left" w:pos="2268"/>
          <w:tab w:val="left" w:pos="4536"/>
          <w:tab w:val="left" w:pos="5954"/>
        </w:tabs>
        <w:spacing w:before="72"/>
        <w:ind w:left="0" w:right="1134"/>
        <w:rPr>
          <w:rStyle w:val="default"/>
          <w:rFonts w:cs="FrankRuehl" w:hint="cs"/>
          <w:sz w:val="22"/>
          <w:szCs w:val="22"/>
          <w:rtl/>
        </w:rPr>
      </w:pPr>
      <w:r>
        <w:rPr>
          <w:rStyle w:val="default"/>
          <w:rFonts w:cs="FrankRuehl" w:hint="cs"/>
          <w:sz w:val="22"/>
          <w:szCs w:val="22"/>
          <w:rtl/>
        </w:rPr>
        <w:t>(שם האניה ומספר אימ"ו)</w:t>
      </w:r>
      <w:r>
        <w:rPr>
          <w:rStyle w:val="default"/>
          <w:rFonts w:cs="FrankRuehl" w:hint="cs"/>
          <w:sz w:val="22"/>
          <w:szCs w:val="22"/>
          <w:rtl/>
        </w:rPr>
        <w:tab/>
        <w:t>(מספר רישום או אותיות היכר)</w:t>
      </w:r>
      <w:r>
        <w:rPr>
          <w:rStyle w:val="default"/>
          <w:rFonts w:cs="FrankRuehl" w:hint="cs"/>
          <w:sz w:val="22"/>
          <w:szCs w:val="22"/>
          <w:rtl/>
        </w:rPr>
        <w:tab/>
        <w:t>(נמל רישום)</w:t>
      </w:r>
      <w:r>
        <w:rPr>
          <w:rStyle w:val="default"/>
          <w:rFonts w:cs="FrankRuehl" w:hint="cs"/>
          <w:sz w:val="22"/>
          <w:szCs w:val="22"/>
          <w:rtl/>
        </w:rPr>
        <w:tab/>
        <w:t>(שם וכתובת בעל כלי השיט)</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____________________________________________________________</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____________________________________________________________</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b/>
          <w:bCs/>
          <w:u w:val="single"/>
          <w:rtl/>
        </w:rPr>
        <w:sectPr w:rsidR="00657DE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pP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20"/>
          <w:szCs w:val="20"/>
        </w:rPr>
      </w:pPr>
      <w:r>
        <w:rPr>
          <w:rStyle w:val="default"/>
          <w:rFonts w:cs="FrankRuehl" w:hint="cs"/>
          <w:b/>
          <w:bCs/>
          <w:u w:val="single"/>
          <w:rtl/>
        </w:rPr>
        <w:t>וזאת לתעודה</w:t>
      </w:r>
      <w:r>
        <w:rPr>
          <w:rStyle w:val="default"/>
          <w:rFonts w:cs="FrankRuehl" w:hint="cs"/>
          <w:rtl/>
        </w:rPr>
        <w:t>:</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sz w:val="20"/>
          <w:szCs w:val="20"/>
        </w:rPr>
        <w:t>THIS IS TO CERTIFY:</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 xml:space="preserve">כי לכלי השיט דלעיל פוליסת ביטוח או </w:t>
      </w:r>
      <w:r>
        <w:rPr>
          <w:rStyle w:val="default"/>
          <w:rFonts w:cs="FrankRuehl" w:hint="cs"/>
          <w:rtl/>
        </w:rPr>
        <w:tab/>
      </w:r>
      <w:r>
        <w:rPr>
          <w:rStyle w:val="default"/>
          <w:rFonts w:cs="FrankRuehl"/>
          <w:sz w:val="18"/>
          <w:szCs w:val="18"/>
        </w:rPr>
        <w:t xml:space="preserve">that there is in force in respect of the above-named </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 xml:space="preserve">בטוחה כספית אחרת בתוקף, בעומדת </w:t>
      </w:r>
      <w:r>
        <w:rPr>
          <w:rStyle w:val="default"/>
          <w:rFonts w:cs="FrankRuehl" w:hint="cs"/>
          <w:rtl/>
        </w:rPr>
        <w:tab/>
      </w:r>
      <w:r>
        <w:rPr>
          <w:rStyle w:val="default"/>
          <w:rFonts w:cs="FrankRuehl"/>
          <w:sz w:val="18"/>
          <w:szCs w:val="18"/>
        </w:rPr>
        <w:t xml:space="preserve">ship a policy of insurance or other financial security </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בדרישות החוק והאמנה.</w:t>
      </w:r>
      <w:r>
        <w:rPr>
          <w:rStyle w:val="default"/>
          <w:rFonts w:cs="FrankRuehl" w:hint="cs"/>
          <w:rtl/>
        </w:rPr>
        <w:tab/>
      </w:r>
      <w:r>
        <w:rPr>
          <w:rStyle w:val="default"/>
          <w:rFonts w:cs="FrankRuehl"/>
          <w:sz w:val="18"/>
          <w:szCs w:val="18"/>
        </w:rPr>
        <w:t xml:space="preserve">Satisfying the requirements of Article VII of the </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sz w:val="18"/>
          <w:szCs w:val="18"/>
        </w:rPr>
        <w:t xml:space="preserve">International Convention on Civil Liability for Oil </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sz w:val="18"/>
          <w:szCs w:val="18"/>
        </w:rPr>
        <w:t>Pollution Damage, 1992.</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סוג הבטוחה __________________</w:t>
      </w:r>
      <w:r>
        <w:rPr>
          <w:rStyle w:val="default"/>
          <w:rFonts w:cs="FrankRuehl" w:hint="cs"/>
          <w:rtl/>
        </w:rPr>
        <w:tab/>
      </w:r>
      <w:r>
        <w:rPr>
          <w:rStyle w:val="default"/>
          <w:rFonts w:cs="FrankRuehl"/>
          <w:sz w:val="18"/>
          <w:szCs w:val="18"/>
        </w:rPr>
        <w:t>Type of Security _______________________________</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תקופת תוקף הבטוחה ____________</w:t>
      </w:r>
      <w:r>
        <w:rPr>
          <w:rStyle w:val="default"/>
          <w:rFonts w:cs="FrankRuehl" w:hint="cs"/>
          <w:rtl/>
        </w:rPr>
        <w:tab/>
      </w:r>
      <w:r>
        <w:rPr>
          <w:rStyle w:val="default"/>
          <w:rFonts w:cs="FrankRuehl"/>
          <w:sz w:val="18"/>
          <w:szCs w:val="18"/>
        </w:rPr>
        <w:t>Duration of Security ____________________________</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שם וכתובת המבטח(ים) ו/או הערב(ים)</w:t>
      </w:r>
      <w:r>
        <w:rPr>
          <w:rStyle w:val="default"/>
          <w:rFonts w:cs="FrankRuehl" w:hint="cs"/>
          <w:rtl/>
        </w:rPr>
        <w:tab/>
      </w:r>
      <w:r>
        <w:rPr>
          <w:rStyle w:val="default"/>
          <w:rFonts w:cs="FrankRuehl"/>
          <w:sz w:val="18"/>
          <w:szCs w:val="18"/>
        </w:rPr>
        <w:t>Name &amp; Address of the Insurer(s) and/or Guarantor(s)</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שם _______________________</w:t>
      </w:r>
      <w:r>
        <w:rPr>
          <w:rStyle w:val="default"/>
          <w:rFonts w:cs="FrankRuehl" w:hint="cs"/>
          <w:rtl/>
        </w:rPr>
        <w:tab/>
      </w:r>
      <w:r>
        <w:rPr>
          <w:rStyle w:val="default"/>
          <w:rFonts w:cs="FrankRuehl"/>
          <w:sz w:val="18"/>
          <w:szCs w:val="18"/>
        </w:rPr>
        <w:t>Name ________________________________________</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כתובת _____________________</w:t>
      </w:r>
      <w:r>
        <w:rPr>
          <w:rStyle w:val="default"/>
          <w:rFonts w:cs="FrankRuehl" w:hint="cs"/>
          <w:rtl/>
        </w:rPr>
        <w:tab/>
      </w:r>
      <w:r>
        <w:rPr>
          <w:rStyle w:val="default"/>
          <w:rFonts w:cs="FrankRuehl"/>
          <w:sz w:val="18"/>
          <w:szCs w:val="18"/>
        </w:rPr>
        <w:t>Address ______________________________________</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תעודה זו בתוקף עד _____________</w:t>
      </w:r>
      <w:r>
        <w:rPr>
          <w:rStyle w:val="default"/>
          <w:rFonts w:cs="FrankRuehl" w:hint="cs"/>
          <w:rtl/>
        </w:rPr>
        <w:tab/>
      </w:r>
      <w:r>
        <w:rPr>
          <w:rStyle w:val="default"/>
          <w:rFonts w:cs="FrankRuehl"/>
          <w:sz w:val="18"/>
          <w:szCs w:val="18"/>
        </w:rPr>
        <w:t>This certificate is valid until ______________________</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hint="cs"/>
          <w:rtl/>
        </w:rPr>
      </w:pP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b/>
          <w:bCs/>
          <w:sz w:val="18"/>
          <w:szCs w:val="18"/>
        </w:rPr>
      </w:pPr>
      <w:r>
        <w:rPr>
          <w:rStyle w:val="default"/>
          <w:rFonts w:cs="FrankRuehl" w:hint="cs"/>
          <w:b/>
          <w:bCs/>
          <w:sz w:val="24"/>
          <w:szCs w:val="24"/>
          <w:rtl/>
        </w:rPr>
        <w:t xml:space="preserve">ניתנה על ידי מנהל מינהל הספנות והנמלים, </w:t>
      </w:r>
      <w:r>
        <w:rPr>
          <w:rStyle w:val="default"/>
          <w:rFonts w:cs="FrankRuehl" w:hint="cs"/>
          <w:b/>
          <w:bCs/>
          <w:sz w:val="24"/>
          <w:szCs w:val="24"/>
          <w:rtl/>
        </w:rPr>
        <w:tab/>
      </w:r>
      <w:r>
        <w:rPr>
          <w:rStyle w:val="default"/>
          <w:rFonts w:cs="FrankRuehl"/>
          <w:b/>
          <w:bCs/>
          <w:sz w:val="18"/>
          <w:szCs w:val="18"/>
        </w:rPr>
        <w:t xml:space="preserve">Issued or certified by The Shipping &amp; Ports </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b/>
          <w:bCs/>
          <w:sz w:val="18"/>
          <w:szCs w:val="18"/>
        </w:rPr>
      </w:pPr>
      <w:r>
        <w:rPr>
          <w:rStyle w:val="default"/>
          <w:rFonts w:cs="FrankRuehl" w:hint="cs"/>
          <w:b/>
          <w:bCs/>
          <w:sz w:val="24"/>
          <w:szCs w:val="24"/>
          <w:rtl/>
        </w:rPr>
        <w:t>משרד התחבורה, מדינת ישראל</w:t>
      </w:r>
      <w:r>
        <w:rPr>
          <w:rStyle w:val="default"/>
          <w:rFonts w:cs="FrankRuehl" w:hint="cs"/>
          <w:b/>
          <w:bCs/>
          <w:sz w:val="24"/>
          <w:szCs w:val="24"/>
          <w:rtl/>
        </w:rPr>
        <w:tab/>
      </w:r>
      <w:r>
        <w:rPr>
          <w:rStyle w:val="default"/>
          <w:rFonts w:cs="FrankRuehl"/>
          <w:b/>
          <w:bCs/>
          <w:sz w:val="18"/>
          <w:szCs w:val="18"/>
        </w:rPr>
        <w:t>Administration The Ministry of Transport</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b/>
          <w:bCs/>
          <w:sz w:val="18"/>
          <w:szCs w:val="18"/>
        </w:rPr>
      </w:pPr>
      <w:r>
        <w:rPr>
          <w:rStyle w:val="default"/>
          <w:rFonts w:cs="FrankRuehl" w:hint="cs"/>
          <w:b/>
          <w:bCs/>
          <w:sz w:val="24"/>
          <w:szCs w:val="24"/>
          <w:rtl/>
        </w:rPr>
        <w:tab/>
      </w:r>
      <w:r>
        <w:rPr>
          <w:rStyle w:val="default"/>
          <w:rFonts w:cs="FrankRuehl" w:hint="cs"/>
          <w:b/>
          <w:bCs/>
          <w:sz w:val="24"/>
          <w:szCs w:val="24"/>
          <w:rtl/>
        </w:rPr>
        <w:tab/>
      </w:r>
      <w:r>
        <w:rPr>
          <w:rStyle w:val="default"/>
          <w:rFonts w:cs="FrankRuehl" w:hint="cs"/>
          <w:b/>
          <w:bCs/>
          <w:sz w:val="24"/>
          <w:szCs w:val="24"/>
          <w:rtl/>
        </w:rPr>
        <w:tab/>
      </w:r>
      <w:r>
        <w:rPr>
          <w:rStyle w:val="default"/>
          <w:rFonts w:cs="FrankRuehl" w:hint="cs"/>
          <w:b/>
          <w:bCs/>
          <w:sz w:val="24"/>
          <w:szCs w:val="24"/>
          <w:rtl/>
        </w:rPr>
        <w:tab/>
      </w:r>
      <w:r>
        <w:rPr>
          <w:rStyle w:val="default"/>
          <w:rFonts w:cs="FrankRuehl" w:hint="cs"/>
          <w:b/>
          <w:bCs/>
          <w:sz w:val="24"/>
          <w:szCs w:val="24"/>
          <w:rtl/>
        </w:rPr>
        <w:tab/>
      </w:r>
      <w:r>
        <w:rPr>
          <w:rStyle w:val="default"/>
          <w:rFonts w:cs="FrankRuehl"/>
          <w:b/>
          <w:bCs/>
          <w:sz w:val="18"/>
          <w:szCs w:val="18"/>
        </w:rPr>
        <w:t xml:space="preserve">Government of the State of </w:t>
      </w:r>
      <w:smartTag w:uri="urn:schemas-microsoft-com:office:smarttags" w:element="country-region">
        <w:smartTag w:uri="urn:schemas-microsoft-com:office:smarttags" w:element="place">
          <w:r>
            <w:rPr>
              <w:rStyle w:val="default"/>
              <w:rFonts w:cs="FrankRuehl"/>
              <w:b/>
              <w:bCs/>
              <w:sz w:val="18"/>
              <w:szCs w:val="18"/>
            </w:rPr>
            <w:t>Israel</w:t>
          </w:r>
        </w:smartTag>
      </w:smartTag>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hint="cs"/>
          <w:rtl/>
        </w:rPr>
      </w:pP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sz w:val="18"/>
          <w:szCs w:val="18"/>
        </w:rPr>
      </w:pPr>
      <w:r>
        <w:rPr>
          <w:rStyle w:val="default"/>
          <w:rFonts w:cs="FrankRuehl" w:hint="cs"/>
          <w:rtl/>
        </w:rPr>
        <w:t>במקום _________ בתאריך __________</w:t>
      </w:r>
      <w:r>
        <w:rPr>
          <w:rStyle w:val="default"/>
          <w:rFonts w:cs="FrankRuehl" w:hint="cs"/>
          <w:rtl/>
        </w:rPr>
        <w:tab/>
      </w:r>
      <w:r>
        <w:rPr>
          <w:rStyle w:val="default"/>
          <w:rFonts w:cs="FrankRuehl"/>
          <w:sz w:val="18"/>
          <w:szCs w:val="18"/>
        </w:rPr>
        <w:t>At ____________________ Date ________________</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 w:val="right" w:pos="7938"/>
        </w:tabs>
        <w:spacing w:before="72"/>
        <w:ind w:left="0" w:right="1134"/>
        <w:rPr>
          <w:rStyle w:val="default"/>
          <w:rFonts w:cs="FrankRuehl" w:hint="cs"/>
          <w:rtl/>
        </w:rPr>
      </w:pPr>
    </w:p>
    <w:p w:rsidR="00657DE2" w:rsidRDefault="00657DE2">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sz w:val="18"/>
          <w:szCs w:val="18"/>
        </w:rPr>
      </w:pPr>
      <w:r>
        <w:rPr>
          <w:rStyle w:val="default"/>
          <w:rFonts w:cs="FrankRuehl" w:hint="cs"/>
          <w:rtl/>
        </w:rPr>
        <w:tab/>
        <w:t>__________________</w:t>
      </w:r>
      <w:r>
        <w:rPr>
          <w:rStyle w:val="default"/>
          <w:rFonts w:cs="FrankRuehl" w:hint="cs"/>
          <w:rtl/>
        </w:rPr>
        <w:tab/>
      </w:r>
      <w:r>
        <w:rPr>
          <w:rStyle w:val="default"/>
          <w:rFonts w:cs="FrankRuehl"/>
          <w:sz w:val="18"/>
          <w:szCs w:val="18"/>
        </w:rPr>
        <w:t>_________________________________</w:t>
      </w:r>
    </w:p>
    <w:p w:rsidR="00657DE2" w:rsidRDefault="00657DE2">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hint="cs"/>
          <w:sz w:val="18"/>
          <w:szCs w:val="18"/>
          <w:rtl/>
        </w:rPr>
      </w:pPr>
      <w:r>
        <w:rPr>
          <w:rStyle w:val="default"/>
          <w:rFonts w:cs="FrankRuehl" w:hint="cs"/>
          <w:rtl/>
        </w:rPr>
        <w:tab/>
      </w:r>
      <w:r>
        <w:rPr>
          <w:rStyle w:val="default"/>
          <w:rFonts w:cs="FrankRuehl" w:hint="cs"/>
          <w:sz w:val="22"/>
          <w:szCs w:val="22"/>
          <w:rtl/>
        </w:rPr>
        <w:t>חתימה וחותמת המנהל</w:t>
      </w:r>
      <w:r>
        <w:rPr>
          <w:rStyle w:val="default"/>
          <w:rFonts w:cs="FrankRuehl" w:hint="cs"/>
          <w:sz w:val="22"/>
          <w:szCs w:val="22"/>
          <w:rtl/>
        </w:rPr>
        <w:tab/>
      </w:r>
      <w:r>
        <w:rPr>
          <w:rStyle w:val="default"/>
          <w:rFonts w:cs="FrankRuehl"/>
          <w:sz w:val="18"/>
          <w:szCs w:val="18"/>
        </w:rPr>
        <w:t>Signature and Title of issuing or</w:t>
      </w:r>
    </w:p>
    <w:p w:rsidR="00657DE2" w:rsidRDefault="00657DE2">
      <w:pPr>
        <w:pStyle w:val="P00"/>
        <w:tabs>
          <w:tab w:val="clear" w:pos="624"/>
          <w:tab w:val="clear" w:pos="1021"/>
          <w:tab w:val="clear" w:pos="1474"/>
          <w:tab w:val="clear" w:pos="1928"/>
          <w:tab w:val="clear" w:pos="2381"/>
          <w:tab w:val="clear" w:pos="2835"/>
          <w:tab w:val="clear" w:pos="6259"/>
          <w:tab w:val="center" w:pos="2268"/>
          <w:tab w:val="center" w:pos="5670"/>
        </w:tabs>
        <w:spacing w:before="72"/>
        <w:ind w:left="0" w:right="1134"/>
        <w:rPr>
          <w:rStyle w:val="default"/>
          <w:rFonts w:cs="FrankRuehl"/>
          <w:sz w:val="18"/>
          <w:szCs w:val="18"/>
        </w:rPr>
      </w:pPr>
      <w:r>
        <w:rPr>
          <w:rStyle w:val="default"/>
          <w:rFonts w:cs="FrankRuehl" w:hint="cs"/>
          <w:sz w:val="18"/>
          <w:szCs w:val="18"/>
          <w:rtl/>
        </w:rPr>
        <w:tab/>
      </w:r>
      <w:r>
        <w:rPr>
          <w:rStyle w:val="default"/>
          <w:rFonts w:cs="FrankRuehl" w:hint="cs"/>
          <w:sz w:val="18"/>
          <w:szCs w:val="18"/>
          <w:rtl/>
        </w:rPr>
        <w:tab/>
      </w:r>
      <w:r>
        <w:rPr>
          <w:rStyle w:val="default"/>
          <w:rFonts w:cs="FrankRuehl"/>
          <w:sz w:val="18"/>
          <w:szCs w:val="18"/>
        </w:rPr>
        <w:t>certifying official</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p>
    <w:p w:rsidR="00657DE2" w:rsidRDefault="00657DE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תוספת שלישית</w:t>
      </w:r>
    </w:p>
    <w:p w:rsidR="00657DE2" w:rsidRDefault="00657DE2">
      <w:pPr>
        <w:pStyle w:val="P00"/>
        <w:spacing w:before="72"/>
        <w:ind w:left="0" w:right="1134"/>
        <w:jc w:val="center"/>
        <w:rPr>
          <w:rStyle w:val="default"/>
          <w:rFonts w:cs="FrankRuehl" w:hint="cs"/>
          <w:sz w:val="24"/>
          <w:szCs w:val="24"/>
          <w:rtl/>
        </w:rPr>
      </w:pPr>
      <w:r>
        <w:rPr>
          <w:rStyle w:val="default"/>
          <w:rFonts w:cs="FrankRuehl" w:hint="cs"/>
          <w:sz w:val="24"/>
          <w:szCs w:val="24"/>
          <w:rtl/>
        </w:rPr>
        <w:t>(סעיף 32)</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p>
    <w:p w:rsidR="00657DE2" w:rsidRDefault="00657DE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(הסכום הכולל של הפיצויים המוטל על הקרן הבין-לאומית)</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 xml:space="preserve">בתוספת זו, "יחידת חישוב" </w:t>
      </w:r>
      <w:r>
        <w:rPr>
          <w:rStyle w:val="default"/>
          <w:rFonts w:cs="FrankRuehl"/>
          <w:rtl/>
        </w:rPr>
        <w:t>–</w:t>
      </w:r>
      <w:r>
        <w:rPr>
          <w:rStyle w:val="default"/>
          <w:rFonts w:cs="FrankRuehl" w:hint="cs"/>
          <w:rtl/>
        </w:rPr>
        <w:t xml:space="preserve"> כהגדרתה בתוספת הראשונה.</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הסכום הכולל של הפיצויים שניתן להטילו על הקרן הבין-לאומית יהיה סכום השווה בשקלים חדשים ל-203 מיליון יחידות חישוב.</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לצורך חישוב הסכום כאמור ישמש שער החליפין של יחידת החישוב לעומת הדולר של ארצות הברית של אמריקה ביום שבו החליטה מועצת הקרן הבין-לאומית על מועד התשלום הראשון של הפיצויים.</w:t>
      </w:r>
    </w:p>
    <w:p w:rsidR="00657DE2" w:rsidRDefault="00657DE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4.</w:t>
      </w:r>
      <w:r>
        <w:rPr>
          <w:rStyle w:val="default"/>
          <w:rFonts w:cs="FrankRuehl" w:hint="cs"/>
          <w:rtl/>
        </w:rPr>
        <w:tab/>
        <w:t>ריבית שנצברה על קרן הגבלה שהוקמה לפי החוק, לא תבוא בחשבון סכום הפיצויים שהקצה בית המשפט מכספי קרן ההגבלה, לצורך חישוב הסכום הכולל של הפיצויים שניתן להטילו על הקרן הבין-לאומית, לפי סעיף 32 לחוק זה.</w:t>
      </w:r>
    </w:p>
    <w:p w:rsidR="00657DE2" w:rsidRDefault="00657DE2">
      <w:pPr>
        <w:pStyle w:val="P00"/>
        <w:spacing w:before="72"/>
        <w:ind w:left="0" w:right="1134"/>
        <w:rPr>
          <w:rStyle w:val="default"/>
          <w:rFonts w:cs="FrankRuehl" w:hint="cs"/>
          <w:rtl/>
        </w:rPr>
      </w:pPr>
    </w:p>
    <w:p w:rsidR="00657DE2" w:rsidRDefault="00657DE2">
      <w:pPr>
        <w:pStyle w:val="P00"/>
        <w:spacing w:before="72"/>
        <w:ind w:left="0" w:right="1134"/>
        <w:rPr>
          <w:rStyle w:val="default"/>
          <w:rFonts w:cs="FrankRuehl" w:hint="cs"/>
          <w:rtl/>
        </w:rPr>
      </w:pPr>
    </w:p>
    <w:p w:rsidR="00657DE2" w:rsidRDefault="00657DE2">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r>
      <w:r>
        <w:rPr>
          <w:rFonts w:cs="FrankRuehl" w:hint="cs"/>
          <w:sz w:val="26"/>
          <w:szCs w:val="26"/>
          <w:rtl/>
        </w:rPr>
        <w:tab/>
        <w:t>אריאל שרון</w:t>
      </w:r>
      <w:r>
        <w:rPr>
          <w:rFonts w:cs="FrankRuehl" w:hint="cs"/>
          <w:sz w:val="26"/>
          <w:szCs w:val="26"/>
          <w:rtl/>
        </w:rPr>
        <w:tab/>
      </w:r>
      <w:r>
        <w:rPr>
          <w:rFonts w:cs="FrankRuehl" w:hint="cs"/>
          <w:sz w:val="26"/>
          <w:szCs w:val="26"/>
          <w:rtl/>
        </w:rPr>
        <w:tab/>
        <w:t>אביגדור ליברמן</w:t>
      </w:r>
    </w:p>
    <w:p w:rsidR="00657DE2" w:rsidRDefault="00657DE2">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התחבורה</w:t>
      </w:r>
    </w:p>
    <w:p w:rsidR="00657DE2" w:rsidRDefault="00657DE2">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rsidR="00EA1758" w:rsidRDefault="00657DE2">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EA1758" w:rsidRDefault="00EA1758">
      <w:pPr>
        <w:pStyle w:val="sig-1"/>
        <w:widowControl/>
        <w:tabs>
          <w:tab w:val="clear" w:pos="851"/>
          <w:tab w:val="clear" w:pos="4820"/>
          <w:tab w:val="center" w:pos="1134"/>
          <w:tab w:val="center" w:pos="4536"/>
          <w:tab w:val="center" w:pos="6237"/>
        </w:tabs>
        <w:ind w:left="0" w:right="1134"/>
        <w:rPr>
          <w:rFonts w:cs="FrankRuehl"/>
          <w:sz w:val="22"/>
          <w:rtl/>
        </w:rPr>
      </w:pPr>
    </w:p>
    <w:p w:rsidR="00EA1758" w:rsidRDefault="00EA1758" w:rsidP="00EA1758">
      <w:pPr>
        <w:pStyle w:val="sig-1"/>
        <w:widowControl/>
        <w:tabs>
          <w:tab w:val="clear" w:pos="851"/>
          <w:tab w:val="clear" w:pos="4820"/>
          <w:tab w:val="center" w:pos="1134"/>
          <w:tab w:val="center" w:pos="4536"/>
          <w:tab w:val="center" w:pos="6237"/>
        </w:tabs>
        <w:ind w:left="0" w:right="1134"/>
        <w:jc w:val="center"/>
        <w:rPr>
          <w:rFonts w:cs="David"/>
          <w:color w:val="0000FF"/>
          <w:sz w:val="22"/>
          <w:szCs w:val="24"/>
          <w:u w:val="single"/>
          <w:rtl/>
        </w:rPr>
      </w:pPr>
      <w:hyperlink r:id="rId11" w:history="1">
        <w:r>
          <w:rPr>
            <w:rFonts w:cs="David"/>
            <w:color w:val="0000FF"/>
            <w:sz w:val="22"/>
            <w:szCs w:val="24"/>
            <w:u w:val="single"/>
            <w:rtl/>
          </w:rPr>
          <w:t>הודעה למנויים על עריכה ושינויים במסמכי פסיקה, חקיקה ועוד באתר נבו - הקש כאן</w:t>
        </w:r>
      </w:hyperlink>
    </w:p>
    <w:p w:rsidR="00657DE2" w:rsidRPr="00EA1758" w:rsidRDefault="00657DE2" w:rsidP="00EA1758">
      <w:pPr>
        <w:pStyle w:val="sig-1"/>
        <w:widowControl/>
        <w:tabs>
          <w:tab w:val="clear" w:pos="851"/>
          <w:tab w:val="clear" w:pos="4820"/>
          <w:tab w:val="center" w:pos="1134"/>
          <w:tab w:val="center" w:pos="4536"/>
          <w:tab w:val="center" w:pos="6237"/>
        </w:tabs>
        <w:ind w:left="0" w:right="1134"/>
        <w:jc w:val="center"/>
        <w:rPr>
          <w:rFonts w:cs="David" w:hint="cs"/>
          <w:color w:val="0000FF"/>
          <w:sz w:val="22"/>
          <w:szCs w:val="24"/>
          <w:u w:val="single"/>
          <w:rtl/>
        </w:rPr>
      </w:pPr>
    </w:p>
    <w:sectPr w:rsidR="00657DE2" w:rsidRPr="00EA1758">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233A" w:rsidRDefault="002F233A">
      <w:r>
        <w:separator/>
      </w:r>
    </w:p>
  </w:endnote>
  <w:endnote w:type="continuationSeparator" w:id="0">
    <w:p w:rsidR="002F233A" w:rsidRDefault="002F2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7DE2" w:rsidRDefault="00657D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57DE2" w:rsidRDefault="00657D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57DE2" w:rsidRDefault="00657D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1758">
      <w:rPr>
        <w:rFonts w:cs="TopType Jerushalmi"/>
        <w:noProof/>
        <w:color w:val="000000"/>
        <w:sz w:val="14"/>
        <w:szCs w:val="14"/>
      </w:rPr>
      <w:t>Z:\00000000000000000000000=2014------------------------\05-May\2014-05-28\LawsForHofit\04\999_254.doc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7DE2" w:rsidRDefault="00657DE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A1758">
      <w:rPr>
        <w:rFonts w:hAnsi="FrankRuehl" w:cs="FrankRuehl"/>
        <w:noProof/>
        <w:sz w:val="24"/>
        <w:szCs w:val="24"/>
        <w:rtl/>
      </w:rPr>
      <w:t>2</w:t>
    </w:r>
    <w:r>
      <w:rPr>
        <w:rFonts w:hAnsi="FrankRuehl" w:cs="FrankRuehl"/>
        <w:sz w:val="24"/>
        <w:szCs w:val="24"/>
        <w:rtl/>
      </w:rPr>
      <w:fldChar w:fldCharType="end"/>
    </w:r>
  </w:p>
  <w:p w:rsidR="00657DE2" w:rsidRDefault="00657DE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57DE2" w:rsidRDefault="00657DE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1758">
      <w:rPr>
        <w:rFonts w:cs="TopType Jerushalmi"/>
        <w:noProof/>
        <w:color w:val="000000"/>
        <w:sz w:val="14"/>
        <w:szCs w:val="14"/>
      </w:rPr>
      <w:t>Z:\00000000000000000000000=2014------------------------\05-May\2014-05-28\LawsForHofit\04\999_254.doc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233A" w:rsidRDefault="002F233A">
      <w:r>
        <w:separator/>
      </w:r>
    </w:p>
  </w:footnote>
  <w:footnote w:type="continuationSeparator" w:id="0">
    <w:p w:rsidR="002F233A" w:rsidRDefault="002F233A">
      <w:r>
        <w:continuationSeparator/>
      </w:r>
    </w:p>
  </w:footnote>
  <w:footnote w:id="1">
    <w:p w:rsidR="00657DE2" w:rsidRDefault="00657DE2" w:rsidP="00E248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547CBA">
          <w:rPr>
            <w:rStyle w:val="Hyperlink"/>
            <w:rFonts w:cs="FrankRuehl" w:hint="cs"/>
            <w:rtl/>
          </w:rPr>
          <w:t>ס"ח תשס"ד מס' 1923</w:t>
        </w:r>
      </w:hyperlink>
      <w:r>
        <w:rPr>
          <w:rFonts w:cs="FrankRuehl" w:hint="cs"/>
          <w:rtl/>
        </w:rPr>
        <w:t xml:space="preserve"> מיום 5.2.2004 עמ' 274 (</w:t>
      </w:r>
      <w:hyperlink r:id="rId2" w:history="1">
        <w:r w:rsidRPr="00555DBC">
          <w:rPr>
            <w:rStyle w:val="Hyperlink"/>
            <w:rFonts w:cs="FrankRuehl" w:hint="cs"/>
            <w:rtl/>
          </w:rPr>
          <w:t>ה"ח תשס"א מס' 2938</w:t>
        </w:r>
      </w:hyperlink>
      <w:r>
        <w:rPr>
          <w:rFonts w:cs="FrankRuehl" w:hint="cs"/>
          <w:rtl/>
        </w:rPr>
        <w:t xml:space="preserve"> עמ' 147); </w:t>
      </w:r>
      <w:r w:rsidR="00E248F2">
        <w:rPr>
          <w:rFonts w:cs="FrankRuehl" w:hint="cs"/>
          <w:rtl/>
        </w:rPr>
        <w:t>תחילתו ביום 21.10.2005</w:t>
      </w:r>
      <w:r>
        <w:rPr>
          <w:rFonts w:cs="FrankRuehl" w:hint="cs"/>
          <w:rtl/>
        </w:rPr>
        <w:t>.</w:t>
      </w:r>
    </w:p>
  </w:footnote>
  <w:footnote w:id="2">
    <w:p w:rsidR="00E248F2" w:rsidRDefault="00E248F2" w:rsidP="00E248F2">
      <w:pPr>
        <w:pStyle w:val="a5"/>
        <w:spacing w:before="72"/>
        <w:ind w:right="1134"/>
        <w:jc w:val="both"/>
        <w:rPr>
          <w:rFonts w:hint="cs"/>
        </w:rPr>
      </w:pPr>
      <w:r>
        <w:rPr>
          <w:rStyle w:val="a6"/>
        </w:rPr>
        <w:footnoteRef/>
      </w:r>
      <w:r w:rsidRPr="00E248F2">
        <w:rPr>
          <w:sz w:val="22"/>
          <w:szCs w:val="22"/>
          <w:rtl/>
        </w:rPr>
        <w:t xml:space="preserve"> </w:t>
      </w:r>
      <w:r w:rsidRPr="00E248F2">
        <w:rPr>
          <w:rFonts w:cs="FrankRuehl" w:hint="cs"/>
          <w:sz w:val="22"/>
          <w:szCs w:val="22"/>
          <w:rtl/>
        </w:rPr>
        <w:t>אמנת הקרן והאמנה מופקדות לעיון הציבור במשרדי מנהל הספנות והנמלים במשרד התחבורה.</w:t>
      </w:r>
    </w:p>
  </w:footnote>
  <w:footnote w:id="3">
    <w:p w:rsidR="00657DE2" w:rsidRDefault="00657DE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האמנה מופקדת לעיון הציבור במשרדי מנהל הספנות והנמלים במשרד התחבורה.</w:t>
      </w:r>
    </w:p>
  </w:footnote>
  <w:footnote w:id="4">
    <w:p w:rsidR="00E248F2" w:rsidRDefault="00E248F2" w:rsidP="00E248F2">
      <w:pPr>
        <w:pStyle w:val="a5"/>
        <w:spacing w:before="72"/>
        <w:ind w:right="1134"/>
        <w:jc w:val="both"/>
        <w:rPr>
          <w:rFonts w:hint="cs"/>
        </w:rPr>
      </w:pPr>
      <w:r>
        <w:rPr>
          <w:rStyle w:val="a6"/>
        </w:rPr>
        <w:footnoteRef/>
      </w:r>
      <w:r w:rsidRPr="00E248F2">
        <w:rPr>
          <w:rFonts w:cs="FrankRuehl"/>
          <w:sz w:val="22"/>
          <w:szCs w:val="22"/>
          <w:rtl/>
        </w:rPr>
        <w:t xml:space="preserve"> </w:t>
      </w:r>
      <w:r w:rsidRPr="00E248F2">
        <w:rPr>
          <w:rFonts w:cs="FrankRuehl" w:hint="cs"/>
          <w:sz w:val="22"/>
          <w:szCs w:val="22"/>
          <w:rtl/>
        </w:rPr>
        <w:t xml:space="preserve">ר' </w:t>
      </w:r>
      <w:hyperlink r:id="rId3" w:history="1">
        <w:r w:rsidRPr="00E248F2">
          <w:rPr>
            <w:rStyle w:val="Hyperlink"/>
            <w:rFonts w:cs="FrankRuehl" w:hint="cs"/>
            <w:sz w:val="22"/>
            <w:szCs w:val="22"/>
            <w:rtl/>
          </w:rPr>
          <w:t>י"פ תשס"ה מס' 5366</w:t>
        </w:r>
      </w:hyperlink>
      <w:r w:rsidRPr="00E248F2">
        <w:rPr>
          <w:rFonts w:cs="FrankRuehl" w:hint="cs"/>
          <w:sz w:val="22"/>
          <w:szCs w:val="22"/>
          <w:rtl/>
        </w:rPr>
        <w:t xml:space="preserve"> מיום 10.2.2005 עמ' 1541: מדינת ישראל הפקידה הודעות ביום 21.10.2004.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7DE2" w:rsidRDefault="00657DE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57DE2" w:rsidRDefault="00657D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57DE2" w:rsidRDefault="00657DE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7DE2" w:rsidRDefault="00657DE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האחריות לפיצוי נזקי זיהום בשמן, תשס"ד-2004</w:t>
    </w:r>
  </w:p>
  <w:p w:rsidR="00657DE2" w:rsidRDefault="00657DE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57DE2" w:rsidRDefault="00657DE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8899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0EA4"/>
    <w:rsid w:val="00247226"/>
    <w:rsid w:val="002F233A"/>
    <w:rsid w:val="00547CBA"/>
    <w:rsid w:val="00555DBC"/>
    <w:rsid w:val="005B1D7A"/>
    <w:rsid w:val="00620EA4"/>
    <w:rsid w:val="00657DE2"/>
    <w:rsid w:val="006B7283"/>
    <w:rsid w:val="00E248F2"/>
    <w:rsid w:val="00EA17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F0BEB737-CCF8-4602-A11D-FD1F393E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0/YALKUT-5366.pdf" TargetMode="External"/><Relationship Id="rId2" Type="http://schemas.openxmlformats.org/officeDocument/2006/relationships/hyperlink" Target="http://www.nevo.co.il/Law_word/law17/PROP-2938.pdf" TargetMode="External"/><Relationship Id="rId1" Type="http://schemas.openxmlformats.org/officeDocument/2006/relationships/hyperlink" Target="http://www.nevo.co.il/Law_word/law14/LAW-19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4493</Words>
  <Characters>25616</Characters>
  <Application>Microsoft Office Word</Application>
  <DocSecurity>0</DocSecurity>
  <Lines>213</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255</vt:lpstr>
      <vt:lpstr>פרק 255</vt:lpstr>
    </vt:vector>
  </TitlesOfParts>
  <Company/>
  <LinksUpToDate>false</LinksUpToDate>
  <CharactersWithSpaces>30049</CharactersWithSpaces>
  <SharedDoc>false</SharedDoc>
  <HLinks>
    <vt:vector size="342" baseType="variant">
      <vt:variant>
        <vt:i4>393283</vt:i4>
      </vt:variant>
      <vt:variant>
        <vt:i4>318</vt:i4>
      </vt:variant>
      <vt:variant>
        <vt:i4>0</vt:i4>
      </vt:variant>
      <vt:variant>
        <vt:i4>5</vt:i4>
      </vt:variant>
      <vt:variant>
        <vt:lpwstr>http://www.nevo.co.il/advertisements/nevo-100.doc</vt:lpwstr>
      </vt:variant>
      <vt:variant>
        <vt:lpwstr/>
      </vt:variant>
      <vt:variant>
        <vt:i4>3342382</vt:i4>
      </vt:variant>
      <vt:variant>
        <vt:i4>312</vt:i4>
      </vt:variant>
      <vt:variant>
        <vt:i4>0</vt:i4>
      </vt:variant>
      <vt:variant>
        <vt:i4>5</vt:i4>
      </vt:variant>
      <vt:variant>
        <vt:lpwstr/>
      </vt:variant>
      <vt:variant>
        <vt:lpwstr>Seif40</vt:lpwstr>
      </vt:variant>
      <vt:variant>
        <vt:i4>3801129</vt:i4>
      </vt:variant>
      <vt:variant>
        <vt:i4>306</vt:i4>
      </vt:variant>
      <vt:variant>
        <vt:i4>0</vt:i4>
      </vt:variant>
      <vt:variant>
        <vt:i4>5</vt:i4>
      </vt:variant>
      <vt:variant>
        <vt:lpwstr/>
      </vt:variant>
      <vt:variant>
        <vt:lpwstr>Seif39</vt:lpwstr>
      </vt:variant>
      <vt:variant>
        <vt:i4>3866665</vt:i4>
      </vt:variant>
      <vt:variant>
        <vt:i4>300</vt:i4>
      </vt:variant>
      <vt:variant>
        <vt:i4>0</vt:i4>
      </vt:variant>
      <vt:variant>
        <vt:i4>5</vt:i4>
      </vt:variant>
      <vt:variant>
        <vt:lpwstr/>
      </vt:variant>
      <vt:variant>
        <vt:lpwstr>Seif38</vt:lpwstr>
      </vt:variant>
      <vt:variant>
        <vt:i4>3407913</vt:i4>
      </vt:variant>
      <vt:variant>
        <vt:i4>294</vt:i4>
      </vt:variant>
      <vt:variant>
        <vt:i4>0</vt:i4>
      </vt:variant>
      <vt:variant>
        <vt:i4>5</vt:i4>
      </vt:variant>
      <vt:variant>
        <vt:lpwstr/>
      </vt:variant>
      <vt:variant>
        <vt:lpwstr>Seif37</vt:lpwstr>
      </vt:variant>
      <vt:variant>
        <vt:i4>5439497</vt:i4>
      </vt:variant>
      <vt:variant>
        <vt:i4>288</vt:i4>
      </vt:variant>
      <vt:variant>
        <vt:i4>0</vt:i4>
      </vt:variant>
      <vt:variant>
        <vt:i4>5</vt:i4>
      </vt:variant>
      <vt:variant>
        <vt:lpwstr/>
      </vt:variant>
      <vt:variant>
        <vt:lpwstr>med6</vt:lpwstr>
      </vt:variant>
      <vt:variant>
        <vt:i4>3473449</vt:i4>
      </vt:variant>
      <vt:variant>
        <vt:i4>282</vt:i4>
      </vt:variant>
      <vt:variant>
        <vt:i4>0</vt:i4>
      </vt:variant>
      <vt:variant>
        <vt:i4>5</vt:i4>
      </vt:variant>
      <vt:variant>
        <vt:lpwstr/>
      </vt:variant>
      <vt:variant>
        <vt:lpwstr>Seif36</vt:lpwstr>
      </vt:variant>
      <vt:variant>
        <vt:i4>5242889</vt:i4>
      </vt:variant>
      <vt:variant>
        <vt:i4>276</vt:i4>
      </vt:variant>
      <vt:variant>
        <vt:i4>0</vt:i4>
      </vt:variant>
      <vt:variant>
        <vt:i4>5</vt:i4>
      </vt:variant>
      <vt:variant>
        <vt:lpwstr/>
      </vt:variant>
      <vt:variant>
        <vt:lpwstr>med5</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5701644</vt:i4>
      </vt:variant>
      <vt:variant>
        <vt:i4>258</vt:i4>
      </vt:variant>
      <vt:variant>
        <vt:i4>0</vt:i4>
      </vt:variant>
      <vt:variant>
        <vt:i4>5</vt:i4>
      </vt:variant>
      <vt:variant>
        <vt:lpwstr/>
      </vt:variant>
      <vt:variant>
        <vt:lpwstr>hed25</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3866664</vt:i4>
      </vt:variant>
      <vt:variant>
        <vt:i4>222</vt:i4>
      </vt:variant>
      <vt:variant>
        <vt:i4>0</vt:i4>
      </vt:variant>
      <vt:variant>
        <vt:i4>5</vt:i4>
      </vt:variant>
      <vt:variant>
        <vt:lpwstr/>
      </vt:variant>
      <vt:variant>
        <vt:lpwstr>Seif28</vt:lpwstr>
      </vt:variant>
      <vt:variant>
        <vt:i4>3407912</vt:i4>
      </vt:variant>
      <vt:variant>
        <vt:i4>216</vt:i4>
      </vt:variant>
      <vt:variant>
        <vt:i4>0</vt:i4>
      </vt:variant>
      <vt:variant>
        <vt:i4>5</vt:i4>
      </vt:variant>
      <vt:variant>
        <vt:lpwstr/>
      </vt:variant>
      <vt:variant>
        <vt:lpwstr>Seif27</vt:lpwstr>
      </vt:variant>
      <vt:variant>
        <vt:i4>5701644</vt:i4>
      </vt:variant>
      <vt:variant>
        <vt:i4>210</vt:i4>
      </vt:variant>
      <vt:variant>
        <vt:i4>0</vt:i4>
      </vt:variant>
      <vt:variant>
        <vt:i4>5</vt:i4>
      </vt:variant>
      <vt:variant>
        <vt:lpwstr/>
      </vt:variant>
      <vt:variant>
        <vt:lpwstr>hed24</vt:lpwstr>
      </vt:variant>
      <vt:variant>
        <vt:i4>5308425</vt:i4>
      </vt:variant>
      <vt:variant>
        <vt:i4>204</vt:i4>
      </vt:variant>
      <vt:variant>
        <vt:i4>0</vt:i4>
      </vt:variant>
      <vt:variant>
        <vt:i4>5</vt:i4>
      </vt:variant>
      <vt:variant>
        <vt:lpwstr/>
      </vt:variant>
      <vt:variant>
        <vt:lpwstr>med4</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3538987</vt:i4>
      </vt:variant>
      <vt:variant>
        <vt:i4>180</vt:i4>
      </vt:variant>
      <vt:variant>
        <vt:i4>0</vt:i4>
      </vt:variant>
      <vt:variant>
        <vt:i4>5</vt:i4>
      </vt:variant>
      <vt:variant>
        <vt:lpwstr/>
      </vt:variant>
      <vt:variant>
        <vt:lpwstr>Seif15</vt:lpwstr>
      </vt:variant>
      <vt:variant>
        <vt:i4>3604523</vt:i4>
      </vt:variant>
      <vt:variant>
        <vt:i4>174</vt:i4>
      </vt:variant>
      <vt:variant>
        <vt:i4>0</vt:i4>
      </vt:variant>
      <vt:variant>
        <vt:i4>5</vt:i4>
      </vt:variant>
      <vt:variant>
        <vt:lpwstr/>
      </vt:variant>
      <vt:variant>
        <vt:lpwstr>Seif14</vt:lpwstr>
      </vt:variant>
      <vt:variant>
        <vt:i4>3145771</vt:i4>
      </vt:variant>
      <vt:variant>
        <vt:i4>168</vt:i4>
      </vt:variant>
      <vt:variant>
        <vt:i4>0</vt:i4>
      </vt:variant>
      <vt:variant>
        <vt:i4>5</vt:i4>
      </vt:variant>
      <vt:variant>
        <vt:lpwstr/>
      </vt:variant>
      <vt:variant>
        <vt:lpwstr>Seif13</vt:lpwstr>
      </vt:variant>
      <vt:variant>
        <vt:i4>5636105</vt:i4>
      </vt:variant>
      <vt:variant>
        <vt:i4>162</vt:i4>
      </vt:variant>
      <vt:variant>
        <vt:i4>0</vt:i4>
      </vt:variant>
      <vt:variant>
        <vt:i4>5</vt:i4>
      </vt:variant>
      <vt:variant>
        <vt:lpwstr/>
      </vt:variant>
      <vt:variant>
        <vt:lpwstr>med3</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5701644</vt:i4>
      </vt:variant>
      <vt:variant>
        <vt:i4>120</vt:i4>
      </vt:variant>
      <vt:variant>
        <vt:i4>0</vt:i4>
      </vt:variant>
      <vt:variant>
        <vt:i4>5</vt:i4>
      </vt:variant>
      <vt:variant>
        <vt:lpwstr/>
      </vt:variant>
      <vt:variant>
        <vt:lpwstr>hed23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5701644</vt:i4>
      </vt:variant>
      <vt:variant>
        <vt:i4>96</vt:i4>
      </vt:variant>
      <vt:variant>
        <vt:i4>0</vt:i4>
      </vt:variant>
      <vt:variant>
        <vt:i4>5</vt:i4>
      </vt:variant>
      <vt:variant>
        <vt:lpwstr/>
      </vt:variant>
      <vt:variant>
        <vt:lpwstr>hed22</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5701644</vt:i4>
      </vt:variant>
      <vt:variant>
        <vt:i4>78</vt:i4>
      </vt:variant>
      <vt:variant>
        <vt:i4>0</vt:i4>
      </vt:variant>
      <vt:variant>
        <vt:i4>5</vt:i4>
      </vt:variant>
      <vt:variant>
        <vt:lpwstr/>
      </vt:variant>
      <vt:variant>
        <vt:lpwstr>hed21</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5701644</vt:i4>
      </vt:variant>
      <vt:variant>
        <vt:i4>60</vt:i4>
      </vt:variant>
      <vt:variant>
        <vt:i4>0</vt:i4>
      </vt:variant>
      <vt:variant>
        <vt:i4>5</vt:i4>
      </vt:variant>
      <vt:variant>
        <vt:lpwstr/>
      </vt:variant>
      <vt:variant>
        <vt:lpwstr>hed20</vt:lpwstr>
      </vt:variant>
      <vt:variant>
        <vt:i4>5701641</vt:i4>
      </vt:variant>
      <vt:variant>
        <vt:i4>54</vt:i4>
      </vt:variant>
      <vt:variant>
        <vt:i4>0</vt:i4>
      </vt:variant>
      <vt:variant>
        <vt:i4>5</vt:i4>
      </vt:variant>
      <vt:variant>
        <vt:lpwstr/>
      </vt:variant>
      <vt:variant>
        <vt:lpwstr>med2</vt:lpwstr>
      </vt:variant>
      <vt:variant>
        <vt:i4>3407915</vt:i4>
      </vt:variant>
      <vt:variant>
        <vt:i4>48</vt:i4>
      </vt:variant>
      <vt:variant>
        <vt:i4>0</vt:i4>
      </vt:variant>
      <vt:variant>
        <vt:i4>5</vt:i4>
      </vt:variant>
      <vt:variant>
        <vt:lpwstr/>
      </vt:variant>
      <vt:variant>
        <vt:lpwstr>Seif17</vt:lpwstr>
      </vt:variant>
      <vt:variant>
        <vt:i4>3473451</vt:i4>
      </vt:variant>
      <vt:variant>
        <vt:i4>42</vt:i4>
      </vt:variant>
      <vt:variant>
        <vt:i4>0</vt:i4>
      </vt:variant>
      <vt:variant>
        <vt:i4>5</vt:i4>
      </vt:variant>
      <vt:variant>
        <vt:lpwstr/>
      </vt:variant>
      <vt:variant>
        <vt:lpwstr>Seif16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7602178</vt:i4>
      </vt:variant>
      <vt:variant>
        <vt:i4>6</vt:i4>
      </vt:variant>
      <vt:variant>
        <vt:i4>0</vt:i4>
      </vt:variant>
      <vt:variant>
        <vt:i4>5</vt:i4>
      </vt:variant>
      <vt:variant>
        <vt:lpwstr>http://www.nevo.co.il/Law_word/law10/YALKUT-5366.pdf</vt:lpwstr>
      </vt:variant>
      <vt:variant>
        <vt:lpwstr/>
      </vt:variant>
      <vt:variant>
        <vt:i4>524412</vt:i4>
      </vt:variant>
      <vt:variant>
        <vt:i4>3</vt:i4>
      </vt:variant>
      <vt:variant>
        <vt:i4>0</vt:i4>
      </vt:variant>
      <vt:variant>
        <vt:i4>5</vt:i4>
      </vt:variant>
      <vt:variant>
        <vt:lpwstr>http://www.nevo.co.il/Law_word/law17/PROP-2938.pdf</vt:lpwstr>
      </vt:variant>
      <vt:variant>
        <vt:lpwstr/>
      </vt:variant>
      <vt:variant>
        <vt:i4>8126467</vt:i4>
      </vt:variant>
      <vt:variant>
        <vt:i4>0</vt:i4>
      </vt:variant>
      <vt:variant>
        <vt:i4>0</vt:i4>
      </vt:variant>
      <vt:variant>
        <vt:i4>5</vt:i4>
      </vt:variant>
      <vt:variant>
        <vt:lpwstr>http://www.nevo.co.il/Law_word/law14/LAW-1923.pdf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האחריות לפיצוי נזקי זיהום בשמן, תשס"ד-2004</vt:lpwstr>
  </property>
  <property fmtid="{D5CDD505-2E9C-101B-9397-08002B2CF9AE}" pid="4" name="LAWNUMBER">
    <vt:lpwstr>0254</vt:lpwstr>
  </property>
  <property fmtid="{D5CDD505-2E9C-101B-9397-08002B2CF9AE}" pid="5" name="TYPE">
    <vt:lpwstr>01</vt:lpwstr>
  </property>
  <property fmtid="{D5CDD505-2E9C-101B-9397-08002B2CF9AE}" pid="6" name="CHNAME">
    <vt:lpwstr>איכות הסביבה</vt:lpwstr>
  </property>
  <property fmtid="{D5CDD505-2E9C-101B-9397-08002B2CF9AE}" pid="7" name="NOSE11">
    <vt:lpwstr>חקלאות טבע וסביבה</vt:lpwstr>
  </property>
  <property fmtid="{D5CDD505-2E9C-101B-9397-08002B2CF9AE}" pid="8" name="NOSE21">
    <vt:lpwstr>איכות הסביבה</vt:lpwstr>
  </property>
  <property fmtid="{D5CDD505-2E9C-101B-9397-08002B2CF9AE}" pid="9" name="NOSE31">
    <vt:lpwstr>מניעת זיהום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