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DBE7" w14:textId="77777777" w:rsidR="00D175E0" w:rsidRDefault="00D175E0" w:rsidP="00486E44">
      <w:pPr>
        <w:pStyle w:val="big-header"/>
        <w:ind w:left="0" w:right="1134"/>
        <w:rPr>
          <w:rFonts w:cs="FrankRuehl" w:hint="cs"/>
          <w:sz w:val="32"/>
          <w:rtl/>
        </w:rPr>
      </w:pPr>
      <w:r>
        <w:rPr>
          <w:rFonts w:cs="FrankRuehl"/>
          <w:sz w:val="32"/>
          <w:rtl/>
        </w:rPr>
        <w:t>חוק הארכת מועדים, תשל"ה</w:t>
      </w:r>
      <w:r w:rsidR="00486E44">
        <w:rPr>
          <w:rFonts w:cs="FrankRuehl" w:hint="cs"/>
          <w:sz w:val="32"/>
          <w:rtl/>
        </w:rPr>
        <w:t>-</w:t>
      </w:r>
      <w:r>
        <w:rPr>
          <w:rFonts w:cs="FrankRuehl"/>
          <w:sz w:val="32"/>
          <w:rtl/>
        </w:rPr>
        <w:t>1974</w:t>
      </w:r>
    </w:p>
    <w:p w14:paraId="23A2E950" w14:textId="77777777" w:rsidR="005C5477" w:rsidRPr="005C5477" w:rsidRDefault="005C5477" w:rsidP="005C5477">
      <w:pPr>
        <w:spacing w:line="320" w:lineRule="auto"/>
        <w:jc w:val="left"/>
        <w:rPr>
          <w:rFonts w:cs="FrankRuehl"/>
          <w:szCs w:val="26"/>
          <w:rtl/>
        </w:rPr>
      </w:pPr>
    </w:p>
    <w:p w14:paraId="3BDD64F9" w14:textId="77777777" w:rsidR="005C5477" w:rsidRPr="005C5477" w:rsidRDefault="005C5477" w:rsidP="005C5477">
      <w:pPr>
        <w:spacing w:line="320" w:lineRule="auto"/>
        <w:jc w:val="left"/>
        <w:rPr>
          <w:rFonts w:cs="Miriam" w:hint="cs"/>
          <w:szCs w:val="22"/>
          <w:rtl/>
        </w:rPr>
      </w:pPr>
      <w:r w:rsidRPr="005C5477">
        <w:rPr>
          <w:rFonts w:cs="Miriam"/>
          <w:szCs w:val="22"/>
          <w:rtl/>
        </w:rPr>
        <w:t>בטחון</w:t>
      </w:r>
      <w:r w:rsidRPr="005C5477">
        <w:rPr>
          <w:rFonts w:cs="FrankRuehl"/>
          <w:szCs w:val="26"/>
          <w:rtl/>
        </w:rPr>
        <w:t xml:space="preserve"> – שעת חירום – הארכת מועדים</w:t>
      </w:r>
    </w:p>
    <w:p w14:paraId="3777862A" w14:textId="77777777" w:rsidR="00D175E0" w:rsidRDefault="00D175E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175E0" w14:paraId="29E1F653" w14:textId="77777777">
        <w:tblPrEx>
          <w:tblCellMar>
            <w:top w:w="0" w:type="dxa"/>
            <w:bottom w:w="0" w:type="dxa"/>
          </w:tblCellMar>
        </w:tblPrEx>
        <w:tc>
          <w:tcPr>
            <w:tcW w:w="850" w:type="dxa"/>
          </w:tcPr>
          <w:p w14:paraId="7F62CDB3"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86E44">
              <w:rPr>
                <w:noProof/>
                <w:sz w:val="24"/>
                <w:rtl/>
              </w:rPr>
              <w:t>2</w:t>
            </w:r>
            <w:r>
              <w:rPr>
                <w:sz w:val="24"/>
                <w:rtl/>
              </w:rPr>
              <w:fldChar w:fldCharType="end"/>
            </w:r>
          </w:p>
        </w:tc>
        <w:tc>
          <w:tcPr>
            <w:tcW w:w="567" w:type="dxa"/>
          </w:tcPr>
          <w:p w14:paraId="0C7A4112" w14:textId="77777777" w:rsidR="00D175E0" w:rsidRDefault="00D175E0">
            <w:pPr>
              <w:spacing w:line="240" w:lineRule="auto"/>
              <w:rPr>
                <w:sz w:val="24"/>
              </w:rPr>
            </w:pPr>
            <w:hyperlink w:anchor="Seif0" w:tooltip="שירות חירום" w:history="1">
              <w:r>
                <w:rPr>
                  <w:rStyle w:val="Hyperlink"/>
                </w:rPr>
                <w:t>Go</w:t>
              </w:r>
            </w:hyperlink>
          </w:p>
        </w:tc>
        <w:tc>
          <w:tcPr>
            <w:tcW w:w="5669" w:type="dxa"/>
          </w:tcPr>
          <w:p w14:paraId="491EF886" w14:textId="77777777" w:rsidR="00D175E0" w:rsidRDefault="00D175E0">
            <w:pPr>
              <w:spacing w:line="240" w:lineRule="auto"/>
              <w:rPr>
                <w:sz w:val="24"/>
                <w:rtl/>
              </w:rPr>
            </w:pPr>
            <w:r>
              <w:rPr>
                <w:sz w:val="24"/>
                <w:rtl/>
              </w:rPr>
              <w:t>שירות חירום</w:t>
            </w:r>
          </w:p>
        </w:tc>
        <w:tc>
          <w:tcPr>
            <w:tcW w:w="1247" w:type="dxa"/>
          </w:tcPr>
          <w:p w14:paraId="4431143B" w14:textId="77777777" w:rsidR="00D175E0" w:rsidRDefault="00D175E0">
            <w:pPr>
              <w:spacing w:line="240" w:lineRule="auto"/>
              <w:rPr>
                <w:sz w:val="24"/>
              </w:rPr>
            </w:pPr>
            <w:r>
              <w:rPr>
                <w:sz w:val="24"/>
                <w:rtl/>
              </w:rPr>
              <w:t xml:space="preserve">סעיף 1 </w:t>
            </w:r>
          </w:p>
        </w:tc>
      </w:tr>
      <w:tr w:rsidR="00D175E0" w14:paraId="04DCD73F" w14:textId="77777777">
        <w:tblPrEx>
          <w:tblCellMar>
            <w:top w:w="0" w:type="dxa"/>
            <w:bottom w:w="0" w:type="dxa"/>
          </w:tblCellMar>
        </w:tblPrEx>
        <w:tc>
          <w:tcPr>
            <w:tcW w:w="850" w:type="dxa"/>
          </w:tcPr>
          <w:p w14:paraId="5CB38E4A"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86E44">
              <w:rPr>
                <w:noProof/>
                <w:sz w:val="24"/>
                <w:rtl/>
              </w:rPr>
              <w:t>2</w:t>
            </w:r>
            <w:r>
              <w:rPr>
                <w:sz w:val="24"/>
                <w:rtl/>
              </w:rPr>
              <w:fldChar w:fldCharType="end"/>
            </w:r>
          </w:p>
        </w:tc>
        <w:tc>
          <w:tcPr>
            <w:tcW w:w="567" w:type="dxa"/>
          </w:tcPr>
          <w:p w14:paraId="6F66994D" w14:textId="77777777" w:rsidR="00D175E0" w:rsidRDefault="00D175E0">
            <w:pPr>
              <w:spacing w:line="240" w:lineRule="auto"/>
              <w:rPr>
                <w:sz w:val="24"/>
              </w:rPr>
            </w:pPr>
            <w:hyperlink w:anchor="Seif1" w:tooltip="הארכה מכוח החוק" w:history="1">
              <w:r>
                <w:rPr>
                  <w:rStyle w:val="Hyperlink"/>
                </w:rPr>
                <w:t>Go</w:t>
              </w:r>
            </w:hyperlink>
          </w:p>
        </w:tc>
        <w:tc>
          <w:tcPr>
            <w:tcW w:w="5669" w:type="dxa"/>
          </w:tcPr>
          <w:p w14:paraId="4E1418CE" w14:textId="77777777" w:rsidR="00D175E0" w:rsidRDefault="00D175E0">
            <w:pPr>
              <w:spacing w:line="240" w:lineRule="auto"/>
              <w:rPr>
                <w:sz w:val="24"/>
                <w:rtl/>
              </w:rPr>
            </w:pPr>
            <w:r>
              <w:rPr>
                <w:sz w:val="24"/>
                <w:rtl/>
              </w:rPr>
              <w:t>הארכה מכוח החוק</w:t>
            </w:r>
          </w:p>
        </w:tc>
        <w:tc>
          <w:tcPr>
            <w:tcW w:w="1247" w:type="dxa"/>
          </w:tcPr>
          <w:p w14:paraId="74087E29" w14:textId="77777777" w:rsidR="00D175E0" w:rsidRDefault="00D175E0">
            <w:pPr>
              <w:spacing w:line="240" w:lineRule="auto"/>
              <w:rPr>
                <w:sz w:val="24"/>
              </w:rPr>
            </w:pPr>
            <w:r>
              <w:rPr>
                <w:sz w:val="24"/>
                <w:rtl/>
              </w:rPr>
              <w:t xml:space="preserve">סעיף 2 </w:t>
            </w:r>
          </w:p>
        </w:tc>
      </w:tr>
      <w:tr w:rsidR="00D175E0" w14:paraId="59EF438D" w14:textId="77777777">
        <w:tblPrEx>
          <w:tblCellMar>
            <w:top w:w="0" w:type="dxa"/>
            <w:bottom w:w="0" w:type="dxa"/>
          </w:tblCellMar>
        </w:tblPrEx>
        <w:tc>
          <w:tcPr>
            <w:tcW w:w="850" w:type="dxa"/>
          </w:tcPr>
          <w:p w14:paraId="273A322D"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86E44">
              <w:rPr>
                <w:noProof/>
                <w:sz w:val="24"/>
                <w:rtl/>
              </w:rPr>
              <w:t>2</w:t>
            </w:r>
            <w:r>
              <w:rPr>
                <w:sz w:val="24"/>
                <w:rtl/>
              </w:rPr>
              <w:fldChar w:fldCharType="end"/>
            </w:r>
          </w:p>
        </w:tc>
        <w:tc>
          <w:tcPr>
            <w:tcW w:w="567" w:type="dxa"/>
          </w:tcPr>
          <w:p w14:paraId="7EA3BB37" w14:textId="77777777" w:rsidR="00D175E0" w:rsidRDefault="00D175E0">
            <w:pPr>
              <w:spacing w:line="240" w:lineRule="auto"/>
              <w:rPr>
                <w:sz w:val="24"/>
              </w:rPr>
            </w:pPr>
            <w:hyperlink w:anchor="Seif2" w:tooltip="הארכה מכוח בית המשפט" w:history="1">
              <w:r>
                <w:rPr>
                  <w:rStyle w:val="Hyperlink"/>
                </w:rPr>
                <w:t>Go</w:t>
              </w:r>
            </w:hyperlink>
          </w:p>
        </w:tc>
        <w:tc>
          <w:tcPr>
            <w:tcW w:w="5669" w:type="dxa"/>
          </w:tcPr>
          <w:p w14:paraId="6A522922" w14:textId="77777777" w:rsidR="00D175E0" w:rsidRDefault="00D175E0">
            <w:pPr>
              <w:spacing w:line="240" w:lineRule="auto"/>
              <w:rPr>
                <w:sz w:val="24"/>
                <w:rtl/>
              </w:rPr>
            </w:pPr>
            <w:r>
              <w:rPr>
                <w:sz w:val="24"/>
                <w:rtl/>
              </w:rPr>
              <w:t>הארכה מכוח בית המשפט</w:t>
            </w:r>
          </w:p>
        </w:tc>
        <w:tc>
          <w:tcPr>
            <w:tcW w:w="1247" w:type="dxa"/>
          </w:tcPr>
          <w:p w14:paraId="6D00FCCD" w14:textId="77777777" w:rsidR="00D175E0" w:rsidRDefault="00D175E0">
            <w:pPr>
              <w:spacing w:line="240" w:lineRule="auto"/>
              <w:rPr>
                <w:sz w:val="24"/>
              </w:rPr>
            </w:pPr>
            <w:r>
              <w:rPr>
                <w:sz w:val="24"/>
                <w:rtl/>
              </w:rPr>
              <w:t xml:space="preserve">סעיף 3 </w:t>
            </w:r>
          </w:p>
        </w:tc>
      </w:tr>
      <w:tr w:rsidR="00D175E0" w14:paraId="32E5A992" w14:textId="77777777">
        <w:tblPrEx>
          <w:tblCellMar>
            <w:top w:w="0" w:type="dxa"/>
            <w:bottom w:w="0" w:type="dxa"/>
          </w:tblCellMar>
        </w:tblPrEx>
        <w:tc>
          <w:tcPr>
            <w:tcW w:w="850" w:type="dxa"/>
          </w:tcPr>
          <w:p w14:paraId="4AFF5476"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86E44">
              <w:rPr>
                <w:noProof/>
                <w:sz w:val="24"/>
                <w:rtl/>
              </w:rPr>
              <w:t>3</w:t>
            </w:r>
            <w:r>
              <w:rPr>
                <w:sz w:val="24"/>
                <w:rtl/>
              </w:rPr>
              <w:fldChar w:fldCharType="end"/>
            </w:r>
          </w:p>
        </w:tc>
        <w:tc>
          <w:tcPr>
            <w:tcW w:w="567" w:type="dxa"/>
          </w:tcPr>
          <w:p w14:paraId="4057FD59" w14:textId="77777777" w:rsidR="00D175E0" w:rsidRDefault="00D175E0">
            <w:pPr>
              <w:spacing w:line="240" w:lineRule="auto"/>
              <w:rPr>
                <w:sz w:val="24"/>
              </w:rPr>
            </w:pPr>
            <w:hyperlink w:anchor="Seif3" w:tooltip="הארכה נוספת מכוח תקנות" w:history="1">
              <w:r>
                <w:rPr>
                  <w:rStyle w:val="Hyperlink"/>
                </w:rPr>
                <w:t>Go</w:t>
              </w:r>
            </w:hyperlink>
          </w:p>
        </w:tc>
        <w:tc>
          <w:tcPr>
            <w:tcW w:w="5669" w:type="dxa"/>
          </w:tcPr>
          <w:p w14:paraId="0A9F07F1" w14:textId="77777777" w:rsidR="00D175E0" w:rsidRDefault="00D175E0">
            <w:pPr>
              <w:spacing w:line="240" w:lineRule="auto"/>
              <w:rPr>
                <w:sz w:val="24"/>
                <w:rtl/>
              </w:rPr>
            </w:pPr>
            <w:r>
              <w:rPr>
                <w:sz w:val="24"/>
                <w:rtl/>
              </w:rPr>
              <w:t>הארכה נוספת מכוח תקנות</w:t>
            </w:r>
          </w:p>
        </w:tc>
        <w:tc>
          <w:tcPr>
            <w:tcW w:w="1247" w:type="dxa"/>
          </w:tcPr>
          <w:p w14:paraId="12005C67" w14:textId="77777777" w:rsidR="00D175E0" w:rsidRDefault="00D175E0">
            <w:pPr>
              <w:spacing w:line="240" w:lineRule="auto"/>
              <w:rPr>
                <w:sz w:val="24"/>
              </w:rPr>
            </w:pPr>
            <w:r>
              <w:rPr>
                <w:sz w:val="24"/>
                <w:rtl/>
              </w:rPr>
              <w:t xml:space="preserve">סעיף 4 </w:t>
            </w:r>
          </w:p>
        </w:tc>
      </w:tr>
      <w:tr w:rsidR="00D175E0" w14:paraId="03AC75B5" w14:textId="77777777">
        <w:tblPrEx>
          <w:tblCellMar>
            <w:top w:w="0" w:type="dxa"/>
            <w:bottom w:w="0" w:type="dxa"/>
          </w:tblCellMar>
        </w:tblPrEx>
        <w:tc>
          <w:tcPr>
            <w:tcW w:w="850" w:type="dxa"/>
          </w:tcPr>
          <w:p w14:paraId="2FA70AD3"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86E44">
              <w:rPr>
                <w:noProof/>
                <w:sz w:val="24"/>
                <w:rtl/>
              </w:rPr>
              <w:t>3</w:t>
            </w:r>
            <w:r>
              <w:rPr>
                <w:sz w:val="24"/>
                <w:rtl/>
              </w:rPr>
              <w:fldChar w:fldCharType="end"/>
            </w:r>
          </w:p>
        </w:tc>
        <w:tc>
          <w:tcPr>
            <w:tcW w:w="567" w:type="dxa"/>
          </w:tcPr>
          <w:p w14:paraId="365710C0" w14:textId="77777777" w:rsidR="00D175E0" w:rsidRDefault="00D175E0">
            <w:pPr>
              <w:spacing w:line="240" w:lineRule="auto"/>
              <w:rPr>
                <w:sz w:val="24"/>
              </w:rPr>
            </w:pPr>
            <w:hyperlink w:anchor="Seif4" w:tooltip="ריבית" w:history="1">
              <w:r>
                <w:rPr>
                  <w:rStyle w:val="Hyperlink"/>
                </w:rPr>
                <w:t>Go</w:t>
              </w:r>
            </w:hyperlink>
          </w:p>
        </w:tc>
        <w:tc>
          <w:tcPr>
            <w:tcW w:w="5669" w:type="dxa"/>
          </w:tcPr>
          <w:p w14:paraId="452A7642" w14:textId="77777777" w:rsidR="00D175E0" w:rsidRDefault="00D175E0">
            <w:pPr>
              <w:spacing w:line="240" w:lineRule="auto"/>
              <w:rPr>
                <w:sz w:val="24"/>
                <w:rtl/>
              </w:rPr>
            </w:pPr>
            <w:r>
              <w:rPr>
                <w:sz w:val="24"/>
                <w:rtl/>
              </w:rPr>
              <w:t>ריבית</w:t>
            </w:r>
          </w:p>
        </w:tc>
        <w:tc>
          <w:tcPr>
            <w:tcW w:w="1247" w:type="dxa"/>
          </w:tcPr>
          <w:p w14:paraId="09079A05" w14:textId="77777777" w:rsidR="00D175E0" w:rsidRDefault="00D175E0">
            <w:pPr>
              <w:spacing w:line="240" w:lineRule="auto"/>
              <w:rPr>
                <w:sz w:val="24"/>
              </w:rPr>
            </w:pPr>
            <w:r>
              <w:rPr>
                <w:sz w:val="24"/>
                <w:rtl/>
              </w:rPr>
              <w:t xml:space="preserve">סעיף 5 </w:t>
            </w:r>
          </w:p>
        </w:tc>
      </w:tr>
      <w:tr w:rsidR="00D175E0" w14:paraId="31CE0C1A" w14:textId="77777777">
        <w:tblPrEx>
          <w:tblCellMar>
            <w:top w:w="0" w:type="dxa"/>
            <w:bottom w:w="0" w:type="dxa"/>
          </w:tblCellMar>
        </w:tblPrEx>
        <w:tc>
          <w:tcPr>
            <w:tcW w:w="850" w:type="dxa"/>
          </w:tcPr>
          <w:p w14:paraId="0A2C4399"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486E44">
              <w:rPr>
                <w:noProof/>
                <w:sz w:val="24"/>
                <w:rtl/>
              </w:rPr>
              <w:t>3</w:t>
            </w:r>
            <w:r>
              <w:rPr>
                <w:sz w:val="24"/>
                <w:rtl/>
              </w:rPr>
              <w:fldChar w:fldCharType="end"/>
            </w:r>
          </w:p>
        </w:tc>
        <w:tc>
          <w:tcPr>
            <w:tcW w:w="567" w:type="dxa"/>
          </w:tcPr>
          <w:p w14:paraId="5F2A09D0" w14:textId="77777777" w:rsidR="00D175E0" w:rsidRDefault="00D175E0">
            <w:pPr>
              <w:spacing w:line="240" w:lineRule="auto"/>
              <w:rPr>
                <w:sz w:val="24"/>
              </w:rPr>
            </w:pPr>
            <w:hyperlink w:anchor="Seif5" w:tooltip="הארכת רשיונות" w:history="1">
              <w:r>
                <w:rPr>
                  <w:rStyle w:val="Hyperlink"/>
                </w:rPr>
                <w:t>Go</w:t>
              </w:r>
            </w:hyperlink>
          </w:p>
        </w:tc>
        <w:tc>
          <w:tcPr>
            <w:tcW w:w="5669" w:type="dxa"/>
          </w:tcPr>
          <w:p w14:paraId="6AC76A78" w14:textId="77777777" w:rsidR="00D175E0" w:rsidRDefault="00D175E0">
            <w:pPr>
              <w:spacing w:line="240" w:lineRule="auto"/>
              <w:rPr>
                <w:sz w:val="24"/>
                <w:rtl/>
              </w:rPr>
            </w:pPr>
            <w:r>
              <w:rPr>
                <w:sz w:val="24"/>
                <w:rtl/>
              </w:rPr>
              <w:t>הארכת רשיונות</w:t>
            </w:r>
          </w:p>
        </w:tc>
        <w:tc>
          <w:tcPr>
            <w:tcW w:w="1247" w:type="dxa"/>
          </w:tcPr>
          <w:p w14:paraId="7F4C6BBC" w14:textId="77777777" w:rsidR="00D175E0" w:rsidRDefault="00D175E0">
            <w:pPr>
              <w:spacing w:line="240" w:lineRule="auto"/>
              <w:rPr>
                <w:sz w:val="24"/>
              </w:rPr>
            </w:pPr>
            <w:r>
              <w:rPr>
                <w:sz w:val="24"/>
                <w:rtl/>
              </w:rPr>
              <w:t xml:space="preserve">סעיף 6 </w:t>
            </w:r>
          </w:p>
        </w:tc>
      </w:tr>
      <w:tr w:rsidR="00D175E0" w14:paraId="64618920" w14:textId="77777777">
        <w:tblPrEx>
          <w:tblCellMar>
            <w:top w:w="0" w:type="dxa"/>
            <w:bottom w:w="0" w:type="dxa"/>
          </w:tblCellMar>
        </w:tblPrEx>
        <w:tc>
          <w:tcPr>
            <w:tcW w:w="850" w:type="dxa"/>
          </w:tcPr>
          <w:p w14:paraId="48B2FE36"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486E44">
              <w:rPr>
                <w:noProof/>
                <w:sz w:val="24"/>
                <w:rtl/>
              </w:rPr>
              <w:t>3</w:t>
            </w:r>
            <w:r>
              <w:rPr>
                <w:sz w:val="24"/>
                <w:rtl/>
              </w:rPr>
              <w:fldChar w:fldCharType="end"/>
            </w:r>
          </w:p>
        </w:tc>
        <w:tc>
          <w:tcPr>
            <w:tcW w:w="567" w:type="dxa"/>
          </w:tcPr>
          <w:p w14:paraId="15CF435F" w14:textId="77777777" w:rsidR="00D175E0" w:rsidRDefault="00D175E0">
            <w:pPr>
              <w:spacing w:line="240" w:lineRule="auto"/>
              <w:rPr>
                <w:sz w:val="24"/>
              </w:rPr>
            </w:pPr>
            <w:hyperlink w:anchor="Seif6" w:tooltip="דין שבויים ושאירי נופלים" w:history="1">
              <w:r>
                <w:rPr>
                  <w:rStyle w:val="Hyperlink"/>
                </w:rPr>
                <w:t>Go</w:t>
              </w:r>
            </w:hyperlink>
          </w:p>
        </w:tc>
        <w:tc>
          <w:tcPr>
            <w:tcW w:w="5669" w:type="dxa"/>
          </w:tcPr>
          <w:p w14:paraId="4B58609D" w14:textId="77777777" w:rsidR="00D175E0" w:rsidRDefault="00D175E0">
            <w:pPr>
              <w:spacing w:line="240" w:lineRule="auto"/>
              <w:rPr>
                <w:sz w:val="24"/>
                <w:rtl/>
              </w:rPr>
            </w:pPr>
            <w:r>
              <w:rPr>
                <w:sz w:val="24"/>
                <w:rtl/>
              </w:rPr>
              <w:t>דין שבויים ושאירי נופלים</w:t>
            </w:r>
          </w:p>
        </w:tc>
        <w:tc>
          <w:tcPr>
            <w:tcW w:w="1247" w:type="dxa"/>
          </w:tcPr>
          <w:p w14:paraId="187F3D5B" w14:textId="77777777" w:rsidR="00D175E0" w:rsidRDefault="00D175E0">
            <w:pPr>
              <w:spacing w:line="240" w:lineRule="auto"/>
              <w:rPr>
                <w:sz w:val="24"/>
              </w:rPr>
            </w:pPr>
            <w:r>
              <w:rPr>
                <w:sz w:val="24"/>
                <w:rtl/>
              </w:rPr>
              <w:t xml:space="preserve">סעיף 7 </w:t>
            </w:r>
          </w:p>
        </w:tc>
      </w:tr>
      <w:tr w:rsidR="00D175E0" w14:paraId="108716DD" w14:textId="77777777">
        <w:tblPrEx>
          <w:tblCellMar>
            <w:top w:w="0" w:type="dxa"/>
            <w:bottom w:w="0" w:type="dxa"/>
          </w:tblCellMar>
        </w:tblPrEx>
        <w:tc>
          <w:tcPr>
            <w:tcW w:w="850" w:type="dxa"/>
          </w:tcPr>
          <w:p w14:paraId="0CD66BE4"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486E44">
              <w:rPr>
                <w:noProof/>
                <w:sz w:val="24"/>
                <w:rtl/>
              </w:rPr>
              <w:t>3</w:t>
            </w:r>
            <w:r>
              <w:rPr>
                <w:sz w:val="24"/>
                <w:rtl/>
              </w:rPr>
              <w:fldChar w:fldCharType="end"/>
            </w:r>
          </w:p>
        </w:tc>
        <w:tc>
          <w:tcPr>
            <w:tcW w:w="567" w:type="dxa"/>
          </w:tcPr>
          <w:p w14:paraId="18F5C673" w14:textId="77777777" w:rsidR="00D175E0" w:rsidRDefault="00D175E0">
            <w:pPr>
              <w:spacing w:line="240" w:lineRule="auto"/>
              <w:rPr>
                <w:sz w:val="24"/>
              </w:rPr>
            </w:pPr>
            <w:hyperlink w:anchor="Seif7" w:tooltip="דין שירות חוזר" w:history="1">
              <w:r>
                <w:rPr>
                  <w:rStyle w:val="Hyperlink"/>
                </w:rPr>
                <w:t>Go</w:t>
              </w:r>
            </w:hyperlink>
          </w:p>
        </w:tc>
        <w:tc>
          <w:tcPr>
            <w:tcW w:w="5669" w:type="dxa"/>
          </w:tcPr>
          <w:p w14:paraId="27CADB3B" w14:textId="77777777" w:rsidR="00D175E0" w:rsidRDefault="00D175E0">
            <w:pPr>
              <w:spacing w:line="240" w:lineRule="auto"/>
              <w:rPr>
                <w:sz w:val="24"/>
                <w:rtl/>
              </w:rPr>
            </w:pPr>
            <w:r>
              <w:rPr>
                <w:sz w:val="24"/>
                <w:rtl/>
              </w:rPr>
              <w:t>דין שירות חוזר</w:t>
            </w:r>
          </w:p>
        </w:tc>
        <w:tc>
          <w:tcPr>
            <w:tcW w:w="1247" w:type="dxa"/>
          </w:tcPr>
          <w:p w14:paraId="2C493BC7" w14:textId="77777777" w:rsidR="00D175E0" w:rsidRDefault="00D175E0">
            <w:pPr>
              <w:spacing w:line="240" w:lineRule="auto"/>
              <w:rPr>
                <w:sz w:val="24"/>
              </w:rPr>
            </w:pPr>
            <w:r>
              <w:rPr>
                <w:sz w:val="24"/>
                <w:rtl/>
              </w:rPr>
              <w:t xml:space="preserve">סעיף 8 </w:t>
            </w:r>
          </w:p>
        </w:tc>
      </w:tr>
      <w:tr w:rsidR="00D175E0" w14:paraId="56B425F6" w14:textId="77777777">
        <w:tblPrEx>
          <w:tblCellMar>
            <w:top w:w="0" w:type="dxa"/>
            <w:bottom w:w="0" w:type="dxa"/>
          </w:tblCellMar>
        </w:tblPrEx>
        <w:tc>
          <w:tcPr>
            <w:tcW w:w="850" w:type="dxa"/>
          </w:tcPr>
          <w:p w14:paraId="2984E066"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486E44">
              <w:rPr>
                <w:noProof/>
                <w:sz w:val="24"/>
                <w:rtl/>
              </w:rPr>
              <w:t>3</w:t>
            </w:r>
            <w:r>
              <w:rPr>
                <w:sz w:val="24"/>
                <w:rtl/>
              </w:rPr>
              <w:fldChar w:fldCharType="end"/>
            </w:r>
          </w:p>
        </w:tc>
        <w:tc>
          <w:tcPr>
            <w:tcW w:w="567" w:type="dxa"/>
          </w:tcPr>
          <w:p w14:paraId="69A160CD" w14:textId="77777777" w:rsidR="00D175E0" w:rsidRDefault="00D175E0">
            <w:pPr>
              <w:spacing w:line="240" w:lineRule="auto"/>
              <w:rPr>
                <w:sz w:val="24"/>
              </w:rPr>
            </w:pPr>
            <w:hyperlink w:anchor="Seif8" w:tooltip="דין תאגיד" w:history="1">
              <w:r>
                <w:rPr>
                  <w:rStyle w:val="Hyperlink"/>
                </w:rPr>
                <w:t>Go</w:t>
              </w:r>
            </w:hyperlink>
          </w:p>
        </w:tc>
        <w:tc>
          <w:tcPr>
            <w:tcW w:w="5669" w:type="dxa"/>
          </w:tcPr>
          <w:p w14:paraId="6F0B77B4" w14:textId="77777777" w:rsidR="00D175E0" w:rsidRDefault="00D175E0">
            <w:pPr>
              <w:spacing w:line="240" w:lineRule="auto"/>
              <w:rPr>
                <w:sz w:val="24"/>
                <w:rtl/>
              </w:rPr>
            </w:pPr>
            <w:r>
              <w:rPr>
                <w:sz w:val="24"/>
                <w:rtl/>
              </w:rPr>
              <w:t>דין תאגיד</w:t>
            </w:r>
          </w:p>
        </w:tc>
        <w:tc>
          <w:tcPr>
            <w:tcW w:w="1247" w:type="dxa"/>
          </w:tcPr>
          <w:p w14:paraId="25FC2F6D" w14:textId="77777777" w:rsidR="00D175E0" w:rsidRDefault="00D175E0">
            <w:pPr>
              <w:spacing w:line="240" w:lineRule="auto"/>
              <w:rPr>
                <w:sz w:val="24"/>
              </w:rPr>
            </w:pPr>
            <w:r>
              <w:rPr>
                <w:sz w:val="24"/>
                <w:rtl/>
              </w:rPr>
              <w:t xml:space="preserve">סעיף 9 </w:t>
            </w:r>
          </w:p>
        </w:tc>
      </w:tr>
      <w:tr w:rsidR="00D175E0" w14:paraId="235C6652" w14:textId="77777777">
        <w:tblPrEx>
          <w:tblCellMar>
            <w:top w:w="0" w:type="dxa"/>
            <w:bottom w:w="0" w:type="dxa"/>
          </w:tblCellMar>
        </w:tblPrEx>
        <w:tc>
          <w:tcPr>
            <w:tcW w:w="850" w:type="dxa"/>
          </w:tcPr>
          <w:p w14:paraId="58214581"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486E44">
              <w:rPr>
                <w:noProof/>
                <w:sz w:val="24"/>
                <w:rtl/>
              </w:rPr>
              <w:t>3</w:t>
            </w:r>
            <w:r>
              <w:rPr>
                <w:sz w:val="24"/>
                <w:rtl/>
              </w:rPr>
              <w:fldChar w:fldCharType="end"/>
            </w:r>
          </w:p>
        </w:tc>
        <w:tc>
          <w:tcPr>
            <w:tcW w:w="567" w:type="dxa"/>
          </w:tcPr>
          <w:p w14:paraId="0F74385D" w14:textId="77777777" w:rsidR="00D175E0" w:rsidRDefault="00D175E0">
            <w:pPr>
              <w:spacing w:line="240" w:lineRule="auto"/>
              <w:rPr>
                <w:sz w:val="24"/>
              </w:rPr>
            </w:pPr>
            <w:hyperlink w:anchor="Seif9" w:tooltip="סייגים לתחולת החוק" w:history="1">
              <w:r>
                <w:rPr>
                  <w:rStyle w:val="Hyperlink"/>
                </w:rPr>
                <w:t>Go</w:t>
              </w:r>
            </w:hyperlink>
          </w:p>
        </w:tc>
        <w:tc>
          <w:tcPr>
            <w:tcW w:w="5669" w:type="dxa"/>
          </w:tcPr>
          <w:p w14:paraId="78A2FABC" w14:textId="77777777" w:rsidR="00D175E0" w:rsidRDefault="00D175E0">
            <w:pPr>
              <w:spacing w:line="240" w:lineRule="auto"/>
              <w:rPr>
                <w:sz w:val="24"/>
                <w:rtl/>
              </w:rPr>
            </w:pPr>
            <w:r>
              <w:rPr>
                <w:sz w:val="24"/>
                <w:rtl/>
              </w:rPr>
              <w:t>סייגים לתחולת החוק</w:t>
            </w:r>
          </w:p>
        </w:tc>
        <w:tc>
          <w:tcPr>
            <w:tcW w:w="1247" w:type="dxa"/>
          </w:tcPr>
          <w:p w14:paraId="1F79EBEB" w14:textId="77777777" w:rsidR="00D175E0" w:rsidRDefault="00D175E0">
            <w:pPr>
              <w:spacing w:line="240" w:lineRule="auto"/>
              <w:rPr>
                <w:sz w:val="24"/>
              </w:rPr>
            </w:pPr>
            <w:r>
              <w:rPr>
                <w:sz w:val="24"/>
                <w:rtl/>
              </w:rPr>
              <w:t xml:space="preserve">סעיף 10 </w:t>
            </w:r>
          </w:p>
        </w:tc>
      </w:tr>
      <w:tr w:rsidR="00D175E0" w14:paraId="2250FF59" w14:textId="77777777">
        <w:tblPrEx>
          <w:tblCellMar>
            <w:top w:w="0" w:type="dxa"/>
            <w:bottom w:w="0" w:type="dxa"/>
          </w:tblCellMar>
        </w:tblPrEx>
        <w:tc>
          <w:tcPr>
            <w:tcW w:w="850" w:type="dxa"/>
          </w:tcPr>
          <w:p w14:paraId="2ACE2A5D"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486E44">
              <w:rPr>
                <w:noProof/>
                <w:sz w:val="24"/>
                <w:rtl/>
              </w:rPr>
              <w:t>3</w:t>
            </w:r>
            <w:r>
              <w:rPr>
                <w:sz w:val="24"/>
                <w:rtl/>
              </w:rPr>
              <w:fldChar w:fldCharType="end"/>
            </w:r>
          </w:p>
        </w:tc>
        <w:tc>
          <w:tcPr>
            <w:tcW w:w="567" w:type="dxa"/>
          </w:tcPr>
          <w:p w14:paraId="423BEBB4" w14:textId="77777777" w:rsidR="00D175E0" w:rsidRDefault="00D175E0">
            <w:pPr>
              <w:spacing w:line="240" w:lineRule="auto"/>
              <w:rPr>
                <w:sz w:val="24"/>
              </w:rPr>
            </w:pPr>
            <w:hyperlink w:anchor="Seif10" w:tooltip="שמירת דינים" w:history="1">
              <w:r>
                <w:rPr>
                  <w:rStyle w:val="Hyperlink"/>
                </w:rPr>
                <w:t>Go</w:t>
              </w:r>
            </w:hyperlink>
          </w:p>
        </w:tc>
        <w:tc>
          <w:tcPr>
            <w:tcW w:w="5669" w:type="dxa"/>
          </w:tcPr>
          <w:p w14:paraId="0FCE41E5" w14:textId="77777777" w:rsidR="00D175E0" w:rsidRDefault="00D175E0">
            <w:pPr>
              <w:spacing w:line="240" w:lineRule="auto"/>
              <w:rPr>
                <w:sz w:val="24"/>
                <w:rtl/>
              </w:rPr>
            </w:pPr>
            <w:r>
              <w:rPr>
                <w:sz w:val="24"/>
                <w:rtl/>
              </w:rPr>
              <w:t>שמירת דינים</w:t>
            </w:r>
          </w:p>
        </w:tc>
        <w:tc>
          <w:tcPr>
            <w:tcW w:w="1247" w:type="dxa"/>
          </w:tcPr>
          <w:p w14:paraId="76C29813" w14:textId="77777777" w:rsidR="00D175E0" w:rsidRDefault="00D175E0">
            <w:pPr>
              <w:spacing w:line="240" w:lineRule="auto"/>
              <w:rPr>
                <w:sz w:val="24"/>
              </w:rPr>
            </w:pPr>
            <w:r>
              <w:rPr>
                <w:sz w:val="24"/>
                <w:rtl/>
              </w:rPr>
              <w:t xml:space="preserve">סעיף 11 </w:t>
            </w:r>
          </w:p>
        </w:tc>
      </w:tr>
      <w:tr w:rsidR="00D175E0" w14:paraId="2CE85CEB" w14:textId="77777777">
        <w:tblPrEx>
          <w:tblCellMar>
            <w:top w:w="0" w:type="dxa"/>
            <w:bottom w:w="0" w:type="dxa"/>
          </w:tblCellMar>
        </w:tblPrEx>
        <w:tc>
          <w:tcPr>
            <w:tcW w:w="850" w:type="dxa"/>
          </w:tcPr>
          <w:p w14:paraId="1860C949"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486E44">
              <w:rPr>
                <w:noProof/>
                <w:sz w:val="24"/>
                <w:rtl/>
              </w:rPr>
              <w:t>3</w:t>
            </w:r>
            <w:r>
              <w:rPr>
                <w:sz w:val="24"/>
                <w:rtl/>
              </w:rPr>
              <w:fldChar w:fldCharType="end"/>
            </w:r>
          </w:p>
        </w:tc>
        <w:tc>
          <w:tcPr>
            <w:tcW w:w="567" w:type="dxa"/>
          </w:tcPr>
          <w:p w14:paraId="5416A1BA" w14:textId="77777777" w:rsidR="00D175E0" w:rsidRDefault="00D175E0">
            <w:pPr>
              <w:spacing w:line="240" w:lineRule="auto"/>
              <w:rPr>
                <w:sz w:val="24"/>
              </w:rPr>
            </w:pPr>
            <w:hyperlink w:anchor="Seif11" w:tooltip="ביצוע ותקנות סדרי דין" w:history="1">
              <w:r>
                <w:rPr>
                  <w:rStyle w:val="Hyperlink"/>
                </w:rPr>
                <w:t>Go</w:t>
              </w:r>
            </w:hyperlink>
          </w:p>
        </w:tc>
        <w:tc>
          <w:tcPr>
            <w:tcW w:w="5669" w:type="dxa"/>
          </w:tcPr>
          <w:p w14:paraId="03473CDB" w14:textId="77777777" w:rsidR="00D175E0" w:rsidRDefault="00D175E0">
            <w:pPr>
              <w:spacing w:line="240" w:lineRule="auto"/>
              <w:rPr>
                <w:sz w:val="24"/>
                <w:rtl/>
              </w:rPr>
            </w:pPr>
            <w:r>
              <w:rPr>
                <w:sz w:val="24"/>
                <w:rtl/>
              </w:rPr>
              <w:t>ביצוע ותקנות סדרי דין</w:t>
            </w:r>
          </w:p>
        </w:tc>
        <w:tc>
          <w:tcPr>
            <w:tcW w:w="1247" w:type="dxa"/>
          </w:tcPr>
          <w:p w14:paraId="5EF660B1" w14:textId="77777777" w:rsidR="00D175E0" w:rsidRDefault="00D175E0">
            <w:pPr>
              <w:spacing w:line="240" w:lineRule="auto"/>
              <w:rPr>
                <w:sz w:val="24"/>
              </w:rPr>
            </w:pPr>
            <w:r>
              <w:rPr>
                <w:sz w:val="24"/>
                <w:rtl/>
              </w:rPr>
              <w:t xml:space="preserve">סעיף 12 </w:t>
            </w:r>
          </w:p>
        </w:tc>
      </w:tr>
      <w:tr w:rsidR="00D175E0" w14:paraId="483868B0" w14:textId="77777777">
        <w:tblPrEx>
          <w:tblCellMar>
            <w:top w:w="0" w:type="dxa"/>
            <w:bottom w:w="0" w:type="dxa"/>
          </w:tblCellMar>
        </w:tblPrEx>
        <w:tc>
          <w:tcPr>
            <w:tcW w:w="850" w:type="dxa"/>
          </w:tcPr>
          <w:p w14:paraId="69415C17"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486E44">
              <w:rPr>
                <w:noProof/>
                <w:sz w:val="24"/>
                <w:rtl/>
              </w:rPr>
              <w:t>4</w:t>
            </w:r>
            <w:r>
              <w:rPr>
                <w:sz w:val="24"/>
                <w:rtl/>
              </w:rPr>
              <w:fldChar w:fldCharType="end"/>
            </w:r>
          </w:p>
        </w:tc>
        <w:tc>
          <w:tcPr>
            <w:tcW w:w="567" w:type="dxa"/>
          </w:tcPr>
          <w:p w14:paraId="0B76CB74" w14:textId="77777777" w:rsidR="00D175E0" w:rsidRDefault="00D175E0">
            <w:pPr>
              <w:spacing w:line="240" w:lineRule="auto"/>
              <w:rPr>
                <w:sz w:val="24"/>
              </w:rPr>
            </w:pPr>
            <w:hyperlink w:anchor="Seif12" w:tooltip="ביטול והוראות מעבר" w:history="1">
              <w:r>
                <w:rPr>
                  <w:rStyle w:val="Hyperlink"/>
                </w:rPr>
                <w:t>Go</w:t>
              </w:r>
            </w:hyperlink>
          </w:p>
        </w:tc>
        <w:tc>
          <w:tcPr>
            <w:tcW w:w="5669" w:type="dxa"/>
          </w:tcPr>
          <w:p w14:paraId="6767E699" w14:textId="77777777" w:rsidR="00D175E0" w:rsidRDefault="00D175E0">
            <w:pPr>
              <w:spacing w:line="240" w:lineRule="auto"/>
              <w:rPr>
                <w:sz w:val="24"/>
                <w:rtl/>
              </w:rPr>
            </w:pPr>
            <w:r>
              <w:rPr>
                <w:sz w:val="24"/>
                <w:rtl/>
              </w:rPr>
              <w:t>ביטול והוראות מעבר</w:t>
            </w:r>
          </w:p>
        </w:tc>
        <w:tc>
          <w:tcPr>
            <w:tcW w:w="1247" w:type="dxa"/>
          </w:tcPr>
          <w:p w14:paraId="18066409" w14:textId="77777777" w:rsidR="00D175E0" w:rsidRDefault="00D175E0">
            <w:pPr>
              <w:spacing w:line="240" w:lineRule="auto"/>
              <w:rPr>
                <w:sz w:val="24"/>
              </w:rPr>
            </w:pPr>
            <w:r>
              <w:rPr>
                <w:sz w:val="24"/>
                <w:rtl/>
              </w:rPr>
              <w:t xml:space="preserve">סעיף 13 </w:t>
            </w:r>
          </w:p>
        </w:tc>
      </w:tr>
      <w:tr w:rsidR="00D175E0" w14:paraId="5BC37DE9" w14:textId="77777777">
        <w:tblPrEx>
          <w:tblCellMar>
            <w:top w:w="0" w:type="dxa"/>
            <w:bottom w:w="0" w:type="dxa"/>
          </w:tblCellMar>
        </w:tblPrEx>
        <w:tc>
          <w:tcPr>
            <w:tcW w:w="850" w:type="dxa"/>
          </w:tcPr>
          <w:p w14:paraId="3715035A" w14:textId="77777777" w:rsidR="00D175E0" w:rsidRDefault="00D175E0">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486E44">
              <w:rPr>
                <w:noProof/>
                <w:sz w:val="24"/>
                <w:rtl/>
              </w:rPr>
              <w:t>4</w:t>
            </w:r>
            <w:r>
              <w:rPr>
                <w:sz w:val="24"/>
                <w:rtl/>
              </w:rPr>
              <w:fldChar w:fldCharType="end"/>
            </w:r>
          </w:p>
        </w:tc>
        <w:tc>
          <w:tcPr>
            <w:tcW w:w="567" w:type="dxa"/>
          </w:tcPr>
          <w:p w14:paraId="3C2E5E40" w14:textId="77777777" w:rsidR="00D175E0" w:rsidRDefault="00D175E0">
            <w:pPr>
              <w:spacing w:line="240" w:lineRule="auto"/>
              <w:rPr>
                <w:sz w:val="24"/>
              </w:rPr>
            </w:pPr>
            <w:hyperlink w:anchor="Seif13" w:tooltip="תחילה" w:history="1">
              <w:r>
                <w:rPr>
                  <w:rStyle w:val="Hyperlink"/>
                </w:rPr>
                <w:t>Go</w:t>
              </w:r>
            </w:hyperlink>
          </w:p>
        </w:tc>
        <w:tc>
          <w:tcPr>
            <w:tcW w:w="5669" w:type="dxa"/>
          </w:tcPr>
          <w:p w14:paraId="59E28CD3" w14:textId="77777777" w:rsidR="00D175E0" w:rsidRDefault="00D175E0">
            <w:pPr>
              <w:spacing w:line="240" w:lineRule="auto"/>
              <w:rPr>
                <w:sz w:val="24"/>
                <w:rtl/>
              </w:rPr>
            </w:pPr>
            <w:r>
              <w:rPr>
                <w:sz w:val="24"/>
                <w:rtl/>
              </w:rPr>
              <w:t>תחילה</w:t>
            </w:r>
          </w:p>
        </w:tc>
        <w:tc>
          <w:tcPr>
            <w:tcW w:w="1247" w:type="dxa"/>
          </w:tcPr>
          <w:p w14:paraId="634150BE" w14:textId="77777777" w:rsidR="00D175E0" w:rsidRDefault="00D175E0">
            <w:pPr>
              <w:spacing w:line="240" w:lineRule="auto"/>
              <w:rPr>
                <w:sz w:val="24"/>
              </w:rPr>
            </w:pPr>
            <w:r>
              <w:rPr>
                <w:sz w:val="24"/>
                <w:rtl/>
              </w:rPr>
              <w:t xml:space="preserve">סעיף 14 </w:t>
            </w:r>
          </w:p>
        </w:tc>
      </w:tr>
    </w:tbl>
    <w:p w14:paraId="75C23B44" w14:textId="77777777" w:rsidR="00D175E0" w:rsidRDefault="00D175E0">
      <w:pPr>
        <w:pStyle w:val="big-header"/>
        <w:ind w:left="0" w:right="1134"/>
        <w:rPr>
          <w:rFonts w:cs="FrankRuehl"/>
          <w:sz w:val="32"/>
          <w:rtl/>
        </w:rPr>
      </w:pPr>
    </w:p>
    <w:p w14:paraId="3768A7EC" w14:textId="77777777" w:rsidR="00D175E0" w:rsidRPr="005C5477" w:rsidRDefault="00D175E0" w:rsidP="005C5477">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הארכת מועדים, תשל"ה</w:t>
      </w:r>
      <w:r w:rsidR="00486E44">
        <w:rPr>
          <w:rFonts w:cs="FrankRuehl" w:hint="cs"/>
          <w:sz w:val="32"/>
          <w:rtl/>
        </w:rPr>
        <w:t>-</w:t>
      </w:r>
      <w:r>
        <w:rPr>
          <w:rFonts w:cs="FrankRuehl"/>
          <w:sz w:val="32"/>
          <w:rtl/>
        </w:rPr>
        <w:t>1974</w:t>
      </w:r>
      <w:r w:rsidR="00486E44">
        <w:rPr>
          <w:rStyle w:val="a6"/>
          <w:rFonts w:cs="FrankRuehl"/>
          <w:sz w:val="32"/>
          <w:rtl/>
        </w:rPr>
        <w:footnoteReference w:customMarkFollows="1" w:id="1"/>
        <w:t>*</w:t>
      </w:r>
    </w:p>
    <w:p w14:paraId="44FEEB44" w14:textId="77777777" w:rsidR="00D175E0" w:rsidRDefault="00D175E0">
      <w:pPr>
        <w:pStyle w:val="P00"/>
        <w:spacing w:before="72"/>
        <w:ind w:left="0" w:right="1134"/>
        <w:rPr>
          <w:rStyle w:val="default"/>
          <w:rFonts w:cs="FrankRuehl"/>
          <w:rtl/>
        </w:rPr>
      </w:pPr>
      <w:bookmarkStart w:id="0" w:name="Seif0"/>
      <w:bookmarkEnd w:id="0"/>
      <w:r>
        <w:rPr>
          <w:lang w:val="he-IL"/>
        </w:rPr>
        <w:pict w14:anchorId="4D3F2E69">
          <v:rect id="_x0000_s1026" style="position:absolute;left:0;text-align:left;margin-left:464.5pt;margin-top:8.05pt;width:75.05pt;height:11.8pt;z-index:251651072" o:allowincell="f" filled="f" stroked="f" strokecolor="lime" strokeweight=".25pt">
            <v:textbox inset="0,0,0,0">
              <w:txbxContent>
                <w:p w14:paraId="7BD9EDF4" w14:textId="77777777" w:rsidR="00D175E0" w:rsidRDefault="00D175E0">
                  <w:pPr>
                    <w:spacing w:line="160" w:lineRule="exact"/>
                    <w:jc w:val="left"/>
                    <w:rPr>
                      <w:rFonts w:cs="Miriam"/>
                      <w:noProof/>
                      <w:sz w:val="18"/>
                      <w:szCs w:val="18"/>
                      <w:rtl/>
                    </w:rPr>
                  </w:pPr>
                  <w:r>
                    <w:rPr>
                      <w:rFonts w:cs="Miriam"/>
                      <w:sz w:val="18"/>
                      <w:szCs w:val="18"/>
                      <w:rtl/>
                    </w:rPr>
                    <w:t>שי</w:t>
                  </w:r>
                  <w:r>
                    <w:rPr>
                      <w:rFonts w:cs="Miriam" w:hint="cs"/>
                      <w:sz w:val="18"/>
                      <w:szCs w:val="18"/>
                      <w:rtl/>
                    </w:rPr>
                    <w:t>רות חירום</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רשאי להכריז כי שירות הוא שירות חירום לענין חוק זה.</w:t>
      </w:r>
    </w:p>
    <w:p w14:paraId="02946414" w14:textId="77777777" w:rsidR="00D175E0" w:rsidRDefault="00D175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ירות שהוכרז כאמור יהיה שירות חירום מן היום שנקבע לכך בהכרזת שר הבטחון ועד היום שקבע לכך בהכרזה או בהודעה על </w:t>
      </w:r>
      <w:r>
        <w:rPr>
          <w:rStyle w:val="default"/>
          <w:rFonts w:cs="FrankRuehl"/>
          <w:rtl/>
        </w:rPr>
        <w:t>ב</w:t>
      </w:r>
      <w:r>
        <w:rPr>
          <w:rStyle w:val="default"/>
          <w:rFonts w:cs="FrankRuehl" w:hint="cs"/>
          <w:rtl/>
        </w:rPr>
        <w:t>יטולה.</w:t>
      </w:r>
    </w:p>
    <w:p w14:paraId="11CFF49D" w14:textId="77777777" w:rsidR="00D175E0" w:rsidRDefault="00D175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כרזה ל</w:t>
      </w:r>
      <w:r>
        <w:rPr>
          <w:rStyle w:val="default"/>
          <w:rFonts w:cs="FrankRuehl"/>
          <w:rtl/>
        </w:rPr>
        <w:t>פי</w:t>
      </w:r>
      <w:r>
        <w:rPr>
          <w:rStyle w:val="default"/>
          <w:rFonts w:cs="FrankRuehl" w:hint="cs"/>
          <w:rtl/>
        </w:rPr>
        <w:t xml:space="preserve"> סעיף זה יכול שתהיה לשירות פלוני או לשירות ביחידה פלונית או במקום פלוני.</w:t>
      </w:r>
    </w:p>
    <w:p w14:paraId="71E7D7FE" w14:textId="77777777" w:rsidR="00D175E0" w:rsidRDefault="00D175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כרזה שניתנה על-פי סעיף קטן (א) תובא מאת שר הבטחון, בהקדם ככל האפשר אחרי הינתנה, לפני ועדת החוץ והבטחון של הכנסת; הועדה רשאית לאשר את ההכרזה, בשינויים או בלי שינויים, או לא לאש</w:t>
      </w:r>
      <w:r>
        <w:rPr>
          <w:rStyle w:val="default"/>
          <w:rFonts w:cs="FrankRuehl"/>
          <w:rtl/>
        </w:rPr>
        <w:t>רה</w:t>
      </w:r>
      <w:r>
        <w:rPr>
          <w:rStyle w:val="default"/>
          <w:rFonts w:cs="FrankRuehl" w:hint="cs"/>
          <w:rtl/>
        </w:rPr>
        <w:t xml:space="preserve"> או להביאה לפני הכנסת: תקפה של ההכרזה יפקע בתום ארבעה עשר יום לאחר הינתנה, זולת אם אישרה אותה הועדה או הכנסת לפני תום המועד האמור, וכפי שאישרה.</w:t>
      </w:r>
    </w:p>
    <w:p w14:paraId="66561B84" w14:textId="77777777" w:rsidR="00D175E0" w:rsidRDefault="00D175E0" w:rsidP="00486E44">
      <w:pPr>
        <w:pStyle w:val="P00"/>
        <w:spacing w:before="72"/>
        <w:ind w:left="0" w:right="1134"/>
        <w:rPr>
          <w:rStyle w:val="default"/>
          <w:rFonts w:cs="FrankRuehl"/>
          <w:rtl/>
        </w:rPr>
      </w:pPr>
      <w:bookmarkStart w:id="1" w:name="Seif1"/>
      <w:bookmarkEnd w:id="1"/>
      <w:r>
        <w:rPr>
          <w:lang w:val="he-IL"/>
        </w:rPr>
        <w:pict w14:anchorId="0BE43DAD">
          <v:rect id="_x0000_s1027" style="position:absolute;left:0;text-align:left;margin-left:464.5pt;margin-top:8.05pt;width:75.05pt;height:9.7pt;z-index:251652096" o:allowincell="f" filled="f" stroked="f" strokecolor="lime" strokeweight=".25pt">
            <v:textbox inset="0,0,0,0">
              <w:txbxContent>
                <w:p w14:paraId="4B7A8276" w14:textId="77777777" w:rsidR="00D175E0" w:rsidRDefault="00D175E0">
                  <w:pPr>
                    <w:spacing w:line="160" w:lineRule="exact"/>
                    <w:jc w:val="left"/>
                    <w:rPr>
                      <w:rFonts w:cs="Miriam"/>
                      <w:noProof/>
                      <w:sz w:val="18"/>
                      <w:szCs w:val="18"/>
                      <w:rtl/>
                    </w:rPr>
                  </w:pPr>
                  <w:r>
                    <w:rPr>
                      <w:rFonts w:cs="Miriam"/>
                      <w:sz w:val="18"/>
                      <w:szCs w:val="18"/>
                      <w:rtl/>
                    </w:rPr>
                    <w:t>הא</w:t>
                  </w:r>
                  <w:r>
                    <w:rPr>
                      <w:rFonts w:cs="Miriam" w:hint="cs"/>
                      <w:sz w:val="18"/>
                      <w:szCs w:val="18"/>
                      <w:rtl/>
                    </w:rPr>
                    <w:t>רכה מכוח החוק</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קבע בחוזה </w:t>
      </w:r>
      <w:r w:rsidR="00486E44">
        <w:rPr>
          <w:rStyle w:val="default"/>
          <w:rFonts w:cs="FrankRuehl" w:hint="cs"/>
          <w:rtl/>
        </w:rPr>
        <w:t>-</w:t>
      </w:r>
      <w:r>
        <w:rPr>
          <w:rStyle w:val="default"/>
          <w:rFonts w:cs="FrankRuehl"/>
          <w:rtl/>
        </w:rPr>
        <w:t xml:space="preserve"> </w:t>
      </w:r>
      <w:r>
        <w:rPr>
          <w:rStyle w:val="default"/>
          <w:rFonts w:cs="FrankRuehl" w:hint="cs"/>
          <w:rtl/>
        </w:rPr>
        <w:t>ובכלל זה שטר חליפין ושטר ח</w:t>
      </w:r>
      <w:r>
        <w:rPr>
          <w:rStyle w:val="default"/>
          <w:rFonts w:cs="FrankRuehl"/>
          <w:rtl/>
        </w:rPr>
        <w:t>ו</w:t>
      </w:r>
      <w:r>
        <w:rPr>
          <w:rStyle w:val="default"/>
          <w:rFonts w:cs="FrankRuehl" w:hint="cs"/>
          <w:rtl/>
        </w:rPr>
        <w:t xml:space="preserve">ב </w:t>
      </w:r>
      <w:r w:rsidR="00486E44">
        <w:rPr>
          <w:rStyle w:val="default"/>
          <w:rFonts w:cs="FrankRuehl" w:hint="cs"/>
          <w:rtl/>
        </w:rPr>
        <w:t>-</w:t>
      </w:r>
      <w:r>
        <w:rPr>
          <w:rStyle w:val="default"/>
          <w:rFonts w:cs="FrankRuehl"/>
          <w:rtl/>
        </w:rPr>
        <w:t xml:space="preserve"> </w:t>
      </w:r>
      <w:r>
        <w:rPr>
          <w:rStyle w:val="default"/>
          <w:rFonts w:cs="FrankRuehl" w:hint="cs"/>
          <w:rtl/>
        </w:rPr>
        <w:t>מועד לעשיית פעולה והאדם שחייב או רשאי לעשותה שירת שירות חי</w:t>
      </w:r>
      <w:r>
        <w:rPr>
          <w:rStyle w:val="default"/>
          <w:rFonts w:cs="FrankRuehl"/>
          <w:rtl/>
        </w:rPr>
        <w:t>רו</w:t>
      </w:r>
      <w:r>
        <w:rPr>
          <w:rStyle w:val="default"/>
          <w:rFonts w:cs="FrankRuehl" w:hint="cs"/>
          <w:rtl/>
        </w:rPr>
        <w:t xml:space="preserve">ם באותו מועד או תוך שלושים הימים שלפני כן, יראו את המועד כמוארך עד תום </w:t>
      </w:r>
      <w:r w:rsidR="00486E44">
        <w:rPr>
          <w:rStyle w:val="default"/>
          <w:rFonts w:cs="FrankRuehl" w:hint="cs"/>
          <w:rtl/>
        </w:rPr>
        <w:t>שלושים יו</w:t>
      </w:r>
      <w:r>
        <w:rPr>
          <w:rStyle w:val="default"/>
          <w:rFonts w:cs="FrankRuehl" w:hint="cs"/>
          <w:rtl/>
        </w:rPr>
        <w:t>ם לאחר ששוחרר האדם משירות החירום או לאחר שחדל השירות מהיות שירות חירום, הכל לפי המוקדם.</w:t>
      </w:r>
    </w:p>
    <w:p w14:paraId="106A74B1" w14:textId="77777777" w:rsidR="00D175E0" w:rsidRDefault="00D175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קבעה תקופה לעשיית פע</w:t>
      </w:r>
      <w:r>
        <w:rPr>
          <w:rStyle w:val="default"/>
          <w:rFonts w:cs="FrankRuehl"/>
          <w:rtl/>
        </w:rPr>
        <w:t>ו</w:t>
      </w:r>
      <w:r>
        <w:rPr>
          <w:rStyle w:val="default"/>
          <w:rFonts w:cs="FrankRuehl" w:hint="cs"/>
          <w:rtl/>
        </w:rPr>
        <w:t>לה שהיא נמשכת לפי טיבה, יחולו הוראות סעיף קטן (א) על מועד תחיל</w:t>
      </w:r>
      <w:r>
        <w:rPr>
          <w:rStyle w:val="default"/>
          <w:rFonts w:cs="FrankRuehl"/>
          <w:rtl/>
        </w:rPr>
        <w:t>תה</w:t>
      </w:r>
      <w:r>
        <w:rPr>
          <w:rStyle w:val="default"/>
          <w:rFonts w:cs="FrankRuehl" w:hint="cs"/>
          <w:rtl/>
        </w:rPr>
        <w:t xml:space="preserve"> של אותה תקופה.</w:t>
      </w:r>
    </w:p>
    <w:p w14:paraId="5F0B66B1" w14:textId="77777777" w:rsidR="00D175E0" w:rsidRDefault="00D175E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הארכה לפי סעיף זה תחול גם לגבי מועד שנקבע </w:t>
      </w:r>
      <w:r w:rsidR="00486E44">
        <w:rPr>
          <w:rStyle w:val="default"/>
          <w:rFonts w:cs="FrankRuehl"/>
          <w:rtl/>
        </w:rPr>
        <w:t>–</w:t>
      </w:r>
    </w:p>
    <w:p w14:paraId="536F7D93" w14:textId="77777777" w:rsidR="00D175E0" w:rsidRDefault="00D175E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חיקוק או על פיו;</w:t>
      </w:r>
    </w:p>
    <w:p w14:paraId="7731521B" w14:textId="77777777" w:rsidR="00D175E0" w:rsidRDefault="00D175E0">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פסק דין או בהחלטה אחרת של בית משפט, של בית דין או של גוף או אדם אחרים בעלי סמכויות שיפוטיות או מעין-שיפוטיות על פי דין.</w:t>
      </w:r>
    </w:p>
    <w:p w14:paraId="3A27D09E" w14:textId="77777777" w:rsidR="00D175E0" w:rsidRDefault="00D175E0" w:rsidP="00486E4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וארך לפי סעיף זה המועד לקיומו של חיוב שנקבע בחוזה </w:t>
      </w:r>
      <w:r w:rsidR="00486E44">
        <w:rPr>
          <w:rStyle w:val="default"/>
          <w:rFonts w:cs="FrankRuehl" w:hint="cs"/>
          <w:rtl/>
        </w:rPr>
        <w:t>-</w:t>
      </w:r>
      <w:r>
        <w:rPr>
          <w:rStyle w:val="default"/>
          <w:rFonts w:cs="FrankRuehl"/>
          <w:rtl/>
        </w:rPr>
        <w:t xml:space="preserve"> </w:t>
      </w:r>
      <w:r>
        <w:rPr>
          <w:rStyle w:val="default"/>
          <w:rFonts w:cs="FrankRuehl" w:hint="cs"/>
          <w:rtl/>
        </w:rPr>
        <w:t xml:space="preserve">ובכלל זה שטר חליפין ושטר חוב </w:t>
      </w:r>
      <w:r w:rsidR="00486E44">
        <w:rPr>
          <w:rStyle w:val="default"/>
          <w:rFonts w:cs="FrankRuehl" w:hint="cs"/>
          <w:rtl/>
        </w:rPr>
        <w:t>-</w:t>
      </w:r>
      <w:r>
        <w:rPr>
          <w:rStyle w:val="default"/>
          <w:rFonts w:cs="FrankRuehl"/>
          <w:rtl/>
        </w:rPr>
        <w:t xml:space="preserve"> </w:t>
      </w:r>
      <w:r>
        <w:rPr>
          <w:rStyle w:val="default"/>
          <w:rFonts w:cs="FrankRuehl" w:hint="cs"/>
          <w:rtl/>
        </w:rPr>
        <w:t>תחול ההאר</w:t>
      </w:r>
      <w:r>
        <w:rPr>
          <w:rStyle w:val="default"/>
          <w:rFonts w:cs="FrankRuehl"/>
          <w:rtl/>
        </w:rPr>
        <w:t>כה</w:t>
      </w:r>
      <w:r>
        <w:rPr>
          <w:rStyle w:val="default"/>
          <w:rFonts w:cs="FrankRuehl" w:hint="cs"/>
          <w:rtl/>
        </w:rPr>
        <w:t xml:space="preserve"> גם לגבי </w:t>
      </w:r>
      <w:r w:rsidR="00486E44">
        <w:rPr>
          <w:rStyle w:val="default"/>
          <w:rFonts w:cs="FrankRuehl"/>
          <w:rtl/>
        </w:rPr>
        <w:t>–</w:t>
      </w:r>
    </w:p>
    <w:p w14:paraId="247B0C26" w14:textId="77777777" w:rsidR="00D175E0" w:rsidRDefault="00D175E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שערב לחיוב או מי שהתחייבותו נועדה להבטיח את קיומו של החיוב, או לשפות או לפצות אדם על אי-קיומו של החיוב;</w:t>
      </w:r>
    </w:p>
    <w:p w14:paraId="1F8DE3F9" w14:textId="77777777" w:rsidR="00D175E0" w:rsidRDefault="00D175E0">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ן-זוגו של החייב האחראי לחיוב יחד עמו.</w:t>
      </w:r>
    </w:p>
    <w:p w14:paraId="216F9CF4" w14:textId="77777777" w:rsidR="00D175E0" w:rsidRDefault="00D175E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 סעיף זה לא יחו</w:t>
      </w:r>
      <w:r>
        <w:rPr>
          <w:rStyle w:val="default"/>
          <w:rFonts w:cs="FrankRuehl"/>
          <w:rtl/>
        </w:rPr>
        <w:t>ל</w:t>
      </w:r>
      <w:r>
        <w:rPr>
          <w:rStyle w:val="default"/>
          <w:rFonts w:cs="FrankRuehl" w:hint="cs"/>
          <w:rtl/>
        </w:rPr>
        <w:t>ו על מועד לפעולה לפי חוזה שנכרת בזמן שהאדם החייב או הרשאי לעשו</w:t>
      </w:r>
      <w:r>
        <w:rPr>
          <w:rStyle w:val="default"/>
          <w:rFonts w:cs="FrankRuehl"/>
          <w:rtl/>
        </w:rPr>
        <w:t>תה</w:t>
      </w:r>
      <w:r>
        <w:rPr>
          <w:rStyle w:val="default"/>
          <w:rFonts w:cs="FrankRuehl" w:hint="cs"/>
          <w:rtl/>
        </w:rPr>
        <w:t xml:space="preserve"> היה בשירות חירום, למעט תשלום שהיה מובטח, או שהתחייבו להבטיחו, במשכנתה לשם רכישת זכויות בדירת מגורים לחייב או לבני ביתו, או בתשלום הנובע משכירת דירה כאמור.</w:t>
      </w:r>
    </w:p>
    <w:p w14:paraId="51E4F9C8" w14:textId="77777777" w:rsidR="00D175E0" w:rsidRDefault="00D175E0">
      <w:pPr>
        <w:pStyle w:val="P00"/>
        <w:spacing w:before="72"/>
        <w:ind w:left="0" w:right="1134"/>
        <w:rPr>
          <w:rStyle w:val="default"/>
          <w:rFonts w:cs="FrankRuehl"/>
          <w:rtl/>
        </w:rPr>
      </w:pPr>
      <w:bookmarkStart w:id="2" w:name="Seif2"/>
      <w:bookmarkEnd w:id="2"/>
      <w:r>
        <w:rPr>
          <w:lang w:val="he-IL"/>
        </w:rPr>
        <w:pict w14:anchorId="4E1ECCEB">
          <v:rect id="_x0000_s1028" style="position:absolute;left:0;text-align:left;margin-left:464.5pt;margin-top:8.05pt;width:75.05pt;height:23.55pt;z-index:251653120" o:allowincell="f" filled="f" stroked="f" strokecolor="lime" strokeweight=".25pt">
            <v:textbox inset="0,0,0,0">
              <w:txbxContent>
                <w:p w14:paraId="30E9E7CE" w14:textId="77777777" w:rsidR="00D175E0" w:rsidRDefault="00D175E0" w:rsidP="00486E44">
                  <w:pPr>
                    <w:spacing w:line="160" w:lineRule="exact"/>
                    <w:jc w:val="left"/>
                    <w:rPr>
                      <w:rFonts w:cs="Miriam"/>
                      <w:noProof/>
                      <w:sz w:val="18"/>
                      <w:szCs w:val="18"/>
                      <w:rtl/>
                    </w:rPr>
                  </w:pPr>
                  <w:r>
                    <w:rPr>
                      <w:rFonts w:cs="Miriam"/>
                      <w:sz w:val="18"/>
                      <w:szCs w:val="18"/>
                      <w:rtl/>
                    </w:rPr>
                    <w:t>הא</w:t>
                  </w:r>
                  <w:r>
                    <w:rPr>
                      <w:rFonts w:cs="Miriam" w:hint="cs"/>
                      <w:sz w:val="18"/>
                      <w:szCs w:val="18"/>
                      <w:rtl/>
                    </w:rPr>
                    <w:t>רכה מכוח</w:t>
                  </w:r>
                  <w:r w:rsidR="00486E44">
                    <w:rPr>
                      <w:rFonts w:cs="Miriam" w:hint="cs"/>
                      <w:sz w:val="18"/>
                      <w:szCs w:val="18"/>
                      <w:rtl/>
                    </w:rPr>
                    <w:t xml:space="preserve"> </w:t>
                  </w:r>
                  <w:r>
                    <w:rPr>
                      <w:rFonts w:cs="Miriam"/>
                      <w:sz w:val="18"/>
                      <w:szCs w:val="18"/>
                      <w:rtl/>
                    </w:rPr>
                    <w:t>בי</w:t>
                  </w:r>
                  <w:r>
                    <w:rPr>
                      <w:rFonts w:cs="Miriam" w:hint="cs"/>
                      <w:sz w:val="18"/>
                      <w:szCs w:val="18"/>
                      <w:rtl/>
                    </w:rPr>
                    <w:t>ת המשפט</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קבע</w:t>
      </w:r>
      <w:r>
        <w:rPr>
          <w:rStyle w:val="default"/>
          <w:rFonts w:cs="FrankRuehl"/>
          <w:rtl/>
        </w:rPr>
        <w:t xml:space="preserve"> </w:t>
      </w:r>
      <w:r>
        <w:rPr>
          <w:rStyle w:val="default"/>
          <w:rFonts w:cs="FrankRuehl" w:hint="cs"/>
          <w:rtl/>
        </w:rPr>
        <w:t>בחוזה מועד למסירת החזקה בדירת מגורים, רשאי בית המשפט, לבקשת החייב, להאריך את המועד, א</w:t>
      </w:r>
      <w:r>
        <w:rPr>
          <w:rStyle w:val="default"/>
          <w:rFonts w:cs="FrankRuehl"/>
          <w:rtl/>
        </w:rPr>
        <w:t xml:space="preserve">ם </w:t>
      </w:r>
      <w:r>
        <w:rPr>
          <w:rStyle w:val="default"/>
          <w:rFonts w:cs="FrankRuehl" w:hint="cs"/>
          <w:rtl/>
        </w:rPr>
        <w:t>ראה שמן הצדק לעשות כן נוכח נסיבות הקשורות, במישרין או בעקיפין, בהיות החייב או אדם אחר בשירות חירום, ורשאי בית המשפט לקבוע תנאים וליתן הוראות אחרות לענין ביצוע החוזה, לר</w:t>
      </w:r>
      <w:r>
        <w:rPr>
          <w:rStyle w:val="default"/>
          <w:rFonts w:cs="FrankRuehl"/>
          <w:rtl/>
        </w:rPr>
        <w:t>ב</w:t>
      </w:r>
      <w:r>
        <w:rPr>
          <w:rStyle w:val="default"/>
          <w:rFonts w:cs="FrankRuehl" w:hint="cs"/>
          <w:rtl/>
        </w:rPr>
        <w:t>ות הארכה של ערבות או של חיוב לשיפוי או חיוב בדומה לכך, שנועד להבטיח מסירה במועד של ה</w:t>
      </w:r>
      <w:r>
        <w:rPr>
          <w:rStyle w:val="default"/>
          <w:rFonts w:cs="FrankRuehl"/>
          <w:rtl/>
        </w:rPr>
        <w:t>ה</w:t>
      </w:r>
      <w:r>
        <w:rPr>
          <w:rStyle w:val="default"/>
          <w:rFonts w:cs="FrankRuehl" w:hint="cs"/>
          <w:rtl/>
        </w:rPr>
        <w:t>ח</w:t>
      </w:r>
      <w:r>
        <w:rPr>
          <w:rStyle w:val="default"/>
          <w:rFonts w:cs="FrankRuehl"/>
          <w:rtl/>
        </w:rPr>
        <w:t>ז</w:t>
      </w:r>
      <w:r>
        <w:rPr>
          <w:rStyle w:val="default"/>
          <w:rFonts w:cs="FrankRuehl" w:hint="cs"/>
          <w:rtl/>
        </w:rPr>
        <w:t>קה באותה דירה או לשפות או לפצות אדם על אי-מסירה במועד של ההחזקה באותה דירה.</w:t>
      </w:r>
    </w:p>
    <w:p w14:paraId="584F4FE3" w14:textId="77777777" w:rsidR="00D175E0" w:rsidRDefault="00D175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ד להליך כאמור בסעיף קטן (א) רשאי לבקש מבית המשפט לחזור ולעיין בהחלטה אם נשתנו הנסיבות שהיו קיימות בשעת מתן ההחלטה או נתגלו עובדות שלא היו בפני בית המשפט.</w:t>
      </w:r>
    </w:p>
    <w:p w14:paraId="75B89652" w14:textId="77777777" w:rsidR="00D175E0" w:rsidRDefault="00D175E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חלטה לפי סעי</w:t>
      </w:r>
      <w:r>
        <w:rPr>
          <w:rStyle w:val="default"/>
          <w:rFonts w:cs="FrankRuehl"/>
          <w:rtl/>
        </w:rPr>
        <w:t xml:space="preserve">ף </w:t>
      </w:r>
      <w:r>
        <w:rPr>
          <w:rStyle w:val="default"/>
          <w:rFonts w:cs="FrankRuehl" w:hint="cs"/>
          <w:rtl/>
        </w:rPr>
        <w:t>זה ניתנת לערעור; הערעור יידון בפני שופט אחד.</w:t>
      </w:r>
    </w:p>
    <w:p w14:paraId="456BC658" w14:textId="77777777" w:rsidR="00D175E0" w:rsidRDefault="00D175E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זה באות להוסיף על הוראות סעיף 2 ולא לגרוע מהן.</w:t>
      </w:r>
    </w:p>
    <w:p w14:paraId="52A4EFDD" w14:textId="77777777" w:rsidR="00D175E0" w:rsidRDefault="00D175E0">
      <w:pPr>
        <w:pStyle w:val="P00"/>
        <w:spacing w:before="72"/>
        <w:ind w:left="0" w:right="1134"/>
        <w:rPr>
          <w:rStyle w:val="default"/>
          <w:rFonts w:cs="FrankRuehl"/>
          <w:rtl/>
        </w:rPr>
      </w:pPr>
      <w:bookmarkStart w:id="3" w:name="Seif3"/>
      <w:bookmarkEnd w:id="3"/>
      <w:r>
        <w:rPr>
          <w:lang w:val="he-IL"/>
        </w:rPr>
        <w:pict w14:anchorId="0EA8409F">
          <v:rect id="_x0000_s1029" style="position:absolute;left:0;text-align:left;margin-left:464.5pt;margin-top:8.05pt;width:75.05pt;height:19.65pt;z-index:251654144" o:allowincell="f" filled="f" stroked="f" strokecolor="lime" strokeweight=".25pt">
            <v:textbox inset="0,0,0,0">
              <w:txbxContent>
                <w:p w14:paraId="676D36D0" w14:textId="77777777" w:rsidR="00D175E0" w:rsidRDefault="00D175E0">
                  <w:pPr>
                    <w:spacing w:line="160" w:lineRule="exact"/>
                    <w:jc w:val="left"/>
                    <w:rPr>
                      <w:rFonts w:cs="Miriam"/>
                      <w:noProof/>
                      <w:sz w:val="18"/>
                      <w:szCs w:val="18"/>
                      <w:rtl/>
                    </w:rPr>
                  </w:pPr>
                  <w:r>
                    <w:rPr>
                      <w:rFonts w:cs="Miriam"/>
                      <w:sz w:val="18"/>
                      <w:szCs w:val="18"/>
                      <w:rtl/>
                    </w:rPr>
                    <w:t>הא</w:t>
                  </w:r>
                  <w:r>
                    <w:rPr>
                      <w:rFonts w:cs="Miriam" w:hint="cs"/>
                      <w:sz w:val="18"/>
                      <w:szCs w:val="18"/>
                      <w:rtl/>
                    </w:rPr>
                    <w:t>רכה נוספת מכוח תקנות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שלומים שמועד פרעונם הוארך מכוח סעיף 2, רשאי שר האוצר, בהתייעצות עם שר </w:t>
      </w:r>
      <w:r>
        <w:rPr>
          <w:rStyle w:val="default"/>
          <w:rFonts w:cs="FrankRuehl" w:hint="cs"/>
          <w:rtl/>
        </w:rPr>
        <w:lastRenderedPageBreak/>
        <w:t xml:space="preserve">הבטחון ובאישור ועדת הכספים של הכנסת, לקבוע בתקנות הסדרים לפרעונם, </w:t>
      </w:r>
      <w:r>
        <w:rPr>
          <w:rStyle w:val="default"/>
          <w:rFonts w:cs="FrankRuehl"/>
          <w:rtl/>
        </w:rPr>
        <w:t>וב</w:t>
      </w:r>
      <w:r>
        <w:rPr>
          <w:rStyle w:val="default"/>
          <w:rFonts w:cs="FrankRuehl" w:hint="cs"/>
          <w:rtl/>
        </w:rPr>
        <w:t>הם חלוקתם לשיעורים ותשלום ריבית בעד תקופת הארכה נוספת.</w:t>
      </w:r>
    </w:p>
    <w:p w14:paraId="1C92DF95" w14:textId="77777777" w:rsidR="00D175E0" w:rsidRDefault="00D175E0" w:rsidP="00174E14">
      <w:pPr>
        <w:pStyle w:val="P00"/>
        <w:spacing w:before="72"/>
        <w:ind w:left="0" w:right="1134"/>
        <w:rPr>
          <w:rFonts w:cs="David"/>
          <w:sz w:val="22"/>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סעיף זה יכול שיהיו לגבי תשלומים דרך כלל או לגבי סוגים של תשלומים או של מק</w:t>
      </w:r>
      <w:r>
        <w:rPr>
          <w:rStyle w:val="default"/>
          <w:rFonts w:cs="FrankRuehl"/>
          <w:rtl/>
        </w:rPr>
        <w:t>ר</w:t>
      </w:r>
      <w:r>
        <w:rPr>
          <w:rStyle w:val="default"/>
          <w:rFonts w:cs="FrankRuehl" w:hint="cs"/>
          <w:rtl/>
        </w:rPr>
        <w:t>ים, ויכול שיסמיכו בית משפט, בית דין או ראש ההוצאה לפועל לתת כל סעד שנקבע בהן.</w:t>
      </w:r>
      <w:r>
        <w:rPr>
          <w:rFonts w:cs="David"/>
          <w:sz w:val="22"/>
          <w:rtl/>
        </w:rPr>
        <w:t xml:space="preserve"> </w:t>
      </w:r>
    </w:p>
    <w:p w14:paraId="499818FE" w14:textId="77777777" w:rsidR="00D175E0" w:rsidRDefault="00D175E0" w:rsidP="00486E44">
      <w:pPr>
        <w:pStyle w:val="P00"/>
        <w:spacing w:before="72"/>
        <w:ind w:left="0" w:right="1134"/>
        <w:rPr>
          <w:rStyle w:val="default"/>
          <w:rFonts w:cs="FrankRuehl" w:hint="cs"/>
          <w:rtl/>
        </w:rPr>
      </w:pPr>
      <w:bookmarkStart w:id="4" w:name="Seif4"/>
      <w:bookmarkEnd w:id="4"/>
      <w:r>
        <w:rPr>
          <w:lang w:val="he-IL"/>
        </w:rPr>
        <w:pict w14:anchorId="67C3C0CB">
          <v:rect id="_x0000_s1030" style="position:absolute;left:0;text-align:left;margin-left:464.5pt;margin-top:8.05pt;width:75.05pt;height:10.1pt;z-index:251655168" o:allowincell="f" filled="f" stroked="f" strokecolor="lime" strokeweight=".25pt">
            <v:textbox style="mso-next-textbox:#_x0000_s1030" inset="0,0,0,0">
              <w:txbxContent>
                <w:p w14:paraId="22D173F4" w14:textId="77777777" w:rsidR="00D175E0" w:rsidRDefault="00D175E0">
                  <w:pPr>
                    <w:spacing w:line="160" w:lineRule="exact"/>
                    <w:jc w:val="left"/>
                    <w:rPr>
                      <w:rFonts w:cs="Miriam"/>
                      <w:noProof/>
                      <w:sz w:val="18"/>
                      <w:szCs w:val="18"/>
                      <w:rtl/>
                    </w:rPr>
                  </w:pPr>
                  <w:r>
                    <w:rPr>
                      <w:rFonts w:cs="Miriam"/>
                      <w:sz w:val="18"/>
                      <w:szCs w:val="18"/>
                      <w:rtl/>
                    </w:rPr>
                    <w:t>רי</w:t>
                  </w:r>
                  <w:r>
                    <w:rPr>
                      <w:rFonts w:cs="Miriam" w:hint="cs"/>
                      <w:sz w:val="18"/>
                      <w:szCs w:val="18"/>
                      <w:rtl/>
                    </w:rPr>
                    <w:t>בית</w:t>
                  </w:r>
                </w:p>
              </w:txbxContent>
            </v:textbox>
            <w10:anchorlock/>
          </v:rect>
        </w:pict>
      </w:r>
      <w:r>
        <w:rPr>
          <w:rStyle w:val="big-number"/>
          <w:rFonts w:cs="Miriam"/>
          <w:rtl/>
        </w:rPr>
        <w:t>5.</w:t>
      </w:r>
      <w:r>
        <w:rPr>
          <w:rStyle w:val="big-number"/>
          <w:rFonts w:cs="Miriam"/>
          <w:rtl/>
        </w:rPr>
        <w:tab/>
      </w:r>
      <w:r>
        <w:rPr>
          <w:rStyle w:val="default"/>
          <w:rFonts w:cs="FrankRuehl"/>
          <w:rtl/>
        </w:rPr>
        <w:t>תשלו</w:t>
      </w:r>
      <w:r>
        <w:rPr>
          <w:rStyle w:val="default"/>
          <w:rFonts w:cs="FrankRuehl" w:hint="cs"/>
          <w:rtl/>
        </w:rPr>
        <w:t>ם שמועד פרעונו הוארך מכוח סעיפים 2 או 4 ונקבע שהוא נושא ריבית, לא יעלה שיעור הריבית בתקופת ההארכה על השיעור שחל על התקופה עד למועד הפרע</w:t>
      </w:r>
      <w:r>
        <w:rPr>
          <w:rStyle w:val="default"/>
          <w:rFonts w:cs="FrankRuehl"/>
          <w:rtl/>
        </w:rPr>
        <w:t>ו</w:t>
      </w:r>
      <w:r>
        <w:rPr>
          <w:rStyle w:val="default"/>
          <w:rFonts w:cs="FrankRuehl" w:hint="cs"/>
          <w:rtl/>
        </w:rPr>
        <w:t xml:space="preserve">ן המקורי, ואם נקבע כאמור שיעור ריבית שאינו קצוב </w:t>
      </w:r>
      <w:r w:rsidR="00486E44">
        <w:rPr>
          <w:rStyle w:val="default"/>
          <w:rFonts w:cs="FrankRuehl" w:hint="cs"/>
          <w:rtl/>
        </w:rPr>
        <w:t>-</w:t>
      </w:r>
      <w:r>
        <w:rPr>
          <w:rStyle w:val="default"/>
          <w:rFonts w:cs="FrankRuehl"/>
          <w:rtl/>
        </w:rPr>
        <w:t xml:space="preserve"> </w:t>
      </w:r>
      <w:r>
        <w:rPr>
          <w:rStyle w:val="default"/>
          <w:rFonts w:cs="FrankRuehl" w:hint="cs"/>
          <w:rtl/>
        </w:rPr>
        <w:t>לא יעלה על השיעור שקבע לכך שר האוצר, בהתייעצות עם שר הבטחון ובאישור</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דת הכספים של הכנסת, בצו; צו כאמור יכ</w:t>
      </w:r>
      <w:r w:rsidR="00486E44">
        <w:rPr>
          <w:rStyle w:val="default"/>
          <w:rFonts w:cs="FrankRuehl" w:hint="cs"/>
          <w:rtl/>
        </w:rPr>
        <w:t>ול שיהיה כללי או לסוגי תשלומים.</w:t>
      </w:r>
    </w:p>
    <w:p w14:paraId="6B039526" w14:textId="77777777" w:rsidR="00D175E0" w:rsidRDefault="00D175E0">
      <w:pPr>
        <w:pStyle w:val="P00"/>
        <w:spacing w:before="72"/>
        <w:ind w:left="0" w:right="1134"/>
        <w:rPr>
          <w:rStyle w:val="default"/>
          <w:rFonts w:cs="FrankRuehl"/>
          <w:rtl/>
        </w:rPr>
      </w:pPr>
      <w:bookmarkStart w:id="5" w:name="Seif5"/>
      <w:bookmarkEnd w:id="5"/>
      <w:r>
        <w:rPr>
          <w:lang w:val="he-IL"/>
        </w:rPr>
        <w:pict w14:anchorId="5BC80BF4">
          <v:rect id="_x0000_s1031" style="position:absolute;left:0;text-align:left;margin-left:464.5pt;margin-top:8.05pt;width:75.05pt;height:14.6pt;z-index:251656192" o:allowincell="f" filled="f" stroked="f" strokecolor="lime" strokeweight=".25pt">
            <v:textbox style="mso-next-textbox:#_x0000_s1031" inset="0,0,0,0">
              <w:txbxContent>
                <w:p w14:paraId="1493EB1A" w14:textId="77777777" w:rsidR="00D175E0" w:rsidRDefault="00D175E0">
                  <w:pPr>
                    <w:spacing w:line="160" w:lineRule="exact"/>
                    <w:jc w:val="left"/>
                    <w:rPr>
                      <w:rFonts w:cs="Miriam"/>
                      <w:noProof/>
                      <w:sz w:val="18"/>
                      <w:szCs w:val="18"/>
                      <w:rtl/>
                    </w:rPr>
                  </w:pPr>
                  <w:r>
                    <w:rPr>
                      <w:rFonts w:cs="Miriam"/>
                      <w:sz w:val="18"/>
                      <w:szCs w:val="18"/>
                      <w:rtl/>
                    </w:rPr>
                    <w:t>הא</w:t>
                  </w:r>
                  <w:r>
                    <w:rPr>
                      <w:rFonts w:cs="Miriam" w:hint="cs"/>
                      <w:sz w:val="18"/>
                      <w:szCs w:val="18"/>
                      <w:rtl/>
                    </w:rPr>
                    <w:t>רכת רשיונות</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יון שניתן על-פי חיקוק וביום שעמד תקפו לפקוע או תוך שלושים הימים שלפני כן שירת בעל הרשיון שירות חירום, יוארך תקפו עד תום ששים יום לאחר ששוחרר בעלו משירות החירום או לאחר שחדל השירות</w:t>
      </w:r>
      <w:r>
        <w:rPr>
          <w:rStyle w:val="default"/>
          <w:rFonts w:cs="FrankRuehl"/>
          <w:rtl/>
        </w:rPr>
        <w:t xml:space="preserve"> מ</w:t>
      </w:r>
      <w:r>
        <w:rPr>
          <w:rStyle w:val="default"/>
          <w:rFonts w:cs="FrankRuehl" w:hint="cs"/>
          <w:rtl/>
        </w:rPr>
        <w:t>היות שירות חירום, לפי המוקדם.</w:t>
      </w:r>
    </w:p>
    <w:p w14:paraId="037DBA96" w14:textId="77777777" w:rsidR="00D175E0" w:rsidRDefault="00D175E0">
      <w:pPr>
        <w:pStyle w:val="P00"/>
        <w:spacing w:before="72"/>
        <w:ind w:left="0" w:right="1134"/>
        <w:rPr>
          <w:rStyle w:val="default"/>
          <w:rFonts w:cs="FrankRuehl"/>
          <w:rtl/>
        </w:rPr>
      </w:pPr>
      <w:bookmarkStart w:id="6" w:name="Seif6"/>
      <w:bookmarkEnd w:id="6"/>
      <w:r>
        <w:rPr>
          <w:lang w:val="he-IL"/>
        </w:rPr>
        <w:pict w14:anchorId="247F722C">
          <v:rect id="_x0000_s1032" style="position:absolute;left:0;text-align:left;margin-left:464.5pt;margin-top:8.05pt;width:75.05pt;height:19.1pt;z-index:251657216" o:allowincell="f" filled="f" stroked="f" strokecolor="lime" strokeweight=".25pt">
            <v:textbox inset="0,0,0,0">
              <w:txbxContent>
                <w:p w14:paraId="1C693C5E" w14:textId="77777777" w:rsidR="00D175E0" w:rsidRDefault="00D175E0">
                  <w:pPr>
                    <w:spacing w:line="160" w:lineRule="exact"/>
                    <w:jc w:val="left"/>
                    <w:rPr>
                      <w:rFonts w:cs="Miriam"/>
                      <w:noProof/>
                      <w:sz w:val="18"/>
                      <w:szCs w:val="18"/>
                      <w:rtl/>
                    </w:rPr>
                  </w:pPr>
                  <w:r>
                    <w:rPr>
                      <w:rFonts w:cs="Miriam"/>
                      <w:sz w:val="18"/>
                      <w:szCs w:val="18"/>
                      <w:rtl/>
                    </w:rPr>
                    <w:t>די</w:t>
                  </w:r>
                  <w:r>
                    <w:rPr>
                      <w:rFonts w:cs="Miriam" w:hint="cs"/>
                      <w:sz w:val="18"/>
                      <w:szCs w:val="18"/>
                      <w:rtl/>
                    </w:rPr>
                    <w:t>ן שבויים וש</w:t>
                  </w:r>
                  <w:r>
                    <w:rPr>
                      <w:rFonts w:cs="Miriam"/>
                      <w:sz w:val="18"/>
                      <w:szCs w:val="18"/>
                      <w:rtl/>
                    </w:rPr>
                    <w:t>אי</w:t>
                  </w:r>
                  <w:r>
                    <w:rPr>
                      <w:rFonts w:cs="Miriam" w:hint="cs"/>
                      <w:sz w:val="18"/>
                      <w:szCs w:val="18"/>
                      <w:rtl/>
                    </w:rPr>
                    <w:t>רי נופלים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גבי מי שנפל בשבי האויב תהיה הארכת המועד לפי סעיפים 2 </w:t>
      </w:r>
      <w:r>
        <w:rPr>
          <w:rStyle w:val="default"/>
          <w:rFonts w:cs="FrankRuehl"/>
          <w:rtl/>
        </w:rPr>
        <w:t>ו</w:t>
      </w:r>
      <w:r>
        <w:rPr>
          <w:rStyle w:val="default"/>
          <w:rFonts w:cs="FrankRuehl" w:hint="cs"/>
          <w:rtl/>
        </w:rPr>
        <w:t>-6 עד תום תשעים יום לאחר שחזר מן השבי, והוא אף אם חדל שירותו לפני כן מהיות שירות חירום.</w:t>
      </w:r>
    </w:p>
    <w:p w14:paraId="096BAFA3" w14:textId="77777777" w:rsidR="00D175E0" w:rsidRDefault="00D175E0" w:rsidP="00486E4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פטר החייב בהיותו בשירות חירום, תהיה ההארכה לפי סעיף 2(ד)(2) למשך 90</w:t>
      </w:r>
      <w:r>
        <w:rPr>
          <w:rStyle w:val="default"/>
          <w:rFonts w:cs="FrankRuehl"/>
          <w:rtl/>
        </w:rPr>
        <w:t xml:space="preserve"> י</w:t>
      </w:r>
      <w:r>
        <w:rPr>
          <w:rStyle w:val="default"/>
          <w:rFonts w:cs="FrankRuehl" w:hint="cs"/>
          <w:rtl/>
        </w:rPr>
        <w:t>ום מיום פטירתו של החייב או מהיום שבו ניתן אישור הפטירה לפי חוק רישום פטירות חיילים שנספו במע</w:t>
      </w:r>
      <w:r>
        <w:rPr>
          <w:rStyle w:val="default"/>
          <w:rFonts w:cs="FrankRuehl"/>
          <w:rtl/>
        </w:rPr>
        <w:t>ר</w:t>
      </w:r>
      <w:r>
        <w:rPr>
          <w:rStyle w:val="default"/>
          <w:rFonts w:cs="FrankRuehl" w:hint="cs"/>
          <w:rtl/>
        </w:rPr>
        <w:t>כה, תשכ"ז</w:t>
      </w:r>
      <w:r w:rsidR="00486E44">
        <w:rPr>
          <w:rStyle w:val="default"/>
          <w:rFonts w:cs="FrankRuehl" w:hint="cs"/>
          <w:rtl/>
        </w:rPr>
        <w:t>-</w:t>
      </w:r>
      <w:r>
        <w:rPr>
          <w:rStyle w:val="default"/>
          <w:rFonts w:cs="FrankRuehl"/>
          <w:rtl/>
        </w:rPr>
        <w:t xml:space="preserve">1967, </w:t>
      </w:r>
      <w:r>
        <w:rPr>
          <w:rStyle w:val="default"/>
          <w:rFonts w:cs="FrankRuehl" w:hint="cs"/>
          <w:rtl/>
        </w:rPr>
        <w:t>הכל לפי המאוחר.</w:t>
      </w:r>
    </w:p>
    <w:p w14:paraId="033DBAF6" w14:textId="77777777" w:rsidR="00D175E0" w:rsidRDefault="00D175E0" w:rsidP="00486E4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הארכה לפי חוק זה תחול אף על עזבון של מי שנפטר בהיותו בשירות חירום, למשך 90 יום מיום פטירתו של החייב או מהיום שבו ניתן אישור</w:t>
      </w:r>
      <w:r>
        <w:rPr>
          <w:rStyle w:val="default"/>
          <w:rFonts w:cs="FrankRuehl"/>
          <w:rtl/>
        </w:rPr>
        <w:t xml:space="preserve"> ה</w:t>
      </w:r>
      <w:r>
        <w:rPr>
          <w:rStyle w:val="default"/>
          <w:rFonts w:cs="FrankRuehl" w:hint="cs"/>
          <w:rtl/>
        </w:rPr>
        <w:t>פטירה לפי חוק רישום פטירות חיילים שנספו במערכה, תשכ"ז</w:t>
      </w:r>
      <w:r w:rsidR="00486E44">
        <w:rPr>
          <w:rStyle w:val="default"/>
          <w:rFonts w:cs="FrankRuehl" w:hint="cs"/>
          <w:rtl/>
        </w:rPr>
        <w:t>-</w:t>
      </w:r>
      <w:r>
        <w:rPr>
          <w:rStyle w:val="default"/>
          <w:rFonts w:cs="FrankRuehl"/>
          <w:rtl/>
        </w:rPr>
        <w:t xml:space="preserve">1967, </w:t>
      </w:r>
      <w:r>
        <w:rPr>
          <w:rStyle w:val="default"/>
          <w:rFonts w:cs="FrankRuehl" w:hint="cs"/>
          <w:rtl/>
        </w:rPr>
        <w:t>הכל לפי המאוחר.</w:t>
      </w:r>
    </w:p>
    <w:p w14:paraId="723A326D" w14:textId="77777777" w:rsidR="00D175E0" w:rsidRDefault="00D175E0">
      <w:pPr>
        <w:pStyle w:val="P00"/>
        <w:spacing w:before="72"/>
        <w:ind w:left="0" w:right="1134"/>
        <w:rPr>
          <w:rStyle w:val="default"/>
          <w:rFonts w:cs="FrankRuehl"/>
          <w:rtl/>
        </w:rPr>
      </w:pPr>
      <w:bookmarkStart w:id="7" w:name="Seif7"/>
      <w:bookmarkEnd w:id="7"/>
      <w:r>
        <w:rPr>
          <w:lang w:val="he-IL"/>
        </w:rPr>
        <w:pict w14:anchorId="484BD65A">
          <v:rect id="_x0000_s1033" style="position:absolute;left:0;text-align:left;margin-left:464.5pt;margin-top:8.05pt;width:75.05pt;height:13pt;z-index:251658240" o:allowincell="f" filled="f" stroked="f" strokecolor="lime" strokeweight=".25pt">
            <v:textbox inset="0,0,0,0">
              <w:txbxContent>
                <w:p w14:paraId="35EBFB65" w14:textId="77777777" w:rsidR="00D175E0" w:rsidRDefault="00D175E0">
                  <w:pPr>
                    <w:spacing w:line="160" w:lineRule="exact"/>
                    <w:jc w:val="left"/>
                    <w:rPr>
                      <w:rFonts w:cs="Miriam"/>
                      <w:noProof/>
                      <w:sz w:val="18"/>
                      <w:szCs w:val="18"/>
                      <w:rtl/>
                    </w:rPr>
                  </w:pPr>
                  <w:r>
                    <w:rPr>
                      <w:rFonts w:cs="Miriam"/>
                      <w:sz w:val="18"/>
                      <w:szCs w:val="18"/>
                      <w:rtl/>
                    </w:rPr>
                    <w:t>די</w:t>
                  </w:r>
                  <w:r>
                    <w:rPr>
                      <w:rFonts w:cs="Miriam" w:hint="cs"/>
                      <w:sz w:val="18"/>
                      <w:szCs w:val="18"/>
                      <w:rtl/>
                    </w:rPr>
                    <w:t>ן שירות חוזר</w:t>
                  </w:r>
                </w:p>
              </w:txbxContent>
            </v:textbox>
            <w10:anchorlock/>
          </v:rect>
        </w:pict>
      </w:r>
      <w:r>
        <w:rPr>
          <w:rStyle w:val="big-number"/>
          <w:rFonts w:cs="Miriam"/>
          <w:rtl/>
        </w:rPr>
        <w:t>8.</w:t>
      </w:r>
      <w:r>
        <w:rPr>
          <w:rStyle w:val="big-number"/>
          <w:rFonts w:cs="Miriam"/>
          <w:rtl/>
        </w:rPr>
        <w:tab/>
      </w:r>
      <w:r>
        <w:rPr>
          <w:rStyle w:val="default"/>
          <w:rFonts w:cs="FrankRuehl"/>
          <w:rtl/>
        </w:rPr>
        <w:t>מי</w:t>
      </w:r>
      <w:r>
        <w:rPr>
          <w:rStyle w:val="default"/>
          <w:rFonts w:cs="FrankRuehl" w:hint="cs"/>
          <w:rtl/>
        </w:rPr>
        <w:t xml:space="preserve"> שחדל להיות בשירות חירום ותוך שלושים יום שירת שירות מילואים, יראו את שירותו, לענין חוק זה למעט סעיף 2(ה), כאילו היה שירות חירום רצוף.</w:t>
      </w:r>
    </w:p>
    <w:p w14:paraId="3DAD6F3E" w14:textId="77777777" w:rsidR="00D175E0" w:rsidRDefault="00D175E0">
      <w:pPr>
        <w:pStyle w:val="P00"/>
        <w:spacing w:before="72"/>
        <w:ind w:left="0" w:right="1134"/>
        <w:rPr>
          <w:rStyle w:val="default"/>
          <w:rFonts w:cs="FrankRuehl"/>
          <w:rtl/>
        </w:rPr>
      </w:pPr>
      <w:bookmarkStart w:id="8" w:name="Seif8"/>
      <w:bookmarkEnd w:id="8"/>
      <w:r>
        <w:rPr>
          <w:lang w:val="he-IL"/>
        </w:rPr>
        <w:pict w14:anchorId="206B28C4">
          <v:rect id="_x0000_s1034" style="position:absolute;left:0;text-align:left;margin-left:464.5pt;margin-top:8.05pt;width:75.05pt;height:13.65pt;z-index:251659264" o:allowincell="f" filled="f" stroked="f" strokecolor="lime" strokeweight=".25pt">
            <v:textbox inset="0,0,0,0">
              <w:txbxContent>
                <w:p w14:paraId="6F05D52E" w14:textId="77777777" w:rsidR="00D175E0" w:rsidRDefault="00D175E0">
                  <w:pPr>
                    <w:spacing w:line="160" w:lineRule="exact"/>
                    <w:jc w:val="left"/>
                    <w:rPr>
                      <w:rFonts w:cs="Miriam"/>
                      <w:noProof/>
                      <w:sz w:val="18"/>
                      <w:szCs w:val="18"/>
                      <w:rtl/>
                    </w:rPr>
                  </w:pPr>
                  <w:r>
                    <w:rPr>
                      <w:rFonts w:cs="Miriam"/>
                      <w:sz w:val="18"/>
                      <w:szCs w:val="18"/>
                      <w:rtl/>
                    </w:rPr>
                    <w:t>די</w:t>
                  </w:r>
                  <w:r>
                    <w:rPr>
                      <w:rFonts w:cs="Miriam" w:hint="cs"/>
                      <w:sz w:val="18"/>
                      <w:szCs w:val="18"/>
                      <w:rtl/>
                    </w:rPr>
                    <w:t>ן תאגיד</w:t>
                  </w:r>
                </w:p>
              </w:txbxContent>
            </v:textbox>
            <w10:anchorlock/>
          </v:rect>
        </w:pict>
      </w:r>
      <w:r>
        <w:rPr>
          <w:rStyle w:val="big-number"/>
          <w:rFonts w:cs="Miriam"/>
          <w:rtl/>
        </w:rPr>
        <w:t>9.</w:t>
      </w:r>
      <w:r>
        <w:rPr>
          <w:rStyle w:val="big-number"/>
          <w:rFonts w:cs="Miriam"/>
          <w:rtl/>
        </w:rPr>
        <w:tab/>
      </w:r>
      <w:r>
        <w:rPr>
          <w:rStyle w:val="default"/>
          <w:rFonts w:cs="FrankRuehl"/>
          <w:rtl/>
        </w:rPr>
        <w:t>הו</w:t>
      </w:r>
      <w:r>
        <w:rPr>
          <w:rStyle w:val="default"/>
          <w:rFonts w:cs="FrankRuehl" w:hint="cs"/>
          <w:rtl/>
        </w:rPr>
        <w:t xml:space="preserve">ראות חוק זה יחולו גם על שותפות </w:t>
      </w:r>
      <w:r>
        <w:rPr>
          <w:rStyle w:val="default"/>
          <w:rFonts w:cs="FrankRuehl"/>
          <w:rtl/>
        </w:rPr>
        <w:t>וע</w:t>
      </w:r>
      <w:r>
        <w:rPr>
          <w:rStyle w:val="default"/>
          <w:rFonts w:cs="FrankRuehl" w:hint="cs"/>
          <w:rtl/>
        </w:rPr>
        <w:t>ל חברת מעטים כמשמעותה בסעיף 76 לפקודת מס הכנסה אם השליטה בחברה או ב-50% לפחות מנכסי השותפות היא בידי מי שמשרת שירות חירום.</w:t>
      </w:r>
    </w:p>
    <w:p w14:paraId="419180CE" w14:textId="77777777" w:rsidR="00D175E0" w:rsidRDefault="00D175E0">
      <w:pPr>
        <w:pStyle w:val="P00"/>
        <w:spacing w:before="72"/>
        <w:ind w:left="0" w:right="1134"/>
        <w:rPr>
          <w:rStyle w:val="default"/>
          <w:rFonts w:cs="FrankRuehl"/>
          <w:rtl/>
        </w:rPr>
      </w:pPr>
      <w:bookmarkStart w:id="9" w:name="Seif9"/>
      <w:bookmarkEnd w:id="9"/>
      <w:r>
        <w:rPr>
          <w:lang w:val="he-IL"/>
        </w:rPr>
        <w:pict w14:anchorId="4A07BA86">
          <v:rect id="_x0000_s1035" style="position:absolute;left:0;text-align:left;margin-left:464.5pt;margin-top:8.05pt;width:75.05pt;height:12.55pt;z-index:251660288" o:allowincell="f" filled="f" stroked="f" strokecolor="lime" strokeweight=".25pt">
            <v:textbox inset="0,0,0,0">
              <w:txbxContent>
                <w:p w14:paraId="4798D077" w14:textId="77777777" w:rsidR="00D175E0" w:rsidRDefault="00D175E0">
                  <w:pPr>
                    <w:spacing w:line="160" w:lineRule="exact"/>
                    <w:jc w:val="left"/>
                    <w:rPr>
                      <w:rFonts w:cs="Miriam"/>
                      <w:noProof/>
                      <w:sz w:val="18"/>
                      <w:szCs w:val="18"/>
                      <w:rtl/>
                    </w:rPr>
                  </w:pPr>
                  <w:r>
                    <w:rPr>
                      <w:rFonts w:cs="Miriam"/>
                      <w:sz w:val="18"/>
                      <w:szCs w:val="18"/>
                      <w:rtl/>
                    </w:rPr>
                    <w:t>סי</w:t>
                  </w:r>
                  <w:r>
                    <w:rPr>
                      <w:rFonts w:cs="Miriam" w:hint="cs"/>
                      <w:sz w:val="18"/>
                      <w:szCs w:val="18"/>
                      <w:rtl/>
                    </w:rPr>
                    <w:t>יגים לתחולת החוק</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חוק זה לא יחולו על מועד לתשלום מזונות, שנקבע בחוזה, בפסק דין או בהחלטה אחרת.</w:t>
      </w:r>
    </w:p>
    <w:p w14:paraId="06072C2A" w14:textId="77777777" w:rsidR="00D175E0" w:rsidRDefault="00D175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הבטחון רשאי, בהתייעצות עם השר הנוגע בדבר, לקבוע בתקנות חיקוקים שהוראות חוק זה לא יחולו על מועדים שנקבעו בהם</w:t>
      </w:r>
      <w:r>
        <w:rPr>
          <w:rStyle w:val="default"/>
          <w:rFonts w:cs="FrankRuehl"/>
          <w:rtl/>
        </w:rPr>
        <w:t xml:space="preserve"> א</w:t>
      </w:r>
      <w:r>
        <w:rPr>
          <w:rStyle w:val="default"/>
          <w:rFonts w:cs="FrankRuehl" w:hint="cs"/>
          <w:rtl/>
        </w:rPr>
        <w:t>ו על פיהם.</w:t>
      </w:r>
    </w:p>
    <w:p w14:paraId="5C360C1E" w14:textId="77777777" w:rsidR="00D175E0" w:rsidRDefault="00D175E0">
      <w:pPr>
        <w:pStyle w:val="P00"/>
        <w:spacing w:before="72"/>
        <w:ind w:left="0" w:right="1134"/>
        <w:rPr>
          <w:rStyle w:val="default"/>
          <w:rFonts w:cs="FrankRuehl"/>
          <w:rtl/>
        </w:rPr>
      </w:pPr>
      <w:bookmarkStart w:id="10" w:name="Seif10"/>
      <w:bookmarkEnd w:id="10"/>
      <w:r>
        <w:rPr>
          <w:lang w:val="he-IL"/>
        </w:rPr>
        <w:pict w14:anchorId="258B7FEC">
          <v:rect id="_x0000_s1036" style="position:absolute;left:0;text-align:left;margin-left:464.5pt;margin-top:8.05pt;width:75.05pt;height:11.6pt;z-index:251661312" o:allowincell="f" filled="f" stroked="f" strokecolor="lime" strokeweight=".25pt">
            <v:textbox inset="0,0,0,0">
              <w:txbxContent>
                <w:p w14:paraId="3BD4460C" w14:textId="77777777" w:rsidR="00D175E0" w:rsidRDefault="00D175E0">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11.</w:t>
      </w:r>
      <w:r>
        <w:rPr>
          <w:rStyle w:val="big-number"/>
          <w:rFonts w:cs="Miriam"/>
          <w:rtl/>
        </w:rPr>
        <w:tab/>
      </w:r>
      <w:r>
        <w:rPr>
          <w:rStyle w:val="default"/>
          <w:rFonts w:cs="FrankRuehl"/>
          <w:rtl/>
        </w:rPr>
        <w:t>חו</w:t>
      </w:r>
      <w:r>
        <w:rPr>
          <w:rStyle w:val="default"/>
          <w:rFonts w:cs="FrankRuehl" w:hint="cs"/>
          <w:rtl/>
        </w:rPr>
        <w:t>ק זה בא לה</w:t>
      </w:r>
      <w:r>
        <w:rPr>
          <w:rStyle w:val="default"/>
          <w:rFonts w:cs="FrankRuehl"/>
          <w:rtl/>
        </w:rPr>
        <w:t>ו</w:t>
      </w:r>
      <w:r>
        <w:rPr>
          <w:rStyle w:val="default"/>
          <w:rFonts w:cs="FrankRuehl" w:hint="cs"/>
          <w:rtl/>
        </w:rPr>
        <w:t>סיף על כל דין אחר ולא לגרוע ממנו.</w:t>
      </w:r>
    </w:p>
    <w:p w14:paraId="207BB1F8" w14:textId="77777777" w:rsidR="00D175E0" w:rsidRDefault="00D175E0">
      <w:pPr>
        <w:pStyle w:val="P00"/>
        <w:spacing w:before="72"/>
        <w:ind w:left="0" w:right="1134"/>
        <w:rPr>
          <w:rStyle w:val="default"/>
          <w:rFonts w:cs="FrankRuehl"/>
          <w:rtl/>
        </w:rPr>
      </w:pPr>
      <w:bookmarkStart w:id="11" w:name="Seif11"/>
      <w:bookmarkEnd w:id="11"/>
      <w:r>
        <w:rPr>
          <w:lang w:val="he-IL"/>
        </w:rPr>
        <w:pict w14:anchorId="73B74105">
          <v:rect id="_x0000_s1037" style="position:absolute;left:0;text-align:left;margin-left:464.5pt;margin-top:8.05pt;width:75.05pt;height:19.7pt;z-index:251662336" o:allowincell="f" filled="f" stroked="f" strokecolor="lime" strokeweight=".25pt">
            <v:textbox inset="0,0,0,0">
              <w:txbxContent>
                <w:p w14:paraId="078358C8" w14:textId="77777777" w:rsidR="00D175E0" w:rsidRDefault="00D175E0">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צוע ותקנות </w:t>
                  </w:r>
                  <w:r w:rsidR="00486E44">
                    <w:rPr>
                      <w:rFonts w:cs="Miriam"/>
                      <w:sz w:val="18"/>
                      <w:szCs w:val="18"/>
                      <w:rtl/>
                    </w:rPr>
                    <w:br/>
                  </w:r>
                  <w:r>
                    <w:rPr>
                      <w:rFonts w:cs="Miriam" w:hint="cs"/>
                      <w:sz w:val="18"/>
                      <w:szCs w:val="18"/>
                      <w:rtl/>
                    </w:rPr>
                    <w:t>סדרי-דין</w:t>
                  </w:r>
                </w:p>
              </w:txbxContent>
            </v:textbox>
            <w10:anchorlock/>
          </v:rect>
        </w:pict>
      </w:r>
      <w:r>
        <w:rPr>
          <w:rStyle w:val="big-number"/>
          <w:rFonts w:cs="Miriam"/>
          <w:rtl/>
        </w:rPr>
        <w:t>12.</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להתקין תקנות סדרי דין בהליכים לפיו.</w:t>
      </w:r>
    </w:p>
    <w:p w14:paraId="44672D1E" w14:textId="77777777" w:rsidR="00D175E0" w:rsidRDefault="00D175E0" w:rsidP="00486E44">
      <w:pPr>
        <w:pStyle w:val="P00"/>
        <w:spacing w:before="72"/>
        <w:ind w:left="0" w:right="1134"/>
        <w:rPr>
          <w:rStyle w:val="default"/>
          <w:rFonts w:cs="FrankRuehl"/>
          <w:rtl/>
        </w:rPr>
      </w:pPr>
      <w:bookmarkStart w:id="12" w:name="Seif12"/>
      <w:bookmarkEnd w:id="12"/>
      <w:r>
        <w:rPr>
          <w:lang w:val="he-IL"/>
        </w:rPr>
        <w:pict w14:anchorId="5846572C">
          <v:rect id="_x0000_s1038" style="position:absolute;left:0;text-align:left;margin-left:464.5pt;margin-top:8.05pt;width:75.05pt;height:11pt;z-index:251663360" o:allowincell="f" filled="f" stroked="f" strokecolor="lime" strokeweight=".25pt">
            <v:textbox inset="0,0,0,0">
              <w:txbxContent>
                <w:p w14:paraId="5415EAD3" w14:textId="77777777" w:rsidR="00D175E0" w:rsidRDefault="00D175E0">
                  <w:pPr>
                    <w:spacing w:line="160" w:lineRule="exact"/>
                    <w:jc w:val="left"/>
                    <w:rPr>
                      <w:rFonts w:cs="Miriam"/>
                      <w:noProof/>
                      <w:sz w:val="18"/>
                      <w:szCs w:val="18"/>
                      <w:rtl/>
                    </w:rPr>
                  </w:pPr>
                  <w:r>
                    <w:rPr>
                      <w:rFonts w:cs="Miriam"/>
                      <w:sz w:val="18"/>
                      <w:szCs w:val="18"/>
                      <w:rtl/>
                    </w:rPr>
                    <w:t>בי</w:t>
                  </w:r>
                  <w:r>
                    <w:rPr>
                      <w:rFonts w:cs="Miriam" w:hint="cs"/>
                      <w:sz w:val="18"/>
                      <w:szCs w:val="18"/>
                      <w:rtl/>
                    </w:rPr>
                    <w:t>טול והוראות מעבר</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הארכת מועדים, תשי"ז</w:t>
      </w:r>
      <w:r w:rsidR="00486E44">
        <w:rPr>
          <w:rStyle w:val="default"/>
          <w:rFonts w:cs="FrankRuehl" w:hint="cs"/>
          <w:rtl/>
        </w:rPr>
        <w:t>-</w:t>
      </w:r>
      <w:r>
        <w:rPr>
          <w:rStyle w:val="default"/>
          <w:rFonts w:cs="FrankRuehl"/>
          <w:rtl/>
        </w:rPr>
        <w:t xml:space="preserve">1957 </w:t>
      </w:r>
      <w:r w:rsidR="00486E44">
        <w:rPr>
          <w:rStyle w:val="default"/>
          <w:rFonts w:cs="FrankRuehl" w:hint="cs"/>
          <w:rtl/>
        </w:rPr>
        <w:t>-</w:t>
      </w:r>
      <w:r>
        <w:rPr>
          <w:rStyle w:val="default"/>
          <w:rFonts w:cs="FrankRuehl"/>
          <w:rtl/>
        </w:rPr>
        <w:t xml:space="preserve"> </w:t>
      </w:r>
      <w:r>
        <w:rPr>
          <w:rStyle w:val="default"/>
          <w:rFonts w:cs="FrankRuehl" w:hint="cs"/>
          <w:rtl/>
        </w:rPr>
        <w:t>בטל.</w:t>
      </w:r>
    </w:p>
    <w:p w14:paraId="453AB050" w14:textId="77777777" w:rsidR="00D175E0" w:rsidRDefault="00D175E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קנות, הכרזות והודעות שהותקנו, פורסמו או ניתנו מכוח החוק </w:t>
      </w:r>
      <w:r>
        <w:rPr>
          <w:rStyle w:val="default"/>
          <w:rFonts w:cs="FrankRuehl"/>
          <w:rtl/>
        </w:rPr>
        <w:t>הא</w:t>
      </w:r>
      <w:r>
        <w:rPr>
          <w:rStyle w:val="default"/>
          <w:rFonts w:cs="FrankRuehl" w:hint="cs"/>
          <w:rtl/>
        </w:rPr>
        <w:t>מור יעמדו בתקפן עד לביטולן או לשינוין מכוח חוק זה, ויראו אותן, בשינויים המחוייבים, כאילו ניתנו מכוח חוק זה.</w:t>
      </w:r>
    </w:p>
    <w:p w14:paraId="778AD3C9" w14:textId="77777777" w:rsidR="00D175E0" w:rsidRDefault="00D175E0">
      <w:pPr>
        <w:pStyle w:val="P00"/>
        <w:spacing w:before="72"/>
        <w:ind w:left="0" w:right="1134"/>
        <w:rPr>
          <w:rStyle w:val="default"/>
          <w:rFonts w:cs="FrankRuehl"/>
          <w:rtl/>
        </w:rPr>
      </w:pPr>
      <w:bookmarkStart w:id="13" w:name="Seif13"/>
      <w:bookmarkEnd w:id="13"/>
      <w:r>
        <w:rPr>
          <w:lang w:val="he-IL"/>
        </w:rPr>
        <w:pict w14:anchorId="1D8B24A7">
          <v:rect id="_x0000_s1039" style="position:absolute;left:0;text-align:left;margin-left:464.5pt;margin-top:8.05pt;width:75.05pt;height:11.85pt;z-index:251664384" o:allowincell="f" filled="f" stroked="f" strokecolor="lime" strokeweight=".25pt">
            <v:textbox inset="0,0,0,0">
              <w:txbxContent>
                <w:p w14:paraId="60A2FC30" w14:textId="77777777" w:rsidR="00D175E0" w:rsidRDefault="00D175E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14.</w:t>
      </w:r>
      <w:r>
        <w:rPr>
          <w:rStyle w:val="big-number"/>
          <w:rFonts w:cs="Miriam"/>
          <w:rtl/>
        </w:rPr>
        <w:tab/>
      </w:r>
      <w:r>
        <w:rPr>
          <w:rStyle w:val="default"/>
          <w:rFonts w:cs="FrankRuehl"/>
          <w:rtl/>
        </w:rPr>
        <w:t>תח</w:t>
      </w:r>
      <w:r>
        <w:rPr>
          <w:rStyle w:val="default"/>
          <w:rFonts w:cs="FrankRuehl" w:hint="cs"/>
          <w:rtl/>
        </w:rPr>
        <w:t>ילתו של חוק זה ביום י"ח בטבת תשל"ה (1 בינואר 1975).</w:t>
      </w:r>
    </w:p>
    <w:p w14:paraId="23EBC759" w14:textId="77777777" w:rsidR="00D175E0" w:rsidRDefault="00D175E0">
      <w:pPr>
        <w:pStyle w:val="P00"/>
        <w:spacing w:before="72"/>
        <w:ind w:left="0" w:right="1134"/>
        <w:rPr>
          <w:rStyle w:val="default"/>
          <w:rFonts w:cs="FrankRuehl" w:hint="cs"/>
          <w:rtl/>
        </w:rPr>
      </w:pPr>
    </w:p>
    <w:p w14:paraId="274B6897" w14:textId="77777777" w:rsidR="00486E44" w:rsidRDefault="00486E44">
      <w:pPr>
        <w:pStyle w:val="P00"/>
        <w:spacing w:before="72"/>
        <w:ind w:left="0" w:right="1134"/>
        <w:rPr>
          <w:rStyle w:val="default"/>
          <w:rFonts w:cs="FrankRuehl" w:hint="cs"/>
          <w:rtl/>
        </w:rPr>
      </w:pPr>
    </w:p>
    <w:p w14:paraId="12F838BB" w14:textId="77777777" w:rsidR="00486E44" w:rsidRPr="00486E44" w:rsidRDefault="00486E44" w:rsidP="00486E44">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486E44">
        <w:rPr>
          <w:rFonts w:cs="FrankRuehl"/>
          <w:sz w:val="26"/>
          <w:szCs w:val="26"/>
          <w:rtl/>
        </w:rPr>
        <w:tab/>
      </w:r>
      <w:r w:rsidRPr="00486E44">
        <w:rPr>
          <w:rFonts w:cs="FrankRuehl"/>
          <w:sz w:val="26"/>
          <w:szCs w:val="26"/>
          <w:rtl/>
        </w:rPr>
        <w:tab/>
        <w:t>י</w:t>
      </w:r>
      <w:r w:rsidRPr="00486E44">
        <w:rPr>
          <w:rFonts w:cs="FrankRuehl" w:hint="cs"/>
          <w:sz w:val="26"/>
          <w:szCs w:val="26"/>
          <w:rtl/>
        </w:rPr>
        <w:t>צחק רבין</w:t>
      </w:r>
      <w:r w:rsidRPr="00486E44">
        <w:rPr>
          <w:rFonts w:cs="FrankRuehl"/>
          <w:sz w:val="26"/>
          <w:szCs w:val="26"/>
          <w:rtl/>
        </w:rPr>
        <w:tab/>
        <w:t>ח</w:t>
      </w:r>
      <w:r w:rsidRPr="00486E44">
        <w:rPr>
          <w:rFonts w:cs="FrankRuehl" w:hint="cs"/>
          <w:sz w:val="26"/>
          <w:szCs w:val="26"/>
          <w:rtl/>
        </w:rPr>
        <w:t>יים י' צדוק</w:t>
      </w:r>
    </w:p>
    <w:p w14:paraId="57A52989" w14:textId="77777777" w:rsidR="00486E44" w:rsidRDefault="00486E44" w:rsidP="00486E44">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w:t>
      </w:r>
      <w:r>
        <w:rPr>
          <w:rFonts w:cs="FrankRuehl"/>
          <w:sz w:val="22"/>
          <w:rtl/>
        </w:rPr>
        <w:t>מ</w:t>
      </w:r>
      <w:r>
        <w:rPr>
          <w:rFonts w:cs="FrankRuehl" w:hint="cs"/>
          <w:sz w:val="22"/>
          <w:rtl/>
        </w:rPr>
        <w:t>שפטים</w:t>
      </w:r>
    </w:p>
    <w:p w14:paraId="7637512C" w14:textId="77777777" w:rsidR="00D175E0" w:rsidRPr="00486E44" w:rsidRDefault="00D175E0" w:rsidP="00486E44">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486E44">
        <w:rPr>
          <w:rFonts w:cs="FrankRuehl"/>
          <w:sz w:val="26"/>
          <w:szCs w:val="26"/>
          <w:rtl/>
        </w:rPr>
        <w:tab/>
        <w:t>א</w:t>
      </w:r>
      <w:r w:rsidRPr="00486E44">
        <w:rPr>
          <w:rFonts w:cs="FrankRuehl" w:hint="cs"/>
          <w:sz w:val="26"/>
          <w:szCs w:val="26"/>
          <w:rtl/>
        </w:rPr>
        <w:t>פרים קציר</w:t>
      </w:r>
    </w:p>
    <w:p w14:paraId="4331EE1C" w14:textId="77777777" w:rsidR="00D175E0" w:rsidRDefault="00D175E0" w:rsidP="00486E44">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14:paraId="6D887C04" w14:textId="77777777" w:rsidR="00D175E0" w:rsidRPr="00486E44" w:rsidRDefault="00D175E0" w:rsidP="00486E44">
      <w:pPr>
        <w:pStyle w:val="P00"/>
        <w:spacing w:before="72"/>
        <w:ind w:left="0" w:right="1134"/>
        <w:rPr>
          <w:rStyle w:val="default"/>
          <w:rFonts w:cs="FrankRuehl"/>
          <w:rtl/>
        </w:rPr>
      </w:pPr>
    </w:p>
    <w:p w14:paraId="280A891C" w14:textId="77777777" w:rsidR="00D175E0" w:rsidRPr="00486E44" w:rsidRDefault="00D175E0" w:rsidP="00486E44">
      <w:pPr>
        <w:pStyle w:val="P00"/>
        <w:spacing w:before="72"/>
        <w:ind w:left="0" w:right="1134"/>
        <w:rPr>
          <w:rStyle w:val="default"/>
          <w:rFonts w:cs="FrankRuehl"/>
          <w:rtl/>
        </w:rPr>
      </w:pPr>
    </w:p>
    <w:p w14:paraId="373AC121" w14:textId="77777777" w:rsidR="00D175E0" w:rsidRPr="00486E44" w:rsidRDefault="00D175E0" w:rsidP="00486E44">
      <w:pPr>
        <w:pStyle w:val="P00"/>
        <w:spacing w:before="72"/>
        <w:ind w:left="0" w:right="1134"/>
        <w:rPr>
          <w:rStyle w:val="default"/>
          <w:rFonts w:cs="FrankRuehl"/>
          <w:rtl/>
        </w:rPr>
      </w:pPr>
      <w:bookmarkStart w:id="14" w:name="LawPartEnd"/>
    </w:p>
    <w:bookmarkEnd w:id="14"/>
    <w:p w14:paraId="640FCD2D" w14:textId="77777777" w:rsidR="00D175E0" w:rsidRPr="00486E44" w:rsidRDefault="00D175E0" w:rsidP="00486E44">
      <w:pPr>
        <w:pStyle w:val="P00"/>
        <w:spacing w:before="72"/>
        <w:ind w:left="0" w:right="1134"/>
        <w:rPr>
          <w:rStyle w:val="default"/>
          <w:rFonts w:cs="FrankRuehl"/>
          <w:rtl/>
        </w:rPr>
      </w:pPr>
    </w:p>
    <w:sectPr w:rsidR="00D175E0" w:rsidRPr="00486E4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94E7B" w14:textId="77777777" w:rsidR="00BC0CCF" w:rsidRDefault="00BC0CCF">
      <w:r>
        <w:separator/>
      </w:r>
    </w:p>
  </w:endnote>
  <w:endnote w:type="continuationSeparator" w:id="0">
    <w:p w14:paraId="27E6FCA2" w14:textId="77777777" w:rsidR="00BC0CCF" w:rsidRDefault="00BC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14FD" w14:textId="77777777" w:rsidR="00D175E0" w:rsidRDefault="00D175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2A32C2" w14:textId="77777777" w:rsidR="00D175E0" w:rsidRDefault="00D175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EA1843" w14:textId="77777777" w:rsidR="00D175E0" w:rsidRDefault="00D175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6E44">
      <w:rPr>
        <w:rFonts w:cs="TopType Jerushalmi"/>
        <w:noProof/>
        <w:color w:val="000000"/>
        <w:sz w:val="14"/>
        <w:szCs w:val="14"/>
      </w:rPr>
      <w:t>D:\Yael\hakika\Revadim\078_001.doc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A0A0" w14:textId="77777777" w:rsidR="00D175E0" w:rsidRDefault="00D175E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6E44">
      <w:rPr>
        <w:rFonts w:hAnsi="FrankRuehl" w:cs="FrankRuehl"/>
        <w:noProof/>
        <w:sz w:val="24"/>
        <w:szCs w:val="24"/>
        <w:rtl/>
      </w:rPr>
      <w:t>4</w:t>
    </w:r>
    <w:r>
      <w:rPr>
        <w:rFonts w:hAnsi="FrankRuehl" w:cs="FrankRuehl"/>
        <w:sz w:val="24"/>
        <w:szCs w:val="24"/>
        <w:rtl/>
      </w:rPr>
      <w:fldChar w:fldCharType="end"/>
    </w:r>
  </w:p>
  <w:p w14:paraId="7AB21873" w14:textId="77777777" w:rsidR="00D175E0" w:rsidRDefault="00D175E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60FD6C" w14:textId="77777777" w:rsidR="00D175E0" w:rsidRDefault="00D175E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6E44">
      <w:rPr>
        <w:rFonts w:cs="TopType Jerushalmi"/>
        <w:noProof/>
        <w:color w:val="000000"/>
        <w:sz w:val="14"/>
        <w:szCs w:val="14"/>
      </w:rPr>
      <w:t>D:\Yael\hakika\Revadim\078_001.doc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E332" w14:textId="77777777" w:rsidR="00BC0CCF" w:rsidRDefault="00BC0CCF" w:rsidP="00486E44">
      <w:pPr>
        <w:spacing w:before="60" w:line="240" w:lineRule="auto"/>
        <w:ind w:right="1134"/>
      </w:pPr>
      <w:r>
        <w:separator/>
      </w:r>
    </w:p>
  </w:footnote>
  <w:footnote w:type="continuationSeparator" w:id="0">
    <w:p w14:paraId="1A9DF447" w14:textId="77777777" w:rsidR="00BC0CCF" w:rsidRDefault="00BC0CCF">
      <w:r>
        <w:continuationSeparator/>
      </w:r>
    </w:p>
  </w:footnote>
  <w:footnote w:id="1">
    <w:p w14:paraId="1164FAF2" w14:textId="77777777" w:rsidR="00486E44" w:rsidRPr="00486E44" w:rsidRDefault="00486E44" w:rsidP="00486E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486E44">
        <w:rPr>
          <w:rFonts w:cs="FrankRuehl"/>
          <w:rtl/>
        </w:rPr>
        <w:t xml:space="preserve">* </w:t>
      </w:r>
      <w:r>
        <w:rPr>
          <w:rFonts w:cs="FrankRuehl"/>
          <w:rtl/>
        </w:rPr>
        <w:t>פו</w:t>
      </w:r>
      <w:r>
        <w:rPr>
          <w:rFonts w:cs="FrankRuehl" w:hint="cs"/>
          <w:rtl/>
        </w:rPr>
        <w:t xml:space="preserve">רסם </w:t>
      </w:r>
      <w:hyperlink r:id="rId1" w:history="1">
        <w:r w:rsidRPr="00886D9C">
          <w:rPr>
            <w:rStyle w:val="Hyperlink"/>
            <w:rFonts w:cs="FrankRuehl" w:hint="cs"/>
            <w:rtl/>
          </w:rPr>
          <w:t>ס"ח תשל"ה מס' 755</w:t>
        </w:r>
      </w:hyperlink>
      <w:r>
        <w:rPr>
          <w:rFonts w:cs="FrankRuehl" w:hint="cs"/>
          <w:rtl/>
        </w:rPr>
        <w:t xml:space="preserve"> מיום 9.1.1975 עמ' 38 (</w:t>
      </w:r>
      <w:hyperlink r:id="rId2" w:history="1">
        <w:r w:rsidRPr="008D6568">
          <w:rPr>
            <w:rStyle w:val="Hyperlink"/>
            <w:rFonts w:cs="FrankRuehl" w:hint="cs"/>
            <w:rtl/>
          </w:rPr>
          <w:t>ה"ח תשל"ד מס' 1126</w:t>
        </w:r>
      </w:hyperlink>
      <w:r>
        <w:rPr>
          <w:rFonts w:cs="FrankRuehl" w:hint="cs"/>
          <w:rtl/>
        </w:rPr>
        <w:t xml:space="preserve"> עמ' 214).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9F09" w14:textId="77777777" w:rsidR="00D175E0" w:rsidRDefault="00D175E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הארכת מועדים, תשל"ה–1974</w:t>
    </w:r>
  </w:p>
  <w:p w14:paraId="66F81341" w14:textId="77777777" w:rsidR="00D175E0" w:rsidRDefault="00D175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078F89" w14:textId="77777777" w:rsidR="00D175E0" w:rsidRDefault="00D175E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C906" w14:textId="77777777" w:rsidR="00D175E0" w:rsidRDefault="00D175E0" w:rsidP="00486E4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הארכת מועדים, תשל"ה</w:t>
    </w:r>
    <w:r w:rsidR="00486E44">
      <w:rPr>
        <w:rFonts w:hAnsi="FrankRuehl" w:cs="FrankRuehl" w:hint="cs"/>
        <w:color w:val="000000"/>
        <w:sz w:val="28"/>
        <w:szCs w:val="28"/>
        <w:rtl/>
      </w:rPr>
      <w:t>-</w:t>
    </w:r>
    <w:r>
      <w:rPr>
        <w:rFonts w:hAnsi="FrankRuehl" w:cs="FrankRuehl"/>
        <w:color w:val="000000"/>
        <w:sz w:val="28"/>
        <w:szCs w:val="28"/>
        <w:rtl/>
      </w:rPr>
      <w:t>1974</w:t>
    </w:r>
  </w:p>
  <w:p w14:paraId="78B0C22B" w14:textId="77777777" w:rsidR="00D175E0" w:rsidRDefault="00D175E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15E767" w14:textId="77777777" w:rsidR="00D175E0" w:rsidRDefault="00D175E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5477"/>
    <w:rsid w:val="0000581A"/>
    <w:rsid w:val="000B07B8"/>
    <w:rsid w:val="00102910"/>
    <w:rsid w:val="00174E14"/>
    <w:rsid w:val="001B6032"/>
    <w:rsid w:val="001C253E"/>
    <w:rsid w:val="00205D1F"/>
    <w:rsid w:val="00211280"/>
    <w:rsid w:val="00243AC0"/>
    <w:rsid w:val="002E4E88"/>
    <w:rsid w:val="002F535E"/>
    <w:rsid w:val="00331F82"/>
    <w:rsid w:val="0040056A"/>
    <w:rsid w:val="00486E44"/>
    <w:rsid w:val="005B7EF7"/>
    <w:rsid w:val="005C5477"/>
    <w:rsid w:val="0074515D"/>
    <w:rsid w:val="00831468"/>
    <w:rsid w:val="00886D9C"/>
    <w:rsid w:val="00897A60"/>
    <w:rsid w:val="008C3478"/>
    <w:rsid w:val="008D6568"/>
    <w:rsid w:val="008E6992"/>
    <w:rsid w:val="009426BA"/>
    <w:rsid w:val="00A212E0"/>
    <w:rsid w:val="00A80120"/>
    <w:rsid w:val="00AC7677"/>
    <w:rsid w:val="00BC0CCF"/>
    <w:rsid w:val="00D175E0"/>
    <w:rsid w:val="00D97EE5"/>
    <w:rsid w:val="00E141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F5942CE"/>
  <w15:chartTrackingRefBased/>
  <w15:docId w15:val="{B064A6FA-43FE-4151-8860-4238112A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0B07B8"/>
    <w:rPr>
      <w:color w:val="800080"/>
      <w:u w:val="single"/>
    </w:rPr>
  </w:style>
  <w:style w:type="paragraph" w:styleId="a5">
    <w:name w:val="footnote text"/>
    <w:basedOn w:val="a"/>
    <w:semiHidden/>
    <w:rsid w:val="00486E44"/>
    <w:rPr>
      <w:sz w:val="20"/>
      <w:szCs w:val="20"/>
    </w:rPr>
  </w:style>
  <w:style w:type="character" w:styleId="a6">
    <w:name w:val="footnote reference"/>
    <w:basedOn w:val="a0"/>
    <w:semiHidden/>
    <w:rsid w:val="00486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126.pdf" TargetMode="External"/><Relationship Id="rId1" Type="http://schemas.openxmlformats.org/officeDocument/2006/relationships/hyperlink" Target="http://www.nevo.co.il/Law_word/law14/LAW-07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5420</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פרק 78</vt:lpstr>
    </vt:vector>
  </TitlesOfParts>
  <Company/>
  <LinksUpToDate>false</LinksUpToDate>
  <CharactersWithSpaces>6358</CharactersWithSpaces>
  <SharedDoc>false</SharedDoc>
  <HLinks>
    <vt:vector size="96" baseType="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917630</vt:i4>
      </vt:variant>
      <vt:variant>
        <vt:i4>3</vt:i4>
      </vt:variant>
      <vt:variant>
        <vt:i4>0</vt:i4>
      </vt:variant>
      <vt:variant>
        <vt:i4>5</vt:i4>
      </vt:variant>
      <vt:variant>
        <vt:lpwstr>http://www.nevo.co.il/Law_word/law17/PROP-1126.pdf</vt:lpwstr>
      </vt:variant>
      <vt:variant>
        <vt:lpwstr/>
      </vt:variant>
      <vt:variant>
        <vt:i4>7995403</vt:i4>
      </vt:variant>
      <vt:variant>
        <vt:i4>0</vt:i4>
      </vt:variant>
      <vt:variant>
        <vt:i4>0</vt:i4>
      </vt:variant>
      <vt:variant>
        <vt:i4>5</vt:i4>
      </vt:variant>
      <vt:variant>
        <vt:lpwstr>http://www.nevo.co.il/Law_word/law14/LAW-0755.pdf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78</dc:title>
  <dc:subject/>
  <dc:creator>Liat Blumberger</dc:creator>
  <cp:keywords/>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0078</vt:lpwstr>
  </property>
  <property fmtid="{D5CDD505-2E9C-101B-9397-08002B2CF9AE}" pid="3" name="CHNAME">
    <vt:lpwstr>הארכת מועדים</vt:lpwstr>
  </property>
  <property fmtid="{D5CDD505-2E9C-101B-9397-08002B2CF9AE}" pid="4" name="LAWNAME">
    <vt:lpwstr>חוק הארכת מועדים, תשל"ה-1974</vt:lpwstr>
  </property>
  <property fmtid="{D5CDD505-2E9C-101B-9397-08002B2CF9AE}" pid="5" name="LAWNUMBER">
    <vt:lpwstr>0001</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הארכת מועדים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