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E8AA0" w14:textId="77777777" w:rsidR="009C17D8" w:rsidRDefault="0010321B" w:rsidP="00A86726">
      <w:pPr>
        <w:pStyle w:val="big-header"/>
        <w:ind w:left="0" w:right="1134"/>
        <w:rPr>
          <w:rFonts w:cs="FrankRuehl" w:hint="cs"/>
          <w:sz w:val="32"/>
          <w:rtl/>
        </w:rPr>
      </w:pPr>
      <w:r>
        <w:rPr>
          <w:rFonts w:cs="FrankRuehl" w:hint="cs"/>
          <w:sz w:val="32"/>
          <w:rtl/>
        </w:rPr>
        <w:t>חוק הבחירות לכנסת העשרים ושתיים (הוראות מיוחדות לעניין ועדת הבחירות), תשע"ט-2019</w:t>
      </w:r>
    </w:p>
    <w:p w14:paraId="7F18EE9E" w14:textId="77777777" w:rsidR="00643816" w:rsidRPr="00643816" w:rsidRDefault="00643816" w:rsidP="00643816">
      <w:pPr>
        <w:spacing w:line="320" w:lineRule="auto"/>
        <w:jc w:val="left"/>
        <w:rPr>
          <w:rFonts w:cs="FrankRuehl"/>
          <w:szCs w:val="26"/>
          <w:rtl/>
        </w:rPr>
      </w:pPr>
    </w:p>
    <w:p w14:paraId="7A872313" w14:textId="77777777" w:rsidR="00643816" w:rsidRDefault="00643816" w:rsidP="00643816">
      <w:pPr>
        <w:spacing w:line="320" w:lineRule="auto"/>
        <w:jc w:val="left"/>
        <w:rPr>
          <w:rtl/>
        </w:rPr>
      </w:pPr>
    </w:p>
    <w:p w14:paraId="2D597D86" w14:textId="77777777" w:rsidR="00643816" w:rsidRDefault="00643816" w:rsidP="00643816">
      <w:pPr>
        <w:spacing w:line="320" w:lineRule="auto"/>
        <w:jc w:val="left"/>
        <w:rPr>
          <w:rFonts w:cs="Miriam"/>
          <w:szCs w:val="22"/>
          <w:rtl/>
        </w:rPr>
      </w:pPr>
      <w:r w:rsidRPr="00643816">
        <w:rPr>
          <w:rFonts w:cs="Miriam"/>
          <w:szCs w:val="22"/>
          <w:rtl/>
        </w:rPr>
        <w:t xml:space="preserve">דיני חוקה </w:t>
      </w:r>
      <w:r w:rsidRPr="00643816">
        <w:rPr>
          <w:rFonts w:cs="FrankRuehl"/>
          <w:szCs w:val="26"/>
          <w:rtl/>
        </w:rPr>
        <w:t xml:space="preserve"> – בחירות – בחירות לכנסת</w:t>
      </w:r>
    </w:p>
    <w:p w14:paraId="5D314DA0" w14:textId="77777777" w:rsidR="00667AE6" w:rsidRPr="00643816" w:rsidRDefault="00643816" w:rsidP="00643816">
      <w:pPr>
        <w:spacing w:line="320" w:lineRule="auto"/>
        <w:jc w:val="left"/>
        <w:rPr>
          <w:rFonts w:cs="Miriam" w:hint="cs"/>
          <w:szCs w:val="22"/>
          <w:rtl/>
        </w:rPr>
      </w:pPr>
      <w:r w:rsidRPr="00643816">
        <w:rPr>
          <w:rFonts w:cs="Miriam"/>
          <w:szCs w:val="22"/>
          <w:rtl/>
        </w:rPr>
        <w:t xml:space="preserve">דיני חוקה </w:t>
      </w:r>
      <w:r w:rsidRPr="00643816">
        <w:rPr>
          <w:rFonts w:cs="FrankRuehl"/>
          <w:szCs w:val="26"/>
          <w:rtl/>
        </w:rPr>
        <w:t xml:space="preserve"> – כנסת – בחירות</w:t>
      </w:r>
    </w:p>
    <w:p w14:paraId="477BEC0F" w14:textId="77777777" w:rsidR="009C17D8" w:rsidRDefault="009C17D8">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72CC6" w:rsidRPr="00572CC6" w14:paraId="5A268FD8" w14:textId="77777777" w:rsidTr="00572CC6">
        <w:tblPrEx>
          <w:tblCellMar>
            <w:top w:w="0" w:type="dxa"/>
            <w:bottom w:w="0" w:type="dxa"/>
          </w:tblCellMar>
        </w:tblPrEx>
        <w:tc>
          <w:tcPr>
            <w:tcW w:w="1247" w:type="dxa"/>
          </w:tcPr>
          <w:p w14:paraId="781BDBBB" w14:textId="77777777" w:rsidR="00572CC6" w:rsidRPr="00572CC6" w:rsidRDefault="00572CC6" w:rsidP="00572CC6">
            <w:pPr>
              <w:spacing w:line="240" w:lineRule="auto"/>
              <w:jc w:val="left"/>
              <w:rPr>
                <w:rFonts w:cs="Frankruhel"/>
                <w:sz w:val="24"/>
                <w:rtl/>
              </w:rPr>
            </w:pPr>
            <w:r>
              <w:rPr>
                <w:sz w:val="24"/>
                <w:rtl/>
              </w:rPr>
              <w:t xml:space="preserve">סעיף 1 </w:t>
            </w:r>
          </w:p>
        </w:tc>
        <w:tc>
          <w:tcPr>
            <w:tcW w:w="5669" w:type="dxa"/>
          </w:tcPr>
          <w:p w14:paraId="5FC97E6E" w14:textId="77777777" w:rsidR="00572CC6" w:rsidRPr="00572CC6" w:rsidRDefault="00572CC6" w:rsidP="00572CC6">
            <w:pPr>
              <w:spacing w:line="240" w:lineRule="auto"/>
              <w:jc w:val="left"/>
              <w:rPr>
                <w:rFonts w:cs="Frankruhel"/>
                <w:sz w:val="24"/>
                <w:rtl/>
              </w:rPr>
            </w:pPr>
            <w:r>
              <w:rPr>
                <w:sz w:val="24"/>
                <w:rtl/>
              </w:rPr>
              <w:t>מטרה</w:t>
            </w:r>
          </w:p>
        </w:tc>
        <w:tc>
          <w:tcPr>
            <w:tcW w:w="567" w:type="dxa"/>
          </w:tcPr>
          <w:p w14:paraId="50043892" w14:textId="77777777" w:rsidR="00572CC6" w:rsidRPr="00572CC6" w:rsidRDefault="00572CC6" w:rsidP="00572CC6">
            <w:pPr>
              <w:spacing w:line="240" w:lineRule="auto"/>
              <w:jc w:val="left"/>
              <w:rPr>
                <w:rStyle w:val="Hyperlink"/>
                <w:rtl/>
              </w:rPr>
            </w:pPr>
            <w:hyperlink w:anchor="Seif1" w:tooltip="מטרה" w:history="1">
              <w:r w:rsidRPr="00572CC6">
                <w:rPr>
                  <w:rStyle w:val="Hyperlink"/>
                </w:rPr>
                <w:t>Go</w:t>
              </w:r>
            </w:hyperlink>
          </w:p>
        </w:tc>
        <w:tc>
          <w:tcPr>
            <w:tcW w:w="850" w:type="dxa"/>
          </w:tcPr>
          <w:p w14:paraId="4CFB277C" w14:textId="77777777" w:rsidR="00572CC6" w:rsidRPr="00572CC6" w:rsidRDefault="00572CC6" w:rsidP="00572C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2CC6" w:rsidRPr="00572CC6" w14:paraId="01DE1AB3" w14:textId="77777777" w:rsidTr="00572CC6">
        <w:tblPrEx>
          <w:tblCellMar>
            <w:top w:w="0" w:type="dxa"/>
            <w:bottom w:w="0" w:type="dxa"/>
          </w:tblCellMar>
        </w:tblPrEx>
        <w:tc>
          <w:tcPr>
            <w:tcW w:w="1247" w:type="dxa"/>
          </w:tcPr>
          <w:p w14:paraId="14693C78" w14:textId="77777777" w:rsidR="00572CC6" w:rsidRPr="00572CC6" w:rsidRDefault="00572CC6" w:rsidP="00572CC6">
            <w:pPr>
              <w:spacing w:line="240" w:lineRule="auto"/>
              <w:jc w:val="left"/>
              <w:rPr>
                <w:rFonts w:cs="Frankruhel"/>
                <w:sz w:val="24"/>
                <w:rtl/>
              </w:rPr>
            </w:pPr>
            <w:r>
              <w:rPr>
                <w:sz w:val="24"/>
                <w:rtl/>
              </w:rPr>
              <w:t xml:space="preserve">סעיף 2 </w:t>
            </w:r>
          </w:p>
        </w:tc>
        <w:tc>
          <w:tcPr>
            <w:tcW w:w="5669" w:type="dxa"/>
          </w:tcPr>
          <w:p w14:paraId="244189C2" w14:textId="77777777" w:rsidR="00572CC6" w:rsidRPr="00572CC6" w:rsidRDefault="00572CC6" w:rsidP="00572CC6">
            <w:pPr>
              <w:spacing w:line="240" w:lineRule="auto"/>
              <w:jc w:val="left"/>
              <w:rPr>
                <w:rFonts w:cs="Frankruhel"/>
                <w:sz w:val="24"/>
                <w:rtl/>
              </w:rPr>
            </w:pPr>
            <w:r>
              <w:rPr>
                <w:sz w:val="24"/>
                <w:rtl/>
              </w:rPr>
              <w:t>פרשנות</w:t>
            </w:r>
          </w:p>
        </w:tc>
        <w:tc>
          <w:tcPr>
            <w:tcW w:w="567" w:type="dxa"/>
          </w:tcPr>
          <w:p w14:paraId="014E99DE" w14:textId="77777777" w:rsidR="00572CC6" w:rsidRPr="00572CC6" w:rsidRDefault="00572CC6" w:rsidP="00572CC6">
            <w:pPr>
              <w:spacing w:line="240" w:lineRule="auto"/>
              <w:jc w:val="left"/>
              <w:rPr>
                <w:rStyle w:val="Hyperlink"/>
                <w:rtl/>
              </w:rPr>
            </w:pPr>
            <w:hyperlink w:anchor="Seif2" w:tooltip="פרשנות" w:history="1">
              <w:r w:rsidRPr="00572CC6">
                <w:rPr>
                  <w:rStyle w:val="Hyperlink"/>
                </w:rPr>
                <w:t>Go</w:t>
              </w:r>
            </w:hyperlink>
          </w:p>
        </w:tc>
        <w:tc>
          <w:tcPr>
            <w:tcW w:w="850" w:type="dxa"/>
          </w:tcPr>
          <w:p w14:paraId="3F718A94" w14:textId="77777777" w:rsidR="00572CC6" w:rsidRPr="00572CC6" w:rsidRDefault="00572CC6" w:rsidP="00572C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2CC6" w:rsidRPr="00572CC6" w14:paraId="4E03FF02" w14:textId="77777777" w:rsidTr="00572CC6">
        <w:tblPrEx>
          <w:tblCellMar>
            <w:top w:w="0" w:type="dxa"/>
            <w:bottom w:w="0" w:type="dxa"/>
          </w:tblCellMar>
        </w:tblPrEx>
        <w:tc>
          <w:tcPr>
            <w:tcW w:w="1247" w:type="dxa"/>
          </w:tcPr>
          <w:p w14:paraId="40B2F62E" w14:textId="77777777" w:rsidR="00572CC6" w:rsidRPr="00572CC6" w:rsidRDefault="00572CC6" w:rsidP="00572CC6">
            <w:pPr>
              <w:spacing w:line="240" w:lineRule="auto"/>
              <w:jc w:val="left"/>
              <w:rPr>
                <w:rFonts w:cs="Frankruhel"/>
                <w:sz w:val="24"/>
                <w:rtl/>
              </w:rPr>
            </w:pPr>
            <w:r>
              <w:rPr>
                <w:sz w:val="24"/>
                <w:rtl/>
              </w:rPr>
              <w:t xml:space="preserve">סעיף 3 </w:t>
            </w:r>
          </w:p>
        </w:tc>
        <w:tc>
          <w:tcPr>
            <w:tcW w:w="5669" w:type="dxa"/>
          </w:tcPr>
          <w:p w14:paraId="2C9B228C" w14:textId="77777777" w:rsidR="00572CC6" w:rsidRPr="00572CC6" w:rsidRDefault="00572CC6" w:rsidP="00572CC6">
            <w:pPr>
              <w:spacing w:line="240" w:lineRule="auto"/>
              <w:jc w:val="left"/>
              <w:rPr>
                <w:rFonts w:cs="Frankruhel"/>
                <w:sz w:val="24"/>
                <w:rtl/>
              </w:rPr>
            </w:pPr>
            <w:r>
              <w:rPr>
                <w:sz w:val="24"/>
                <w:rtl/>
              </w:rPr>
              <w:t>העסקת עובד רשות ציבורית שהועסק בוועדת בחירות לשם קיום הבחירות לכנסת העשרים ואחת בוועדת בחירות לשם קיום הבחירות לכנסת העשרים ושתיים</w:t>
            </w:r>
          </w:p>
        </w:tc>
        <w:tc>
          <w:tcPr>
            <w:tcW w:w="567" w:type="dxa"/>
          </w:tcPr>
          <w:p w14:paraId="56892B8D" w14:textId="77777777" w:rsidR="00572CC6" w:rsidRPr="00572CC6" w:rsidRDefault="00572CC6" w:rsidP="00572CC6">
            <w:pPr>
              <w:spacing w:line="240" w:lineRule="auto"/>
              <w:jc w:val="left"/>
              <w:rPr>
                <w:rStyle w:val="Hyperlink"/>
                <w:rtl/>
              </w:rPr>
            </w:pPr>
            <w:hyperlink w:anchor="Seif3" w:tooltip="העסקת עובד רשות ציבורית שהועסק בוועדת בחירות לשם קיום הבחירות לכנסת העשרים ואחת בוועדת בחירות לשם קיום הבחירות לכנסת העשרים ושתיים" w:history="1">
              <w:r w:rsidRPr="00572CC6">
                <w:rPr>
                  <w:rStyle w:val="Hyperlink"/>
                </w:rPr>
                <w:t>Go</w:t>
              </w:r>
            </w:hyperlink>
          </w:p>
        </w:tc>
        <w:tc>
          <w:tcPr>
            <w:tcW w:w="850" w:type="dxa"/>
          </w:tcPr>
          <w:p w14:paraId="6758A021" w14:textId="77777777" w:rsidR="00572CC6" w:rsidRPr="00572CC6" w:rsidRDefault="00572CC6" w:rsidP="00572C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2CC6" w:rsidRPr="00572CC6" w14:paraId="7C87E051" w14:textId="77777777" w:rsidTr="00572CC6">
        <w:tblPrEx>
          <w:tblCellMar>
            <w:top w:w="0" w:type="dxa"/>
            <w:bottom w:w="0" w:type="dxa"/>
          </w:tblCellMar>
        </w:tblPrEx>
        <w:tc>
          <w:tcPr>
            <w:tcW w:w="1247" w:type="dxa"/>
          </w:tcPr>
          <w:p w14:paraId="0A5AD495" w14:textId="77777777" w:rsidR="00572CC6" w:rsidRPr="00572CC6" w:rsidRDefault="00572CC6" w:rsidP="00572CC6">
            <w:pPr>
              <w:spacing w:line="240" w:lineRule="auto"/>
              <w:jc w:val="left"/>
              <w:rPr>
                <w:rFonts w:cs="Frankruhel"/>
                <w:sz w:val="24"/>
                <w:rtl/>
              </w:rPr>
            </w:pPr>
            <w:r>
              <w:rPr>
                <w:sz w:val="24"/>
                <w:rtl/>
              </w:rPr>
              <w:t xml:space="preserve">סעיף 4 </w:t>
            </w:r>
          </w:p>
        </w:tc>
        <w:tc>
          <w:tcPr>
            <w:tcW w:w="5669" w:type="dxa"/>
          </w:tcPr>
          <w:p w14:paraId="599A1E56" w14:textId="77777777" w:rsidR="00572CC6" w:rsidRPr="00572CC6" w:rsidRDefault="00572CC6" w:rsidP="00572CC6">
            <w:pPr>
              <w:spacing w:line="240" w:lineRule="auto"/>
              <w:jc w:val="left"/>
              <w:rPr>
                <w:rFonts w:cs="Frankruhel"/>
                <w:sz w:val="24"/>
                <w:rtl/>
              </w:rPr>
            </w:pPr>
            <w:r>
              <w:rPr>
                <w:sz w:val="24"/>
                <w:rtl/>
              </w:rPr>
              <w:t>שכר עובדים בוועדת בחירות</w:t>
            </w:r>
          </w:p>
        </w:tc>
        <w:tc>
          <w:tcPr>
            <w:tcW w:w="567" w:type="dxa"/>
          </w:tcPr>
          <w:p w14:paraId="088AAAA7" w14:textId="77777777" w:rsidR="00572CC6" w:rsidRPr="00572CC6" w:rsidRDefault="00572CC6" w:rsidP="00572CC6">
            <w:pPr>
              <w:spacing w:line="240" w:lineRule="auto"/>
              <w:jc w:val="left"/>
              <w:rPr>
                <w:rStyle w:val="Hyperlink"/>
                <w:rtl/>
              </w:rPr>
            </w:pPr>
            <w:hyperlink w:anchor="Seif4" w:tooltip="שכר עובדים בוועדת בחירות" w:history="1">
              <w:r w:rsidRPr="00572CC6">
                <w:rPr>
                  <w:rStyle w:val="Hyperlink"/>
                </w:rPr>
                <w:t>Go</w:t>
              </w:r>
            </w:hyperlink>
          </w:p>
        </w:tc>
        <w:tc>
          <w:tcPr>
            <w:tcW w:w="850" w:type="dxa"/>
          </w:tcPr>
          <w:p w14:paraId="4AC1813D" w14:textId="77777777" w:rsidR="00572CC6" w:rsidRPr="00572CC6" w:rsidRDefault="00572CC6" w:rsidP="00572C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572CC6" w:rsidRPr="00572CC6" w14:paraId="5D9E9290" w14:textId="77777777" w:rsidTr="00572CC6">
        <w:tblPrEx>
          <w:tblCellMar>
            <w:top w:w="0" w:type="dxa"/>
            <w:bottom w:w="0" w:type="dxa"/>
          </w:tblCellMar>
        </w:tblPrEx>
        <w:tc>
          <w:tcPr>
            <w:tcW w:w="1247" w:type="dxa"/>
          </w:tcPr>
          <w:p w14:paraId="03B5777E" w14:textId="77777777" w:rsidR="00572CC6" w:rsidRPr="00572CC6" w:rsidRDefault="00572CC6" w:rsidP="00572CC6">
            <w:pPr>
              <w:spacing w:line="240" w:lineRule="auto"/>
              <w:jc w:val="left"/>
              <w:rPr>
                <w:rFonts w:cs="Frankruhel"/>
                <w:sz w:val="24"/>
                <w:rtl/>
              </w:rPr>
            </w:pPr>
            <w:r>
              <w:rPr>
                <w:sz w:val="24"/>
                <w:rtl/>
              </w:rPr>
              <w:t xml:space="preserve">סעיף 5 </w:t>
            </w:r>
          </w:p>
        </w:tc>
        <w:tc>
          <w:tcPr>
            <w:tcW w:w="5669" w:type="dxa"/>
          </w:tcPr>
          <w:p w14:paraId="63B5DE2F" w14:textId="77777777" w:rsidR="00572CC6" w:rsidRPr="00572CC6" w:rsidRDefault="00572CC6" w:rsidP="00572CC6">
            <w:pPr>
              <w:spacing w:line="240" w:lineRule="auto"/>
              <w:jc w:val="left"/>
              <w:rPr>
                <w:rFonts w:cs="Frankruhel"/>
                <w:sz w:val="24"/>
                <w:rtl/>
              </w:rPr>
            </w:pPr>
            <w:r>
              <w:rPr>
                <w:sz w:val="24"/>
                <w:rtl/>
              </w:rPr>
              <w:t>תקציב ועדת הבחירות המרכזית</w:t>
            </w:r>
          </w:p>
        </w:tc>
        <w:tc>
          <w:tcPr>
            <w:tcW w:w="567" w:type="dxa"/>
          </w:tcPr>
          <w:p w14:paraId="5319A0DE" w14:textId="77777777" w:rsidR="00572CC6" w:rsidRPr="00572CC6" w:rsidRDefault="00572CC6" w:rsidP="00572CC6">
            <w:pPr>
              <w:spacing w:line="240" w:lineRule="auto"/>
              <w:jc w:val="left"/>
              <w:rPr>
                <w:rStyle w:val="Hyperlink"/>
                <w:rtl/>
              </w:rPr>
            </w:pPr>
            <w:hyperlink w:anchor="Seif5" w:tooltip="תקציב ועדת הבחירות המרכזית" w:history="1">
              <w:r w:rsidRPr="00572CC6">
                <w:rPr>
                  <w:rStyle w:val="Hyperlink"/>
                </w:rPr>
                <w:t>Go</w:t>
              </w:r>
            </w:hyperlink>
          </w:p>
        </w:tc>
        <w:tc>
          <w:tcPr>
            <w:tcW w:w="850" w:type="dxa"/>
          </w:tcPr>
          <w:p w14:paraId="193D3ECA" w14:textId="77777777" w:rsidR="00572CC6" w:rsidRPr="00572CC6" w:rsidRDefault="00572CC6" w:rsidP="00572C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2CC6" w:rsidRPr="00572CC6" w14:paraId="64D7B312" w14:textId="77777777" w:rsidTr="00572CC6">
        <w:tblPrEx>
          <w:tblCellMar>
            <w:top w:w="0" w:type="dxa"/>
            <w:bottom w:w="0" w:type="dxa"/>
          </w:tblCellMar>
        </w:tblPrEx>
        <w:tc>
          <w:tcPr>
            <w:tcW w:w="1247" w:type="dxa"/>
          </w:tcPr>
          <w:p w14:paraId="27698D95" w14:textId="77777777" w:rsidR="00572CC6" w:rsidRPr="00572CC6" w:rsidRDefault="00572CC6" w:rsidP="00572CC6">
            <w:pPr>
              <w:spacing w:line="240" w:lineRule="auto"/>
              <w:jc w:val="left"/>
              <w:rPr>
                <w:rFonts w:cs="Frankruhel"/>
                <w:sz w:val="24"/>
                <w:rtl/>
              </w:rPr>
            </w:pPr>
            <w:r>
              <w:rPr>
                <w:sz w:val="24"/>
                <w:rtl/>
              </w:rPr>
              <w:t xml:space="preserve">סעיף 6 </w:t>
            </w:r>
          </w:p>
        </w:tc>
        <w:tc>
          <w:tcPr>
            <w:tcW w:w="5669" w:type="dxa"/>
          </w:tcPr>
          <w:p w14:paraId="17695CDB" w14:textId="77777777" w:rsidR="00572CC6" w:rsidRPr="00572CC6" w:rsidRDefault="00572CC6" w:rsidP="00572CC6">
            <w:pPr>
              <w:spacing w:line="240" w:lineRule="auto"/>
              <w:jc w:val="left"/>
              <w:rPr>
                <w:rFonts w:cs="Frankruhel"/>
                <w:sz w:val="24"/>
                <w:rtl/>
              </w:rPr>
            </w:pPr>
            <w:r>
              <w:rPr>
                <w:sz w:val="24"/>
                <w:rtl/>
              </w:rPr>
              <w:t>הוראות לעניין מכרזים</w:t>
            </w:r>
          </w:p>
        </w:tc>
        <w:tc>
          <w:tcPr>
            <w:tcW w:w="567" w:type="dxa"/>
          </w:tcPr>
          <w:p w14:paraId="401BFB3A" w14:textId="77777777" w:rsidR="00572CC6" w:rsidRPr="00572CC6" w:rsidRDefault="00572CC6" w:rsidP="00572CC6">
            <w:pPr>
              <w:spacing w:line="240" w:lineRule="auto"/>
              <w:jc w:val="left"/>
              <w:rPr>
                <w:rStyle w:val="Hyperlink"/>
                <w:rtl/>
              </w:rPr>
            </w:pPr>
            <w:hyperlink w:anchor="Seif6" w:tooltip="הוראות לעניין מכרזים" w:history="1">
              <w:r w:rsidRPr="00572CC6">
                <w:rPr>
                  <w:rStyle w:val="Hyperlink"/>
                </w:rPr>
                <w:t>Go</w:t>
              </w:r>
            </w:hyperlink>
          </w:p>
        </w:tc>
        <w:tc>
          <w:tcPr>
            <w:tcW w:w="850" w:type="dxa"/>
          </w:tcPr>
          <w:p w14:paraId="0C81A65B" w14:textId="77777777" w:rsidR="00572CC6" w:rsidRPr="00572CC6" w:rsidRDefault="00572CC6" w:rsidP="00572C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572CC6" w:rsidRPr="00572CC6" w14:paraId="117097B0" w14:textId="77777777" w:rsidTr="00572CC6">
        <w:tblPrEx>
          <w:tblCellMar>
            <w:top w:w="0" w:type="dxa"/>
            <w:bottom w:w="0" w:type="dxa"/>
          </w:tblCellMar>
        </w:tblPrEx>
        <w:tc>
          <w:tcPr>
            <w:tcW w:w="1247" w:type="dxa"/>
          </w:tcPr>
          <w:p w14:paraId="41FD945A" w14:textId="77777777" w:rsidR="00572CC6" w:rsidRPr="00572CC6" w:rsidRDefault="00572CC6" w:rsidP="00572CC6">
            <w:pPr>
              <w:spacing w:line="240" w:lineRule="auto"/>
              <w:jc w:val="left"/>
              <w:rPr>
                <w:rFonts w:cs="Frankruhel"/>
                <w:sz w:val="24"/>
                <w:rtl/>
              </w:rPr>
            </w:pPr>
            <w:r>
              <w:rPr>
                <w:sz w:val="24"/>
                <w:rtl/>
              </w:rPr>
              <w:t xml:space="preserve">סעיף 7 </w:t>
            </w:r>
          </w:p>
        </w:tc>
        <w:tc>
          <w:tcPr>
            <w:tcW w:w="5669" w:type="dxa"/>
          </w:tcPr>
          <w:p w14:paraId="3831203B" w14:textId="77777777" w:rsidR="00572CC6" w:rsidRPr="00572CC6" w:rsidRDefault="00572CC6" w:rsidP="00572CC6">
            <w:pPr>
              <w:spacing w:line="240" w:lineRule="auto"/>
              <w:jc w:val="left"/>
              <w:rPr>
                <w:rFonts w:cs="Frankruhel"/>
                <w:sz w:val="24"/>
                <w:rtl/>
              </w:rPr>
            </w:pPr>
            <w:r>
              <w:rPr>
                <w:sz w:val="24"/>
                <w:rtl/>
              </w:rPr>
              <w:t>סדרי בחירות</w:t>
            </w:r>
          </w:p>
        </w:tc>
        <w:tc>
          <w:tcPr>
            <w:tcW w:w="567" w:type="dxa"/>
          </w:tcPr>
          <w:p w14:paraId="4FAE419D" w14:textId="77777777" w:rsidR="00572CC6" w:rsidRPr="00572CC6" w:rsidRDefault="00572CC6" w:rsidP="00572CC6">
            <w:pPr>
              <w:spacing w:line="240" w:lineRule="auto"/>
              <w:jc w:val="left"/>
              <w:rPr>
                <w:rStyle w:val="Hyperlink"/>
                <w:rtl/>
              </w:rPr>
            </w:pPr>
            <w:hyperlink w:anchor="Seif7" w:tooltip="סדרי בחירות" w:history="1">
              <w:r w:rsidRPr="00572CC6">
                <w:rPr>
                  <w:rStyle w:val="Hyperlink"/>
                </w:rPr>
                <w:t>Go</w:t>
              </w:r>
            </w:hyperlink>
          </w:p>
        </w:tc>
        <w:tc>
          <w:tcPr>
            <w:tcW w:w="850" w:type="dxa"/>
          </w:tcPr>
          <w:p w14:paraId="6B17F721" w14:textId="77777777" w:rsidR="00572CC6" w:rsidRPr="00572CC6" w:rsidRDefault="00572CC6" w:rsidP="00572CC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7780797" w14:textId="77777777" w:rsidR="009C17D8" w:rsidRDefault="009C17D8">
      <w:pPr>
        <w:pStyle w:val="big-header"/>
        <w:ind w:left="0" w:right="1134"/>
        <w:rPr>
          <w:rFonts w:cs="FrankRuehl"/>
          <w:sz w:val="32"/>
          <w:rtl/>
        </w:rPr>
      </w:pPr>
    </w:p>
    <w:p w14:paraId="42C7FEBA" w14:textId="77777777" w:rsidR="009C17D8" w:rsidRDefault="009C17D8" w:rsidP="00A86726">
      <w:pPr>
        <w:pStyle w:val="big-header"/>
        <w:ind w:left="0" w:right="1134"/>
        <w:rPr>
          <w:rFonts w:cs="FrankRuehl" w:hint="cs"/>
          <w:sz w:val="32"/>
          <w:rtl/>
        </w:rPr>
      </w:pPr>
      <w:r>
        <w:rPr>
          <w:rtl/>
        </w:rPr>
        <w:br w:type="page"/>
      </w:r>
      <w:r w:rsidR="0010321B">
        <w:rPr>
          <w:rFonts w:cs="FrankRuehl" w:hint="cs"/>
          <w:sz w:val="32"/>
          <w:rtl/>
        </w:rPr>
        <w:lastRenderedPageBreak/>
        <w:t>חוק הבחירות לכנסת העשרים ושתיים (הוראות מיוחדות לעניין ועדת הבחירות), תשע"ט-2019</w:t>
      </w:r>
      <w:r w:rsidR="0084412B">
        <w:rPr>
          <w:rStyle w:val="a6"/>
          <w:rFonts w:cs="FrankRuehl"/>
          <w:sz w:val="32"/>
          <w:rtl/>
        </w:rPr>
        <w:footnoteReference w:customMarkFollows="1" w:id="1"/>
        <w:t>*</w:t>
      </w:r>
    </w:p>
    <w:p w14:paraId="0D83FB5E" w14:textId="77777777" w:rsidR="009C17D8" w:rsidRDefault="009C17D8" w:rsidP="00416A0F">
      <w:pPr>
        <w:pStyle w:val="P00"/>
        <w:spacing w:before="72"/>
        <w:ind w:left="0" w:right="1134"/>
        <w:rPr>
          <w:rStyle w:val="default"/>
          <w:rFonts w:cs="FrankRuehl"/>
          <w:rtl/>
        </w:rPr>
      </w:pPr>
      <w:bookmarkStart w:id="0" w:name="Seif1"/>
      <w:bookmarkEnd w:id="0"/>
      <w:r>
        <w:rPr>
          <w:lang w:val="he-IL"/>
        </w:rPr>
        <w:pict w14:anchorId="4B596140">
          <v:rect id="_x0000_s1026" style="position:absolute;left:0;text-align:left;margin-left:464.5pt;margin-top:8.05pt;width:75.05pt;height:13pt;z-index:251654656" o:allowincell="f" filled="f" stroked="f" strokecolor="lime" strokeweight=".25pt">
            <v:textbox inset="0,0,0,0">
              <w:txbxContent>
                <w:p w14:paraId="68E08194" w14:textId="77777777" w:rsidR="00954A27" w:rsidRDefault="0010321B">
                  <w:pPr>
                    <w:spacing w:line="160" w:lineRule="exact"/>
                    <w:jc w:val="lef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Miriam"/>
          <w:rtl/>
        </w:rPr>
        <w:tab/>
      </w:r>
      <w:r w:rsidR="0010321B">
        <w:rPr>
          <w:rStyle w:val="default"/>
          <w:rFonts w:cs="FrankRuehl" w:hint="cs"/>
          <w:rtl/>
        </w:rPr>
        <w:t>מטרתו של חוק זה לקבוע הוראות מיוחדות הדרושות לשם היערכות ועדת הבחירות המרכזית לקיום הבחירות לכנסת העשרים ושתיים, בשל המועד שנקבע לבחירות וסמיכות הזמנים הרבה בין מערכת הבחירות האמורה למערכת הבחירות לכנסת העשרים ואחת.</w:t>
      </w:r>
    </w:p>
    <w:p w14:paraId="1B4EF7CD" w14:textId="77777777" w:rsidR="00416A0F" w:rsidRDefault="00416A0F" w:rsidP="00416A0F">
      <w:pPr>
        <w:pStyle w:val="P00"/>
        <w:spacing w:before="72"/>
        <w:ind w:left="0" w:right="1134"/>
        <w:rPr>
          <w:rStyle w:val="default"/>
          <w:rFonts w:cs="FrankRuehl"/>
          <w:rtl/>
        </w:rPr>
      </w:pPr>
      <w:bookmarkStart w:id="1" w:name="Seif2"/>
      <w:bookmarkEnd w:id="1"/>
      <w:r>
        <w:rPr>
          <w:lang w:val="he-IL"/>
        </w:rPr>
        <w:pict w14:anchorId="3EF4A732">
          <v:rect id="_x0000_s1080" style="position:absolute;left:0;text-align:left;margin-left:464.5pt;margin-top:8.05pt;width:75.05pt;height:14.6pt;z-index:251655680" o:allowincell="f" filled="f" stroked="f" strokecolor="lime" strokeweight=".25pt">
            <v:textbox inset="0,0,0,0">
              <w:txbxContent>
                <w:p w14:paraId="01F0CE65" w14:textId="77777777" w:rsidR="00954A27" w:rsidRDefault="0010321B" w:rsidP="00416A0F">
                  <w:pPr>
                    <w:spacing w:line="160" w:lineRule="exact"/>
                    <w:jc w:val="left"/>
                    <w:rPr>
                      <w:rFonts w:cs="Miriam" w:hint="cs"/>
                      <w:noProof/>
                      <w:sz w:val="18"/>
                      <w:szCs w:val="18"/>
                      <w:rtl/>
                    </w:rPr>
                  </w:pPr>
                  <w:r>
                    <w:rPr>
                      <w:rFonts w:cs="Miriam" w:hint="cs"/>
                      <w:sz w:val="18"/>
                      <w:szCs w:val="18"/>
                      <w:rtl/>
                    </w:rPr>
                    <w:t>פרשנות</w:t>
                  </w:r>
                </w:p>
              </w:txbxContent>
            </v:textbox>
            <w10:anchorlock/>
          </v:rect>
        </w:pict>
      </w:r>
      <w:r>
        <w:rPr>
          <w:rStyle w:val="big-number"/>
          <w:rFonts w:cs="Miriam" w:hint="cs"/>
          <w:rtl/>
        </w:rPr>
        <w:t>2</w:t>
      </w:r>
      <w:r>
        <w:rPr>
          <w:rStyle w:val="big-number"/>
          <w:rFonts w:cs="Miriam"/>
          <w:rtl/>
        </w:rPr>
        <w:t>.</w:t>
      </w:r>
      <w:r>
        <w:rPr>
          <w:rStyle w:val="big-number"/>
          <w:rFonts w:cs="Miriam"/>
          <w:rtl/>
        </w:rPr>
        <w:tab/>
      </w:r>
      <w:r w:rsidR="0010321B">
        <w:rPr>
          <w:rStyle w:val="default"/>
          <w:rFonts w:cs="FrankRuehl" w:hint="cs"/>
          <w:rtl/>
        </w:rPr>
        <w:t xml:space="preserve">למונחים בחוק זה תהיה המשמעות שיש להם בחוק הבחירות לכנסת [נוסח משולב], התשכ"ט-1969 (להלן </w:t>
      </w:r>
      <w:r w:rsidR="0010321B">
        <w:rPr>
          <w:rStyle w:val="default"/>
          <w:rFonts w:cs="FrankRuehl"/>
          <w:rtl/>
        </w:rPr>
        <w:t>–</w:t>
      </w:r>
      <w:r w:rsidR="0010321B">
        <w:rPr>
          <w:rStyle w:val="default"/>
          <w:rFonts w:cs="FrankRuehl" w:hint="cs"/>
          <w:rtl/>
        </w:rPr>
        <w:t xml:space="preserve"> חוק הבחירות)</w:t>
      </w:r>
      <w:r>
        <w:rPr>
          <w:rStyle w:val="default"/>
          <w:rFonts w:cs="FrankRuehl" w:hint="cs"/>
          <w:rtl/>
        </w:rPr>
        <w:t>.</w:t>
      </w:r>
    </w:p>
    <w:p w14:paraId="3F854538" w14:textId="77777777" w:rsidR="00416A0F" w:rsidRDefault="00416A0F" w:rsidP="00BF1307">
      <w:pPr>
        <w:pStyle w:val="P00"/>
        <w:spacing w:before="72"/>
        <w:ind w:left="0" w:right="1134"/>
        <w:rPr>
          <w:rStyle w:val="default"/>
          <w:rFonts w:cs="FrankRuehl"/>
          <w:rtl/>
        </w:rPr>
      </w:pPr>
      <w:bookmarkStart w:id="2" w:name="Seif3"/>
      <w:bookmarkEnd w:id="2"/>
      <w:r>
        <w:rPr>
          <w:lang w:val="he-IL"/>
        </w:rPr>
        <w:pict w14:anchorId="4ABF05ED">
          <v:rect id="_x0000_s1081" style="position:absolute;left:0;text-align:left;margin-left:464.5pt;margin-top:8.05pt;width:75.05pt;height:68.05pt;z-index:251656704" o:allowincell="f" filled="f" stroked="f" strokecolor="lime" strokeweight=".25pt">
            <v:textbox inset="0,0,0,0">
              <w:txbxContent>
                <w:p w14:paraId="18496635" w14:textId="77777777" w:rsidR="00954A27" w:rsidRDefault="0010321B" w:rsidP="00416A0F">
                  <w:pPr>
                    <w:spacing w:line="160" w:lineRule="exact"/>
                    <w:jc w:val="left"/>
                    <w:rPr>
                      <w:rFonts w:cs="Miriam" w:hint="cs"/>
                      <w:noProof/>
                      <w:sz w:val="18"/>
                      <w:szCs w:val="18"/>
                      <w:rtl/>
                    </w:rPr>
                  </w:pPr>
                  <w:r>
                    <w:rPr>
                      <w:rFonts w:cs="Miriam" w:hint="cs"/>
                      <w:sz w:val="18"/>
                      <w:szCs w:val="18"/>
                      <w:rtl/>
                    </w:rPr>
                    <w:t xml:space="preserve">העסקת עובד רשות ציבורית שהועסק בוועדת בחירות לשם קיום הבחירות לכנסת העשרים ואחת בוועדת </w:t>
                  </w:r>
                  <w:r>
                    <w:rPr>
                      <w:rFonts w:cs="Miriam" w:hint="cs"/>
                      <w:noProof/>
                      <w:sz w:val="18"/>
                      <w:szCs w:val="18"/>
                      <w:rtl/>
                    </w:rPr>
                    <w:t>בחירות לשם קיום הבחירות לכנסת העשרים ושתיים</w:t>
                  </w:r>
                </w:p>
              </w:txbxContent>
            </v:textbox>
            <w10:anchorlock/>
          </v:rect>
        </w:pict>
      </w:r>
      <w:r w:rsidR="00BF1307">
        <w:rPr>
          <w:rStyle w:val="big-number"/>
          <w:rFonts w:cs="Miriam" w:hint="cs"/>
          <w:rtl/>
        </w:rPr>
        <w:t>3</w:t>
      </w:r>
      <w:r>
        <w:rPr>
          <w:rStyle w:val="big-number"/>
          <w:rFonts w:cs="Miriam"/>
          <w:rtl/>
        </w:rPr>
        <w:t>.</w:t>
      </w:r>
      <w:r>
        <w:rPr>
          <w:rStyle w:val="big-number"/>
          <w:rFonts w:cs="Miriam"/>
          <w:rtl/>
        </w:rPr>
        <w:tab/>
      </w:r>
      <w:r w:rsidR="00BF1307">
        <w:rPr>
          <w:rStyle w:val="default"/>
          <w:rFonts w:cs="FrankRuehl" w:hint="cs"/>
          <w:rtl/>
        </w:rPr>
        <w:t>(א)</w:t>
      </w:r>
      <w:r w:rsidR="00BF1307">
        <w:rPr>
          <w:rStyle w:val="default"/>
          <w:rFonts w:cs="FrankRuehl" w:hint="cs"/>
          <w:rtl/>
        </w:rPr>
        <w:tab/>
      </w:r>
      <w:r w:rsidR="0010321B">
        <w:rPr>
          <w:rStyle w:val="default"/>
          <w:rFonts w:cs="FrankRuehl" w:hint="cs"/>
          <w:rtl/>
        </w:rPr>
        <w:t xml:space="preserve">הועסק עובד רשות ציבורית בוועדת בחירות לשם קיום הבחירות לכנסת העשרים ואחת וביקש המנהל הכללי של ועדת הבחירות המרכזית, או מי שהוא הסמיך לכך, להעסיקו באותה ועדת בחירות לשם קיום הבחירות לכנסת העשרים ושתיים, והעובד מסכים לכך, לא תמנע הרשות הציבורית, במישרין או בעקיפין, את העסקתו כאמור; בסעיף זה, "רשות ציבורית" </w:t>
      </w:r>
      <w:r w:rsidR="0010321B">
        <w:rPr>
          <w:rStyle w:val="default"/>
          <w:rFonts w:cs="FrankRuehl"/>
          <w:rtl/>
        </w:rPr>
        <w:t>–</w:t>
      </w:r>
      <w:r w:rsidR="0010321B">
        <w:rPr>
          <w:rStyle w:val="default"/>
          <w:rFonts w:cs="FrankRuehl" w:hint="cs"/>
          <w:rtl/>
        </w:rPr>
        <w:t xml:space="preserve"> כמפורט להלן, ו"ראש הרשות הציבורית" </w:t>
      </w:r>
      <w:r w:rsidR="0010321B">
        <w:rPr>
          <w:rStyle w:val="default"/>
          <w:rFonts w:cs="FrankRuehl"/>
          <w:rtl/>
        </w:rPr>
        <w:t>–</w:t>
      </w:r>
      <w:r w:rsidR="0010321B">
        <w:rPr>
          <w:rStyle w:val="default"/>
          <w:rFonts w:cs="FrankRuehl" w:hint="cs"/>
          <w:rtl/>
        </w:rPr>
        <w:t xml:space="preserve"> הגורם המנוי לצד אותה רשות ציבורית:</w:t>
      </w:r>
    </w:p>
    <w:p w14:paraId="76BD55B3" w14:textId="77777777" w:rsidR="0010321B" w:rsidRDefault="0010321B" w:rsidP="00C97F9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C97F98">
        <w:rPr>
          <w:rStyle w:val="default"/>
          <w:rFonts w:cs="FrankRuehl" w:hint="cs"/>
          <w:rtl/>
        </w:rPr>
        <w:t xml:space="preserve">הממשלה ומשרדי הממשלה, לרבות יחידותיהם ויחידות הסמך שלהם </w:t>
      </w:r>
      <w:r w:rsidR="00C97F98">
        <w:rPr>
          <w:rStyle w:val="default"/>
          <w:rFonts w:cs="FrankRuehl"/>
          <w:rtl/>
        </w:rPr>
        <w:t>–</w:t>
      </w:r>
      <w:r w:rsidR="00C97F98">
        <w:rPr>
          <w:rStyle w:val="default"/>
          <w:rFonts w:cs="FrankRuehl" w:hint="cs"/>
          <w:rtl/>
        </w:rPr>
        <w:t xml:space="preserve"> נציב שירות המדינה או מי שהוא הסמיך לכך מקרב עובדי הנציבות;</w:t>
      </w:r>
    </w:p>
    <w:p w14:paraId="588DA47E" w14:textId="77777777" w:rsidR="00C97F98" w:rsidRDefault="00C97F98" w:rsidP="00C97F9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לשכת נשיא המדינה </w:t>
      </w:r>
      <w:r>
        <w:rPr>
          <w:rStyle w:val="default"/>
          <w:rFonts w:cs="FrankRuehl"/>
          <w:rtl/>
        </w:rPr>
        <w:t>–</w:t>
      </w:r>
      <w:r>
        <w:rPr>
          <w:rStyle w:val="default"/>
          <w:rFonts w:cs="FrankRuehl" w:hint="cs"/>
          <w:rtl/>
        </w:rPr>
        <w:t xml:space="preserve"> מנהל הלשכה;</w:t>
      </w:r>
    </w:p>
    <w:p w14:paraId="4CEC6857" w14:textId="77777777" w:rsidR="00C97F98" w:rsidRDefault="00C97F98" w:rsidP="00C97F9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הכנסת </w:t>
      </w:r>
      <w:r>
        <w:rPr>
          <w:rStyle w:val="default"/>
          <w:rFonts w:cs="FrankRuehl"/>
          <w:rtl/>
        </w:rPr>
        <w:t>–</w:t>
      </w:r>
      <w:r>
        <w:rPr>
          <w:rStyle w:val="default"/>
          <w:rFonts w:cs="FrankRuehl" w:hint="cs"/>
          <w:rtl/>
        </w:rPr>
        <w:t xml:space="preserve"> יושב ראש הכנסת או מי שהוא הסמיך לכך;</w:t>
      </w:r>
    </w:p>
    <w:p w14:paraId="246BA108" w14:textId="77777777" w:rsidR="00C97F98" w:rsidRDefault="00C97F98" w:rsidP="00C97F9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 xml:space="preserve">מבקר המדינה </w:t>
      </w:r>
      <w:r>
        <w:rPr>
          <w:rStyle w:val="default"/>
          <w:rFonts w:cs="FrankRuehl"/>
          <w:rtl/>
        </w:rPr>
        <w:t>–</w:t>
      </w:r>
      <w:r>
        <w:rPr>
          <w:rStyle w:val="default"/>
          <w:rFonts w:cs="FrankRuehl" w:hint="cs"/>
          <w:rtl/>
        </w:rPr>
        <w:t xml:space="preserve"> מבקר המדינה או מי שהוא הסמיך לכך;</w:t>
      </w:r>
    </w:p>
    <w:p w14:paraId="500D7810" w14:textId="77777777" w:rsidR="00C97F98" w:rsidRDefault="00C97F98" w:rsidP="00C97F9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 xml:space="preserve">רשות מקומית </w:t>
      </w:r>
      <w:r>
        <w:rPr>
          <w:rStyle w:val="default"/>
          <w:rFonts w:cs="FrankRuehl"/>
          <w:rtl/>
        </w:rPr>
        <w:t>–</w:t>
      </w:r>
      <w:r>
        <w:rPr>
          <w:rStyle w:val="default"/>
          <w:rFonts w:cs="FrankRuehl" w:hint="cs"/>
          <w:rtl/>
        </w:rPr>
        <w:t xml:space="preserve"> ראש הרשות המקומית או מי שהוא הסמיך לכך.</w:t>
      </w:r>
    </w:p>
    <w:p w14:paraId="2FC3D495" w14:textId="77777777" w:rsidR="00C97F98" w:rsidRDefault="00C97F98"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עובד רשות ציבורית יעדכן את הממונה עליו בדבר פנייה אליו מהמנהל הכללי של ועדת הבחירות המרכזית כאמור בסעיף קטן (א) מיד לאחר קבלתה, אם בכוונתו להיענות לבקשה.</w:t>
      </w:r>
    </w:p>
    <w:p w14:paraId="06BF18A5" w14:textId="77777777" w:rsidR="00C97F98" w:rsidRDefault="00C97F98"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על אף האמור בסעיף קטן (א) </w:t>
      </w:r>
      <w:r>
        <w:rPr>
          <w:rStyle w:val="default"/>
          <w:rFonts w:cs="FrankRuehl"/>
          <w:rtl/>
        </w:rPr>
        <w:t>–</w:t>
      </w:r>
    </w:p>
    <w:p w14:paraId="6C21347A" w14:textId="77777777" w:rsidR="00C97F98" w:rsidRDefault="00C97F98" w:rsidP="0005428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לעניין העסקה בוועדת בחירות אזורית </w:t>
      </w:r>
      <w:r>
        <w:rPr>
          <w:rStyle w:val="default"/>
          <w:rFonts w:cs="FrankRuehl"/>
          <w:rtl/>
        </w:rPr>
        <w:t>–</w:t>
      </w:r>
      <w:r>
        <w:rPr>
          <w:rStyle w:val="default"/>
          <w:rFonts w:cs="FrankRuehl" w:hint="cs"/>
          <w:rtl/>
        </w:rPr>
        <w:t xml:space="preserve"> יושב ראש ועדת הבחירות המרכזית רשאי להיענות לבקשת הרשות הציבורית שלא להעסיק עובד שלה כאמור באותו סעיף קטן, בין היתר בהתחשב ביכולתה של ועדת הבחירות האזורית לבצע את תפקידה כאמור בסעיף 1 ובצורכי הרשות הציבורית, ובכלל זה יכולתה לבצע משימות בהעדר העובד;</w:t>
      </w:r>
    </w:p>
    <w:p w14:paraId="50E7118C" w14:textId="77777777" w:rsidR="00C97F98" w:rsidRDefault="00C97F98" w:rsidP="0005428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05428B">
        <w:rPr>
          <w:rStyle w:val="default"/>
          <w:rFonts w:cs="FrankRuehl" w:hint="cs"/>
          <w:rtl/>
        </w:rPr>
        <w:t xml:space="preserve">לעניין העסקה בוועדת הבחירות המרכזית </w:t>
      </w:r>
      <w:r w:rsidR="0005428B">
        <w:rPr>
          <w:rStyle w:val="default"/>
          <w:rFonts w:cs="FrankRuehl"/>
          <w:rtl/>
        </w:rPr>
        <w:t>–</w:t>
      </w:r>
      <w:r w:rsidR="0005428B">
        <w:rPr>
          <w:rStyle w:val="default"/>
          <w:rFonts w:cs="FrankRuehl" w:hint="cs"/>
          <w:rtl/>
        </w:rPr>
        <w:t xml:space="preserve"> הודיע ראש הרשות הציבורית שבה מועסק העובד למנהל הכללי של ועדת הבחירות המרכזית כי בשל צורכי הרשות הציבורית, ובכלל זה יכולתה לבצע משימות בהעדר העובד, יש קושי ממשי בהיעדרות העובד מעבודתו ברשות הציבורית, ולא הגיעו ראש הרשות הציבורית והמנהל הכללי של ועדת הבחירות המרכזית להסכמה על העסקת העובד בוועדה </w:t>
      </w:r>
      <w:r w:rsidR="0005428B">
        <w:rPr>
          <w:rStyle w:val="default"/>
          <w:rFonts w:cs="FrankRuehl"/>
          <w:rtl/>
        </w:rPr>
        <w:t>–</w:t>
      </w:r>
      <w:r w:rsidR="0005428B">
        <w:rPr>
          <w:rStyle w:val="default"/>
          <w:rFonts w:cs="FrankRuehl" w:hint="cs"/>
          <w:rtl/>
        </w:rPr>
        <w:t xml:space="preserve"> לא יועסק העובד בוועדה.</w:t>
      </w:r>
    </w:p>
    <w:p w14:paraId="4B9910FC" w14:textId="77777777" w:rsidR="0005428B" w:rsidRDefault="0005428B" w:rsidP="0005428B">
      <w:pPr>
        <w:pStyle w:val="P00"/>
        <w:spacing w:before="72"/>
        <w:ind w:left="1021" w:right="1134" w:hanging="1021"/>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רשות ציבורית לא תפטר עובד כאמור בסעיף קטן (א) שהועסק על ידי ועדת בחירות לשם קיום הבחירות לכנסת העשרים ושתיים ולא תפגע בתנאי העסקתו בשל כך;</w:t>
      </w:r>
    </w:p>
    <w:p w14:paraId="4A2D6751" w14:textId="77777777" w:rsidR="0005428B" w:rsidRDefault="0005428B" w:rsidP="0005428B">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היעדרות מעבודה לרגל העסקה בוועדת בחירות לשם קיום הבחירות לכנסת העשרים ושתיים כאמור בסעיף קטן (א) לא תיראה כהפסקה ברציפות עבודתו ולא תפגע בזכויות התלויות בוותק של העובד אצל הרשות הציבורית.</w:t>
      </w:r>
    </w:p>
    <w:p w14:paraId="4AE16B1D" w14:textId="77777777" w:rsidR="00416A0F" w:rsidRDefault="00416A0F" w:rsidP="00BF1307">
      <w:pPr>
        <w:pStyle w:val="P00"/>
        <w:spacing w:before="72"/>
        <w:ind w:left="0" w:right="1134"/>
        <w:rPr>
          <w:rStyle w:val="default"/>
          <w:rFonts w:cs="FrankRuehl"/>
          <w:rtl/>
        </w:rPr>
      </w:pPr>
      <w:bookmarkStart w:id="3" w:name="Seif4"/>
      <w:bookmarkEnd w:id="3"/>
      <w:r>
        <w:rPr>
          <w:lang w:val="he-IL"/>
        </w:rPr>
        <w:pict w14:anchorId="1D5329FE">
          <v:rect id="_x0000_s1082" style="position:absolute;left:0;text-align:left;margin-left:464.5pt;margin-top:8.05pt;width:75.05pt;height:19.85pt;z-index:251657728" o:allowincell="f" filled="f" stroked="f" strokecolor="lime" strokeweight=".25pt">
            <v:textbox inset="0,0,0,0">
              <w:txbxContent>
                <w:p w14:paraId="623C7012" w14:textId="77777777" w:rsidR="00954A27" w:rsidRDefault="0005428B" w:rsidP="00416A0F">
                  <w:pPr>
                    <w:spacing w:line="160" w:lineRule="exact"/>
                    <w:jc w:val="left"/>
                    <w:rPr>
                      <w:rFonts w:cs="Miriam" w:hint="cs"/>
                      <w:noProof/>
                      <w:sz w:val="18"/>
                      <w:szCs w:val="18"/>
                      <w:rtl/>
                    </w:rPr>
                  </w:pPr>
                  <w:r>
                    <w:rPr>
                      <w:rFonts w:cs="Miriam" w:hint="cs"/>
                      <w:sz w:val="18"/>
                      <w:szCs w:val="18"/>
                      <w:rtl/>
                    </w:rPr>
                    <w:t>שכר עובדים בוועדת בחירות</w:t>
                  </w:r>
                </w:p>
              </w:txbxContent>
            </v:textbox>
            <w10:anchorlock/>
          </v:rect>
        </w:pict>
      </w:r>
      <w:r w:rsidR="00BF1307">
        <w:rPr>
          <w:rStyle w:val="big-number"/>
          <w:rFonts w:cs="Miriam" w:hint="cs"/>
          <w:rtl/>
        </w:rPr>
        <w:t>4</w:t>
      </w:r>
      <w:r>
        <w:rPr>
          <w:rStyle w:val="big-number"/>
          <w:rFonts w:cs="Miriam"/>
          <w:rtl/>
        </w:rPr>
        <w:t>.</w:t>
      </w:r>
      <w:r>
        <w:rPr>
          <w:rStyle w:val="big-number"/>
          <w:rFonts w:cs="Miriam"/>
          <w:rtl/>
        </w:rPr>
        <w:tab/>
      </w:r>
      <w:r w:rsidR="0005428B">
        <w:rPr>
          <w:rStyle w:val="default"/>
          <w:rFonts w:cs="FrankRuehl" w:hint="cs"/>
          <w:rtl/>
        </w:rPr>
        <w:t>יושב ראש ועדת הבחירות המרכזית רשאי לקבוע כי שכר עובדי ועדת בחירות המועסקים לשם קיום הבחירות לכנסת העשרים ושתיים יהיה גבוה בשיעור שלא יעלה על 35% מהשכר שנקבע להעסקת עובדים לשם קיום הבחירות לכנסת העשרים ואחת, ובלבד ששיעור העלאת השכר יהיה אחיד לכלל העובדים</w:t>
      </w:r>
      <w:r w:rsidR="00BF1307">
        <w:rPr>
          <w:rStyle w:val="default"/>
          <w:rFonts w:cs="FrankRuehl" w:hint="cs"/>
          <w:rtl/>
        </w:rPr>
        <w:t>.</w:t>
      </w:r>
    </w:p>
    <w:p w14:paraId="44D70576" w14:textId="77777777" w:rsidR="00416A0F" w:rsidRDefault="00416A0F" w:rsidP="00BF1307">
      <w:pPr>
        <w:pStyle w:val="P00"/>
        <w:spacing w:before="72"/>
        <w:ind w:left="0" w:right="1134"/>
        <w:rPr>
          <w:rStyle w:val="default"/>
          <w:rFonts w:cs="FrankRuehl"/>
          <w:rtl/>
        </w:rPr>
      </w:pPr>
      <w:bookmarkStart w:id="4" w:name="Seif5"/>
      <w:bookmarkEnd w:id="4"/>
      <w:r>
        <w:rPr>
          <w:lang w:val="he-IL"/>
        </w:rPr>
        <w:lastRenderedPageBreak/>
        <w:pict w14:anchorId="1A7EC766">
          <v:rect id="_x0000_s1083" style="position:absolute;left:0;text-align:left;margin-left:464.5pt;margin-top:8.05pt;width:75.05pt;height:16.9pt;z-index:251658752" o:allowincell="f" filled="f" stroked="f" strokecolor="lime" strokeweight=".25pt">
            <v:textbox inset="0,0,0,0">
              <w:txbxContent>
                <w:p w14:paraId="1389CEEA" w14:textId="77777777" w:rsidR="00954A27" w:rsidRDefault="0005428B" w:rsidP="00416A0F">
                  <w:pPr>
                    <w:spacing w:line="160" w:lineRule="exact"/>
                    <w:jc w:val="left"/>
                    <w:rPr>
                      <w:rFonts w:cs="Miriam" w:hint="cs"/>
                      <w:noProof/>
                      <w:sz w:val="18"/>
                      <w:szCs w:val="18"/>
                      <w:rtl/>
                    </w:rPr>
                  </w:pPr>
                  <w:r>
                    <w:rPr>
                      <w:rFonts w:cs="Miriam" w:hint="cs"/>
                      <w:sz w:val="18"/>
                      <w:szCs w:val="18"/>
                      <w:rtl/>
                    </w:rPr>
                    <w:t>תקציב ועדת הבחירות המרכזית</w:t>
                  </w:r>
                </w:p>
              </w:txbxContent>
            </v:textbox>
            <w10:anchorlock/>
          </v:rect>
        </w:pict>
      </w:r>
      <w:r w:rsidR="00BF1307">
        <w:rPr>
          <w:rStyle w:val="big-number"/>
          <w:rFonts w:cs="Miriam" w:hint="cs"/>
          <w:rtl/>
        </w:rPr>
        <w:t>5</w:t>
      </w:r>
      <w:r>
        <w:rPr>
          <w:rStyle w:val="big-number"/>
          <w:rFonts w:cs="Miriam"/>
          <w:rtl/>
        </w:rPr>
        <w:t>.</w:t>
      </w:r>
      <w:r>
        <w:rPr>
          <w:rStyle w:val="big-number"/>
          <w:rFonts w:cs="Miriam"/>
          <w:rtl/>
        </w:rPr>
        <w:tab/>
      </w:r>
      <w:r w:rsidR="00BF1307">
        <w:rPr>
          <w:rStyle w:val="default"/>
          <w:rFonts w:cs="FrankRuehl" w:hint="cs"/>
          <w:rtl/>
        </w:rPr>
        <w:t>(א)</w:t>
      </w:r>
      <w:r w:rsidR="00BF1307">
        <w:rPr>
          <w:rStyle w:val="default"/>
          <w:rFonts w:cs="FrankRuehl" w:hint="cs"/>
          <w:rtl/>
        </w:rPr>
        <w:tab/>
        <w:t xml:space="preserve">על אף האמור בסעיף </w:t>
      </w:r>
      <w:r w:rsidR="0005428B">
        <w:rPr>
          <w:rStyle w:val="default"/>
          <w:rFonts w:cs="FrankRuehl" w:hint="cs"/>
          <w:rtl/>
        </w:rPr>
        <w:t>134 לחוק הבחירות, תקציב ועדת הבחירות המרכזית לבחירות לכנסת העשרים ושתיים יהיה שווה לתקציב ועדת הבחירות המרכזית לבחירות לכנסת העשרים ואחת לסעיפיו; אוצר המדינה יעמיד כספי תקציב זה לרשות יושב ראש ועדת הבחירות המרכזית, והוא יהיה ממונה על הוצאתם.</w:t>
      </w:r>
    </w:p>
    <w:p w14:paraId="07F9561D" w14:textId="77777777" w:rsidR="0005428B" w:rsidRDefault="0005428B" w:rsidP="00BF130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הצעה של ועדת הבחירות המרכזית לתוספת תקציב על התקציב האמור בסעיף קטן (א) יחולו הוראות סעיף 134 לחוק הבחירות.</w:t>
      </w:r>
    </w:p>
    <w:p w14:paraId="03694CA3" w14:textId="77777777" w:rsidR="00416A0F" w:rsidRDefault="00416A0F" w:rsidP="00691009">
      <w:pPr>
        <w:pStyle w:val="P00"/>
        <w:spacing w:before="72"/>
        <w:ind w:left="0" w:right="1134"/>
        <w:rPr>
          <w:rStyle w:val="default"/>
          <w:rFonts w:cs="FrankRuehl"/>
          <w:rtl/>
        </w:rPr>
      </w:pPr>
      <w:bookmarkStart w:id="5" w:name="Seif6"/>
      <w:bookmarkEnd w:id="5"/>
      <w:r>
        <w:rPr>
          <w:lang w:val="he-IL"/>
        </w:rPr>
        <w:pict w14:anchorId="0CB44A88">
          <v:rect id="_x0000_s1084" style="position:absolute;left:0;text-align:left;margin-left:464.5pt;margin-top:8.05pt;width:75.05pt;height:21.2pt;z-index:251659776" o:allowincell="f" filled="f" stroked="f" strokecolor="lime" strokeweight=".25pt">
            <v:textbox inset="0,0,0,0">
              <w:txbxContent>
                <w:p w14:paraId="5B94D94B" w14:textId="77777777" w:rsidR="00954A27" w:rsidRDefault="0005428B" w:rsidP="00416A0F">
                  <w:pPr>
                    <w:spacing w:line="160" w:lineRule="exact"/>
                    <w:jc w:val="left"/>
                    <w:rPr>
                      <w:rFonts w:cs="Miriam" w:hint="cs"/>
                      <w:noProof/>
                      <w:sz w:val="18"/>
                      <w:szCs w:val="18"/>
                      <w:rtl/>
                    </w:rPr>
                  </w:pPr>
                  <w:r>
                    <w:rPr>
                      <w:rFonts w:cs="Miriam" w:hint="cs"/>
                      <w:sz w:val="18"/>
                      <w:szCs w:val="18"/>
                      <w:rtl/>
                    </w:rPr>
                    <w:t>הוראות לעניין מכרזים</w:t>
                  </w:r>
                </w:p>
              </w:txbxContent>
            </v:textbox>
            <w10:anchorlock/>
          </v:rect>
        </w:pict>
      </w:r>
      <w:r w:rsidR="00691009">
        <w:rPr>
          <w:rStyle w:val="big-number"/>
          <w:rFonts w:cs="Miriam" w:hint="cs"/>
          <w:rtl/>
        </w:rPr>
        <w:t>6</w:t>
      </w:r>
      <w:r>
        <w:rPr>
          <w:rStyle w:val="big-number"/>
          <w:rFonts w:cs="Miriam"/>
          <w:rtl/>
        </w:rPr>
        <w:t>.</w:t>
      </w:r>
      <w:r>
        <w:rPr>
          <w:rStyle w:val="big-number"/>
          <w:rFonts w:cs="Miriam"/>
          <w:rtl/>
        </w:rPr>
        <w:tab/>
      </w:r>
      <w:r w:rsidR="00DD33DF">
        <w:rPr>
          <w:rStyle w:val="default"/>
          <w:rFonts w:cs="FrankRuehl" w:hint="cs"/>
          <w:rtl/>
        </w:rPr>
        <w:t xml:space="preserve">על אף האמור בהוראות לפי חוק חובת המכרזים, התשנ"ב-1992, לשם קיום הבחירות לכנסת העשרים ושתיים </w:t>
      </w:r>
      <w:r w:rsidR="00DD33DF">
        <w:rPr>
          <w:rStyle w:val="default"/>
          <w:rFonts w:cs="FrankRuehl"/>
          <w:rtl/>
        </w:rPr>
        <w:t>–</w:t>
      </w:r>
    </w:p>
    <w:p w14:paraId="79ADC23B" w14:textId="77777777" w:rsidR="00DD33DF" w:rsidRDefault="008711A2" w:rsidP="008711A2">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התקשרות ועדת הבחירות המרכזית בחוזה לביצוע עסקה בטובין או במקרקעין, לביצוע עבודה או לרכישת שירותים, אינה טעונה מכרז, אם היא התקשרות שווייה אינו עולה על 120,000 שקלים חדשים; ואולם בכל תקופה רצופה של שנים עשר חודשים לא תתקשר ועדת הבחירות המרכזית עם מתקשר מסוים בלא מכרז לפי פסקה זו בהתקשרויות בסכום כולל העולה על 200,000 שקלים חדשים, ובמניין זה יבואו גם התקשרויות שנכרתו בתקופה האמורה בהתקשרות המשך להתקשרות שנעשתה במקורה לפי פסקה זו;</w:t>
      </w:r>
    </w:p>
    <w:p w14:paraId="1A015A68" w14:textId="77777777" w:rsidR="008711A2" w:rsidRDefault="008711A2" w:rsidP="008711A2">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יושב ראש ועדת הבחירות המרכזית רשאי לקבוע הוראות החורגות מהוראות לפי החוק האמור לעניין מועדים ודרכי פרסום.</w:t>
      </w:r>
    </w:p>
    <w:p w14:paraId="40F5FCC1" w14:textId="77777777" w:rsidR="00416A0F" w:rsidRDefault="00416A0F" w:rsidP="00691009">
      <w:pPr>
        <w:pStyle w:val="P00"/>
        <w:spacing w:before="72"/>
        <w:ind w:left="0" w:right="1134"/>
        <w:rPr>
          <w:rStyle w:val="default"/>
          <w:rFonts w:cs="FrankRuehl"/>
          <w:rtl/>
        </w:rPr>
      </w:pPr>
      <w:bookmarkStart w:id="6" w:name="Seif7"/>
      <w:bookmarkEnd w:id="6"/>
      <w:r>
        <w:rPr>
          <w:lang w:val="he-IL"/>
        </w:rPr>
        <w:pict w14:anchorId="7B9BF8E7">
          <v:rect id="_x0000_s1085" style="position:absolute;left:0;text-align:left;margin-left:464.5pt;margin-top:8.05pt;width:75.05pt;height:13pt;z-index:251660800" o:allowincell="f" filled="f" stroked="f" strokecolor="lime" strokeweight=".25pt">
            <v:textbox inset="0,0,0,0">
              <w:txbxContent>
                <w:p w14:paraId="38A4414C" w14:textId="77777777" w:rsidR="00954A27" w:rsidRDefault="008711A2" w:rsidP="00416A0F">
                  <w:pPr>
                    <w:spacing w:line="160" w:lineRule="exact"/>
                    <w:jc w:val="left"/>
                    <w:rPr>
                      <w:rFonts w:cs="Miriam" w:hint="cs"/>
                      <w:noProof/>
                      <w:sz w:val="18"/>
                      <w:szCs w:val="18"/>
                      <w:rtl/>
                    </w:rPr>
                  </w:pPr>
                  <w:r>
                    <w:rPr>
                      <w:rFonts w:cs="Miriam" w:hint="cs"/>
                      <w:sz w:val="18"/>
                      <w:szCs w:val="18"/>
                      <w:rtl/>
                    </w:rPr>
                    <w:t>סדרי בחירות</w:t>
                  </w:r>
                </w:p>
              </w:txbxContent>
            </v:textbox>
            <w10:anchorlock/>
          </v:rect>
        </w:pict>
      </w:r>
      <w:r w:rsidR="00691009">
        <w:rPr>
          <w:rStyle w:val="big-number"/>
          <w:rFonts w:cs="Miriam" w:hint="cs"/>
          <w:rtl/>
        </w:rPr>
        <w:t>7</w:t>
      </w:r>
      <w:r>
        <w:rPr>
          <w:rStyle w:val="big-number"/>
          <w:rFonts w:cs="Miriam"/>
          <w:rtl/>
        </w:rPr>
        <w:t>.</w:t>
      </w:r>
      <w:r>
        <w:rPr>
          <w:rStyle w:val="big-number"/>
          <w:rFonts w:cs="Miriam"/>
          <w:rtl/>
        </w:rPr>
        <w:tab/>
      </w:r>
      <w:r w:rsidR="008711A2">
        <w:rPr>
          <w:rStyle w:val="default"/>
          <w:rFonts w:cs="FrankRuehl" w:hint="cs"/>
          <w:rtl/>
        </w:rPr>
        <w:t>לשם קיום הבחירות לכנסת העשרים ושתיים, בתקופה של 30 ימים שתחילתה 90 ימים שלפני יום הבחירות לכנסת העשרים ושתיים, יקראו את סעיף 145 לחוק הבחירות כך שבמקום סעיף קטן (ד) יבוא:</w:t>
      </w:r>
    </w:p>
    <w:p w14:paraId="37EE6210" w14:textId="77777777" w:rsidR="008711A2" w:rsidRDefault="008711A2" w:rsidP="008711A2">
      <w:pPr>
        <w:pStyle w:val="P00"/>
        <w:spacing w:before="72"/>
        <w:ind w:left="624" w:right="1134"/>
        <w:rPr>
          <w:rStyle w:val="default"/>
          <w:rFonts w:cs="FrankRuehl" w:hint="cs"/>
          <w:rtl/>
        </w:rPr>
      </w:pPr>
      <w:r>
        <w:rPr>
          <w:rStyle w:val="default"/>
          <w:rFonts w:cs="FrankRuehl" w:hint="cs"/>
          <w:rtl/>
        </w:rPr>
        <w:t>"(ד)</w:t>
      </w:r>
      <w:r>
        <w:rPr>
          <w:rStyle w:val="default"/>
          <w:rFonts w:cs="FrankRuehl"/>
          <w:rtl/>
        </w:rPr>
        <w:tab/>
      </w:r>
      <w:r>
        <w:rPr>
          <w:rStyle w:val="default"/>
          <w:rFonts w:cs="FrankRuehl" w:hint="cs"/>
          <w:rtl/>
        </w:rPr>
        <w:t>יושב ראש הוועדה המרכזית רשאי ליתן הוראות שעה בעניינים האמורים בסעיף קטן (א); הוראות לפי סעיף קטן זה יכולות להיות כלליות או לחול על אזורי בחירות או ועדות בחירות מסוימים; הן יפורסמו או יובאו לידיעת הנוגעים בהן כפי שיושב ראש הוועדה המרכזית ימצא לנכון; הן אינן טעונות פרסום ברשומות."</w:t>
      </w:r>
    </w:p>
    <w:p w14:paraId="4F34D382" w14:textId="77777777" w:rsidR="0010321B" w:rsidRDefault="0010321B">
      <w:pPr>
        <w:pStyle w:val="P00"/>
        <w:spacing w:before="72"/>
        <w:ind w:left="0" w:right="1134"/>
        <w:rPr>
          <w:rStyle w:val="default"/>
          <w:rFonts w:cs="FrankRuehl"/>
          <w:rtl/>
        </w:rPr>
      </w:pPr>
    </w:p>
    <w:p w14:paraId="38A2F7F2" w14:textId="77777777" w:rsidR="0084412B" w:rsidRDefault="0084412B">
      <w:pPr>
        <w:pStyle w:val="P00"/>
        <w:spacing w:before="72"/>
        <w:ind w:left="0" w:right="1134"/>
        <w:rPr>
          <w:rStyle w:val="default"/>
          <w:rFonts w:cs="FrankRuehl" w:hint="cs"/>
          <w:rtl/>
        </w:rPr>
      </w:pPr>
    </w:p>
    <w:p w14:paraId="5F0ED0F5" w14:textId="77777777" w:rsidR="008711A2" w:rsidRDefault="008711A2" w:rsidP="008711A2">
      <w:pPr>
        <w:pStyle w:val="sig-0"/>
        <w:tabs>
          <w:tab w:val="clear" w:pos="4820"/>
          <w:tab w:val="center" w:pos="1701"/>
          <w:tab w:val="center" w:pos="3969"/>
          <w:tab w:val="center" w:pos="6237"/>
        </w:tabs>
        <w:spacing w:before="72"/>
        <w:ind w:left="0" w:right="1134"/>
        <w:rPr>
          <w:rFonts w:cs="FrankRuehl" w:hint="cs"/>
          <w:sz w:val="26"/>
          <w:rtl/>
        </w:rPr>
      </w:pPr>
      <w:r>
        <w:rPr>
          <w:rFonts w:cs="FrankRuehl"/>
          <w:sz w:val="26"/>
          <w:rtl/>
        </w:rPr>
        <w:tab/>
      </w:r>
      <w:r>
        <w:rPr>
          <w:rFonts w:cs="FrankRuehl" w:hint="cs"/>
          <w:sz w:val="26"/>
          <w:rtl/>
        </w:rPr>
        <w:tab/>
        <w:t>בנימין נתניהו</w:t>
      </w:r>
    </w:p>
    <w:p w14:paraId="5673433C" w14:textId="77777777" w:rsidR="008711A2" w:rsidRDefault="008711A2" w:rsidP="008711A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r>
      <w:r>
        <w:rPr>
          <w:rFonts w:cs="FrankRuehl" w:hint="cs"/>
          <w:sz w:val="22"/>
          <w:rtl/>
        </w:rPr>
        <w:tab/>
        <w:t xml:space="preserve">ראש הממשלה </w:t>
      </w:r>
    </w:p>
    <w:p w14:paraId="1EE734C8" w14:textId="77777777" w:rsidR="007C05C4" w:rsidRDefault="00D006DB" w:rsidP="008711A2">
      <w:pPr>
        <w:pStyle w:val="sig-0"/>
        <w:tabs>
          <w:tab w:val="clear" w:pos="4820"/>
          <w:tab w:val="center" w:pos="1701"/>
          <w:tab w:val="center" w:pos="3969"/>
          <w:tab w:val="center" w:pos="6237"/>
        </w:tabs>
        <w:spacing w:before="72"/>
        <w:ind w:left="0" w:right="1134"/>
        <w:rPr>
          <w:rFonts w:cs="FrankRuehl" w:hint="cs"/>
          <w:sz w:val="26"/>
          <w:rtl/>
        </w:rPr>
      </w:pPr>
      <w:r>
        <w:rPr>
          <w:rFonts w:cs="FrankRuehl" w:hint="cs"/>
          <w:sz w:val="26"/>
          <w:rtl/>
        </w:rPr>
        <w:tab/>
      </w:r>
      <w:r w:rsidR="008711A2">
        <w:rPr>
          <w:rFonts w:cs="FrankRuehl" w:hint="cs"/>
          <w:sz w:val="26"/>
          <w:rtl/>
        </w:rPr>
        <w:t>ראובן ריבלין</w:t>
      </w:r>
      <w:r w:rsidR="008711A2">
        <w:rPr>
          <w:rFonts w:cs="FrankRuehl"/>
          <w:sz w:val="26"/>
          <w:rtl/>
        </w:rPr>
        <w:tab/>
      </w:r>
      <w:r w:rsidR="008711A2">
        <w:rPr>
          <w:rFonts w:cs="FrankRuehl"/>
          <w:sz w:val="26"/>
          <w:rtl/>
        </w:rPr>
        <w:tab/>
      </w:r>
      <w:r w:rsidR="008711A2">
        <w:rPr>
          <w:rFonts w:cs="FrankRuehl" w:hint="cs"/>
          <w:sz w:val="26"/>
          <w:rtl/>
        </w:rPr>
        <w:t>יולי יואל אדלשטיין</w:t>
      </w:r>
    </w:p>
    <w:p w14:paraId="26E0AA49" w14:textId="77777777" w:rsidR="007C05C4" w:rsidRDefault="008A7C1C" w:rsidP="008711A2">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hint="cs"/>
          <w:sz w:val="22"/>
          <w:rtl/>
        </w:rPr>
        <w:tab/>
      </w:r>
      <w:r w:rsidR="008711A2">
        <w:rPr>
          <w:rFonts w:cs="FrankRuehl" w:hint="cs"/>
          <w:sz w:val="22"/>
          <w:rtl/>
        </w:rPr>
        <w:t>נשיא המדינה</w:t>
      </w:r>
      <w:r w:rsidR="008711A2">
        <w:rPr>
          <w:rFonts w:cs="FrankRuehl"/>
          <w:sz w:val="22"/>
          <w:rtl/>
        </w:rPr>
        <w:tab/>
      </w:r>
      <w:r w:rsidR="008711A2">
        <w:rPr>
          <w:rFonts w:cs="FrankRuehl"/>
          <w:sz w:val="22"/>
          <w:rtl/>
        </w:rPr>
        <w:tab/>
      </w:r>
      <w:r w:rsidR="008711A2">
        <w:rPr>
          <w:rFonts w:cs="FrankRuehl" w:hint="cs"/>
          <w:sz w:val="22"/>
          <w:rtl/>
        </w:rPr>
        <w:t>יושב ראש הכנסת</w:t>
      </w:r>
    </w:p>
    <w:p w14:paraId="13F16CE4" w14:textId="77777777" w:rsidR="0010321B" w:rsidRPr="0084412B" w:rsidRDefault="0010321B" w:rsidP="0084412B">
      <w:pPr>
        <w:pStyle w:val="P00"/>
        <w:spacing w:before="72"/>
        <w:ind w:left="0" w:right="1134"/>
        <w:rPr>
          <w:rStyle w:val="default"/>
          <w:rFonts w:cs="FrankRuehl" w:hint="cs"/>
          <w:rtl/>
        </w:rPr>
      </w:pPr>
    </w:p>
    <w:p w14:paraId="2FEB2D69" w14:textId="77777777" w:rsidR="0084412B" w:rsidRPr="0084412B" w:rsidRDefault="0084412B" w:rsidP="0084412B">
      <w:pPr>
        <w:pStyle w:val="P00"/>
        <w:spacing w:before="72"/>
        <w:ind w:left="0" w:right="1134"/>
        <w:rPr>
          <w:rStyle w:val="default"/>
          <w:rFonts w:cs="FrankRuehl"/>
          <w:rtl/>
        </w:rPr>
      </w:pPr>
    </w:p>
    <w:p w14:paraId="6C39F307" w14:textId="77777777" w:rsidR="009C17D8" w:rsidRPr="0084412B" w:rsidRDefault="009C17D8" w:rsidP="0084412B">
      <w:pPr>
        <w:pStyle w:val="P00"/>
        <w:spacing w:before="72"/>
        <w:ind w:left="0" w:right="1134"/>
        <w:rPr>
          <w:rStyle w:val="default"/>
          <w:rFonts w:cs="FrankRuehl"/>
          <w:rtl/>
        </w:rPr>
      </w:pPr>
      <w:bookmarkStart w:id="7" w:name="LawPartEnd"/>
    </w:p>
    <w:bookmarkEnd w:id="7"/>
    <w:p w14:paraId="062D443D" w14:textId="77777777" w:rsidR="00572CC6" w:rsidRDefault="00572CC6" w:rsidP="0084412B">
      <w:pPr>
        <w:pStyle w:val="P00"/>
        <w:spacing w:before="72"/>
        <w:ind w:left="0" w:right="1134"/>
        <w:rPr>
          <w:rStyle w:val="default"/>
          <w:rFonts w:cs="FrankRuehl"/>
          <w:rtl/>
        </w:rPr>
      </w:pPr>
    </w:p>
    <w:p w14:paraId="119F92D5" w14:textId="77777777" w:rsidR="00572CC6" w:rsidRDefault="00572CC6" w:rsidP="0084412B">
      <w:pPr>
        <w:pStyle w:val="P00"/>
        <w:spacing w:before="72"/>
        <w:ind w:left="0" w:right="1134"/>
        <w:rPr>
          <w:rStyle w:val="default"/>
          <w:rFonts w:cs="FrankRuehl"/>
          <w:rtl/>
        </w:rPr>
      </w:pPr>
    </w:p>
    <w:p w14:paraId="31D0B179" w14:textId="77777777" w:rsidR="00572CC6" w:rsidRDefault="00572CC6" w:rsidP="00572CC6">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E353C5C" w14:textId="77777777" w:rsidR="00AE46D3" w:rsidRPr="00572CC6" w:rsidRDefault="00AE46D3" w:rsidP="00572CC6">
      <w:pPr>
        <w:pStyle w:val="P00"/>
        <w:spacing w:before="72"/>
        <w:ind w:left="0" w:right="1134"/>
        <w:jc w:val="center"/>
        <w:rPr>
          <w:rStyle w:val="default"/>
          <w:rFonts w:cs="David"/>
          <w:color w:val="0000FF"/>
          <w:szCs w:val="24"/>
          <w:u w:val="single"/>
          <w:rtl/>
        </w:rPr>
      </w:pPr>
    </w:p>
    <w:sectPr w:rsidR="00AE46D3" w:rsidRPr="00572CC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EDAE9" w14:textId="77777777" w:rsidR="00AB4F17" w:rsidRDefault="00AB4F17">
      <w:pPr>
        <w:spacing w:line="240" w:lineRule="auto"/>
      </w:pPr>
      <w:r>
        <w:separator/>
      </w:r>
    </w:p>
  </w:endnote>
  <w:endnote w:type="continuationSeparator" w:id="0">
    <w:p w14:paraId="74F8ABC6" w14:textId="77777777" w:rsidR="00AB4F17" w:rsidRDefault="00AB4F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E3891" w14:textId="77777777"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10CD810" w14:textId="77777777"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C998EE" w14:textId="77777777"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F72D4" w14:textId="77777777" w:rsidR="00954A27" w:rsidRDefault="00954A2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72CC6">
      <w:rPr>
        <w:rFonts w:hAnsi="FrankRuehl" w:cs="FrankRuehl"/>
        <w:noProof/>
        <w:sz w:val="24"/>
        <w:szCs w:val="24"/>
        <w:rtl/>
      </w:rPr>
      <w:t>3</w:t>
    </w:r>
    <w:r>
      <w:rPr>
        <w:rFonts w:hAnsi="FrankRuehl" w:cs="FrankRuehl"/>
        <w:sz w:val="24"/>
        <w:szCs w:val="24"/>
        <w:rtl/>
      </w:rPr>
      <w:fldChar w:fldCharType="end"/>
    </w:r>
  </w:p>
  <w:p w14:paraId="0004D6BB" w14:textId="77777777" w:rsidR="00954A27" w:rsidRDefault="00954A2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AE81C0" w14:textId="77777777" w:rsidR="00954A27" w:rsidRDefault="00954A2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E46D3">
      <w:rPr>
        <w:rFonts w:cs="TopType Jerushalmi"/>
        <w:noProof/>
        <w:color w:val="000000"/>
        <w:sz w:val="14"/>
        <w:szCs w:val="14"/>
      </w:rPr>
      <w:t>Z:\000-law\yael\2015\2015-01-18\tav\501_180.doc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8AA49" w14:textId="77777777" w:rsidR="00AB4F17" w:rsidRDefault="00AB4F17" w:rsidP="0084412B">
      <w:pPr>
        <w:spacing w:before="60" w:line="240" w:lineRule="auto"/>
        <w:ind w:right="1134"/>
      </w:pPr>
      <w:r>
        <w:separator/>
      </w:r>
    </w:p>
  </w:footnote>
  <w:footnote w:type="continuationSeparator" w:id="0">
    <w:p w14:paraId="066EF35D" w14:textId="77777777" w:rsidR="00AB4F17" w:rsidRDefault="00AB4F17">
      <w:pPr>
        <w:spacing w:line="240" w:lineRule="auto"/>
      </w:pPr>
      <w:r>
        <w:continuationSeparator/>
      </w:r>
    </w:p>
  </w:footnote>
  <w:footnote w:id="1">
    <w:p w14:paraId="05AE667C" w14:textId="77777777" w:rsidR="00076A4F" w:rsidRPr="0084412B" w:rsidRDefault="00954A27" w:rsidP="00076A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84412B">
        <w:rPr>
          <w:rFonts w:cs="FrankRuehl"/>
          <w:rtl/>
        </w:rPr>
        <w:t xml:space="preserve">* </w:t>
      </w:r>
      <w:r>
        <w:rPr>
          <w:rFonts w:cs="FrankRuehl"/>
          <w:rtl/>
        </w:rPr>
        <w:t>פו</w:t>
      </w:r>
      <w:r>
        <w:rPr>
          <w:rFonts w:cs="FrankRuehl" w:hint="cs"/>
          <w:rtl/>
        </w:rPr>
        <w:t>רס</w:t>
      </w:r>
      <w:r w:rsidR="0010321B">
        <w:rPr>
          <w:rFonts w:cs="FrankRuehl" w:hint="cs"/>
          <w:rtl/>
        </w:rPr>
        <w:t>ם</w:t>
      </w:r>
      <w:r>
        <w:rPr>
          <w:rFonts w:cs="FrankRuehl" w:hint="cs"/>
          <w:rtl/>
        </w:rPr>
        <w:t xml:space="preserve"> </w:t>
      </w:r>
      <w:hyperlink r:id="rId1" w:history="1">
        <w:r w:rsidR="0010321B" w:rsidRPr="00076A4F">
          <w:rPr>
            <w:rStyle w:val="Hyperlink"/>
            <w:rFonts w:cs="FrankRuehl" w:hint="cs"/>
            <w:rtl/>
          </w:rPr>
          <w:t>ס"ח תשע"ט מס' 2785</w:t>
        </w:r>
      </w:hyperlink>
      <w:r w:rsidR="0010321B">
        <w:rPr>
          <w:rFonts w:cs="FrankRuehl" w:hint="cs"/>
          <w:rtl/>
        </w:rPr>
        <w:t xml:space="preserve"> מיום 6.6.2019 עמ' 338 (</w:t>
      </w:r>
      <w:hyperlink r:id="rId2" w:history="1">
        <w:r w:rsidR="0010321B" w:rsidRPr="0010321B">
          <w:rPr>
            <w:rStyle w:val="Hyperlink"/>
            <w:rFonts w:cs="FrankRuehl" w:hint="cs"/>
            <w:rtl/>
          </w:rPr>
          <w:t>ה"ח הכנסת תשע"ט מס' 837</w:t>
        </w:r>
      </w:hyperlink>
      <w:r w:rsidR="0010321B">
        <w:rPr>
          <w:rFonts w:cs="FrankRuehl" w:hint="cs"/>
          <w:rtl/>
        </w:rPr>
        <w:t xml:space="preserve"> עמ' 96).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04EDC" w14:textId="77777777" w:rsidR="00954A27" w:rsidRDefault="00954A2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 התעסוקה (סדרי הדיון במועצת השירות), תשי"ט–1959</w:t>
    </w:r>
  </w:p>
  <w:p w14:paraId="79EE3C5E" w14:textId="77777777"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38EC8F3" w14:textId="77777777"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87E9A" w14:textId="77777777" w:rsidR="00954A27" w:rsidRDefault="0010321B" w:rsidP="00A86726">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חוק הבחירות לכנסת העשרים ושתיים (הוראות מיוחדות לעניין ועדת הבחירות), </w:t>
    </w:r>
    <w:r>
      <w:rPr>
        <w:rFonts w:hAnsi="FrankRuehl" w:cs="FrankRuehl"/>
        <w:color w:val="000000"/>
        <w:sz w:val="28"/>
        <w:szCs w:val="28"/>
        <w:rtl/>
      </w:rPr>
      <w:br/>
    </w:r>
    <w:r>
      <w:rPr>
        <w:rFonts w:hAnsi="FrankRuehl" w:cs="FrankRuehl" w:hint="cs"/>
        <w:color w:val="000000"/>
        <w:sz w:val="28"/>
        <w:szCs w:val="28"/>
        <w:rtl/>
      </w:rPr>
      <w:t>תשע"ט-2019</w:t>
    </w:r>
  </w:p>
  <w:p w14:paraId="32EDC29F" w14:textId="77777777" w:rsidR="00954A27" w:rsidRDefault="00954A2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6501E28" w14:textId="77777777" w:rsidR="00954A27" w:rsidRDefault="00954A2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34A4"/>
    <w:rsid w:val="00007311"/>
    <w:rsid w:val="00052B12"/>
    <w:rsid w:val="00053993"/>
    <w:rsid w:val="0005428B"/>
    <w:rsid w:val="00054A98"/>
    <w:rsid w:val="00064B17"/>
    <w:rsid w:val="00074C94"/>
    <w:rsid w:val="00076A4F"/>
    <w:rsid w:val="00093C28"/>
    <w:rsid w:val="000A6042"/>
    <w:rsid w:val="000D36BB"/>
    <w:rsid w:val="0010321B"/>
    <w:rsid w:val="00137793"/>
    <w:rsid w:val="00146863"/>
    <w:rsid w:val="001C0943"/>
    <w:rsid w:val="001C2FD5"/>
    <w:rsid w:val="001D25BF"/>
    <w:rsid w:val="001E1B0F"/>
    <w:rsid w:val="00220467"/>
    <w:rsid w:val="00266AD7"/>
    <w:rsid w:val="00283ABD"/>
    <w:rsid w:val="002A3175"/>
    <w:rsid w:val="002B6729"/>
    <w:rsid w:val="002C2AB0"/>
    <w:rsid w:val="002D470E"/>
    <w:rsid w:val="002F6EDE"/>
    <w:rsid w:val="0032563F"/>
    <w:rsid w:val="00341FDA"/>
    <w:rsid w:val="00347FE6"/>
    <w:rsid w:val="00370279"/>
    <w:rsid w:val="00384AB5"/>
    <w:rsid w:val="003948B4"/>
    <w:rsid w:val="003A7077"/>
    <w:rsid w:val="003A76B8"/>
    <w:rsid w:val="003C5462"/>
    <w:rsid w:val="003C5A38"/>
    <w:rsid w:val="003D1EFE"/>
    <w:rsid w:val="003D6ACA"/>
    <w:rsid w:val="00416A0F"/>
    <w:rsid w:val="00441725"/>
    <w:rsid w:val="00474979"/>
    <w:rsid w:val="004B7C75"/>
    <w:rsid w:val="004C3F37"/>
    <w:rsid w:val="004D0099"/>
    <w:rsid w:val="004D311D"/>
    <w:rsid w:val="00550515"/>
    <w:rsid w:val="00555508"/>
    <w:rsid w:val="0057148B"/>
    <w:rsid w:val="00572CC6"/>
    <w:rsid w:val="005A4ED6"/>
    <w:rsid w:val="005A6989"/>
    <w:rsid w:val="005B5BB0"/>
    <w:rsid w:val="005F07DD"/>
    <w:rsid w:val="006049FD"/>
    <w:rsid w:val="006177D3"/>
    <w:rsid w:val="006231C4"/>
    <w:rsid w:val="00643816"/>
    <w:rsid w:val="006450B3"/>
    <w:rsid w:val="00646801"/>
    <w:rsid w:val="00667AE6"/>
    <w:rsid w:val="00667DFA"/>
    <w:rsid w:val="006729A1"/>
    <w:rsid w:val="00691009"/>
    <w:rsid w:val="006A0C13"/>
    <w:rsid w:val="006B2364"/>
    <w:rsid w:val="00700B61"/>
    <w:rsid w:val="0070315D"/>
    <w:rsid w:val="00703EE4"/>
    <w:rsid w:val="007305DB"/>
    <w:rsid w:val="00755D64"/>
    <w:rsid w:val="007844C4"/>
    <w:rsid w:val="00786597"/>
    <w:rsid w:val="007C05C4"/>
    <w:rsid w:val="00803F03"/>
    <w:rsid w:val="0084412B"/>
    <w:rsid w:val="008540B7"/>
    <w:rsid w:val="00857B6B"/>
    <w:rsid w:val="00864FCA"/>
    <w:rsid w:val="008711A2"/>
    <w:rsid w:val="008A00D9"/>
    <w:rsid w:val="008A2D02"/>
    <w:rsid w:val="008A7C1C"/>
    <w:rsid w:val="008F21BE"/>
    <w:rsid w:val="00901322"/>
    <w:rsid w:val="00903DF0"/>
    <w:rsid w:val="009078CD"/>
    <w:rsid w:val="00917017"/>
    <w:rsid w:val="00932D3C"/>
    <w:rsid w:val="00941EEB"/>
    <w:rsid w:val="00954A27"/>
    <w:rsid w:val="00982510"/>
    <w:rsid w:val="00983432"/>
    <w:rsid w:val="009C17D8"/>
    <w:rsid w:val="009D3824"/>
    <w:rsid w:val="00A31797"/>
    <w:rsid w:val="00A43732"/>
    <w:rsid w:val="00A53FFB"/>
    <w:rsid w:val="00A81FB0"/>
    <w:rsid w:val="00A86726"/>
    <w:rsid w:val="00AB4F17"/>
    <w:rsid w:val="00AC0676"/>
    <w:rsid w:val="00AD5BFA"/>
    <w:rsid w:val="00AE46D3"/>
    <w:rsid w:val="00AF60A5"/>
    <w:rsid w:val="00AF71D3"/>
    <w:rsid w:val="00B10C8B"/>
    <w:rsid w:val="00B164F6"/>
    <w:rsid w:val="00B16522"/>
    <w:rsid w:val="00B2281C"/>
    <w:rsid w:val="00B26AC3"/>
    <w:rsid w:val="00B307CE"/>
    <w:rsid w:val="00B31AA4"/>
    <w:rsid w:val="00B9282F"/>
    <w:rsid w:val="00BA4D32"/>
    <w:rsid w:val="00BD0A21"/>
    <w:rsid w:val="00BE4A73"/>
    <w:rsid w:val="00BF1307"/>
    <w:rsid w:val="00C57541"/>
    <w:rsid w:val="00C71A46"/>
    <w:rsid w:val="00C734A4"/>
    <w:rsid w:val="00C7516E"/>
    <w:rsid w:val="00C932E5"/>
    <w:rsid w:val="00C97F98"/>
    <w:rsid w:val="00CC608F"/>
    <w:rsid w:val="00D006DB"/>
    <w:rsid w:val="00D2061A"/>
    <w:rsid w:val="00D233A2"/>
    <w:rsid w:val="00D27E23"/>
    <w:rsid w:val="00D37E1F"/>
    <w:rsid w:val="00D5139F"/>
    <w:rsid w:val="00D572FE"/>
    <w:rsid w:val="00D57928"/>
    <w:rsid w:val="00D775DC"/>
    <w:rsid w:val="00D8546F"/>
    <w:rsid w:val="00DA1611"/>
    <w:rsid w:val="00DD2974"/>
    <w:rsid w:val="00DD33DF"/>
    <w:rsid w:val="00E1094D"/>
    <w:rsid w:val="00E21731"/>
    <w:rsid w:val="00E32386"/>
    <w:rsid w:val="00E35950"/>
    <w:rsid w:val="00E4394C"/>
    <w:rsid w:val="00EA2B1B"/>
    <w:rsid w:val="00EC0302"/>
    <w:rsid w:val="00F423B9"/>
    <w:rsid w:val="00F647A2"/>
    <w:rsid w:val="00F82FCF"/>
    <w:rsid w:val="00FB679E"/>
    <w:rsid w:val="00FB7C67"/>
    <w:rsid w:val="00FC2067"/>
    <w:rsid w:val="00FD5BBC"/>
    <w:rsid w:val="00FF2743"/>
    <w:rsid w:val="00FF39C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D259218"/>
  <w15:chartTrackingRefBased/>
  <w15:docId w15:val="{00F40EE0-C541-4E22-BCD1-96AAD685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sid w:val="0084412B"/>
    <w:rPr>
      <w:sz w:val="20"/>
      <w:szCs w:val="20"/>
    </w:rPr>
  </w:style>
  <w:style w:type="character" w:styleId="a6">
    <w:name w:val="footnote reference"/>
    <w:semiHidden/>
    <w:rsid w:val="0084412B"/>
    <w:rPr>
      <w:vertAlign w:val="superscript"/>
    </w:rPr>
  </w:style>
  <w:style w:type="paragraph" w:customStyle="1" w:styleId="medium2-header">
    <w:name w:val="medium2-header"/>
    <w:basedOn w:val="a"/>
    <w:rsid w:val="00E32386"/>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table" w:styleId="a7">
    <w:name w:val="Table Grid"/>
    <w:basedOn w:val="a1"/>
    <w:rsid w:val="008F21BE"/>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103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837.pdf" TargetMode="External"/><Relationship Id="rId1" Type="http://schemas.openxmlformats.org/officeDocument/2006/relationships/hyperlink" Target="http://www.nevo.co.il/Law_word/law14/law-278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5338</CharactersWithSpaces>
  <SharedDoc>false</SharedDoc>
  <HLinks>
    <vt:vector size="60" baseType="variant">
      <vt:variant>
        <vt:i4>393283</vt:i4>
      </vt:variant>
      <vt:variant>
        <vt:i4>42</vt:i4>
      </vt:variant>
      <vt:variant>
        <vt:i4>0</vt:i4>
      </vt:variant>
      <vt:variant>
        <vt:i4>5</vt:i4>
      </vt:variant>
      <vt:variant>
        <vt:lpwstr>http://www.nevo.co.il/advertisements/nevo-100.doc</vt:lpwstr>
      </vt:variant>
      <vt:variant>
        <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3932185</vt:i4>
      </vt:variant>
      <vt:variant>
        <vt:i4>3</vt:i4>
      </vt:variant>
      <vt:variant>
        <vt:i4>0</vt:i4>
      </vt:variant>
      <vt:variant>
        <vt:i4>5</vt:i4>
      </vt:variant>
      <vt:variant>
        <vt:lpwstr>http://www.nevo.co.il/Law_word/law16/knesset-837.pdf</vt:lpwstr>
      </vt:variant>
      <vt:variant>
        <vt:lpwstr/>
      </vt:variant>
      <vt:variant>
        <vt:i4>7667723</vt:i4>
      </vt:variant>
      <vt:variant>
        <vt:i4>0</vt:i4>
      </vt:variant>
      <vt:variant>
        <vt:i4>0</vt:i4>
      </vt:variant>
      <vt:variant>
        <vt:i4>5</vt:i4>
      </vt:variant>
      <vt:variant>
        <vt:lpwstr>http://www.nevo.co.il/Law_word/law14/law-2785.pdf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2023-06-05T18:57:00Z</dcterms:created>
  <dcterms:modified xsi:type="dcterms:W3CDTF">2023-06-05T18:57:00Z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502</vt:lpwstr>
  </property>
  <property fmtid="{D5CDD505-2E9C-101B-9397-08002B2CF9AE}" pid="3" name="CHNAME">
    <vt:lpwstr>בחירות</vt:lpwstr>
  </property>
  <property fmtid="{D5CDD505-2E9C-101B-9397-08002B2CF9AE}" pid="4" name="LAWNAME">
    <vt:lpwstr>חוק הבחירות לכנסת העשרים ושתיים (הוראות מיוחדות לעניין ועדת הבחירות), תשע"ט-2019</vt:lpwstr>
  </property>
  <property fmtid="{D5CDD505-2E9C-101B-9397-08002B2CF9AE}" pid="5" name="LAWNUMBER">
    <vt:lpwstr>0139</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בחירות</vt:lpwstr>
  </property>
  <property fmtid="{D5CDD505-2E9C-101B-9397-08002B2CF9AE}" pid="9" name="NOSE31">
    <vt:lpwstr>בחירות לכנסת</vt:lpwstr>
  </property>
  <property fmtid="{D5CDD505-2E9C-101B-9397-08002B2CF9AE}" pid="10" name="NOSE41">
    <vt:lpwstr/>
  </property>
  <property fmtid="{D5CDD505-2E9C-101B-9397-08002B2CF9AE}" pid="11" name="NOSE12">
    <vt:lpwstr>דיני חוקה </vt:lpwstr>
  </property>
  <property fmtid="{D5CDD505-2E9C-101B-9397-08002B2CF9AE}" pid="12" name="NOSE22">
    <vt:lpwstr>כנסת</vt:lpwstr>
  </property>
  <property fmtid="{D5CDD505-2E9C-101B-9397-08002B2CF9AE}" pid="13" name="NOSE32">
    <vt:lpwstr>בחירות</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2">
    <vt:lpwstr/>
  </property>
  <property fmtid="{D5CDD505-2E9C-101B-9397-08002B2CF9AE}" pid="49" name="LINKK3">
    <vt:lpwstr/>
  </property>
  <property fmtid="{D5CDD505-2E9C-101B-9397-08002B2CF9AE}" pid="50" name="LINKK4">
    <vt:lpwstr/>
  </property>
  <property fmtid="{D5CDD505-2E9C-101B-9397-08002B2CF9AE}" pid="51" name="LINKK5">
    <vt:lpwstr/>
  </property>
  <property fmtid="{D5CDD505-2E9C-101B-9397-08002B2CF9AE}" pid="52" name="LINKK6">
    <vt:lpwstr/>
  </property>
  <property fmtid="{D5CDD505-2E9C-101B-9397-08002B2CF9AE}" pid="53" name="LINKK7">
    <vt:lpwstr/>
  </property>
  <property fmtid="{D5CDD505-2E9C-101B-9397-08002B2CF9AE}" pid="54" name="LINKK8">
    <vt:lpwstr/>
  </property>
  <property fmtid="{D5CDD505-2E9C-101B-9397-08002B2CF9AE}" pid="55" name="LINKK9">
    <vt:lpwstr/>
  </property>
  <property fmtid="{D5CDD505-2E9C-101B-9397-08002B2CF9AE}" pid="56" name="LINKK10">
    <vt:lpwstr/>
  </property>
  <property fmtid="{D5CDD505-2E9C-101B-9397-08002B2CF9AE}" pid="57" name="LINKI1">
    <vt:lpwstr/>
  </property>
  <property fmtid="{D5CDD505-2E9C-101B-9397-08002B2CF9AE}" pid="58" name="LINKI2">
    <vt:lpwstr/>
  </property>
  <property fmtid="{D5CDD505-2E9C-101B-9397-08002B2CF9AE}" pid="59" name="LINKI3">
    <vt:lpwstr/>
  </property>
  <property fmtid="{D5CDD505-2E9C-101B-9397-08002B2CF9AE}" pid="60" name="LINKI4">
    <vt:lpwstr/>
  </property>
  <property fmtid="{D5CDD505-2E9C-101B-9397-08002B2CF9AE}" pid="61" name="LINKI5">
    <vt:lpwstr/>
  </property>
  <property fmtid="{D5CDD505-2E9C-101B-9397-08002B2CF9AE}" pid="62" name="LINKK1">
    <vt:lpwstr>http://www.nevo.co.il/Law_word/law14/law-2785.pdf;‎רשומות - ספר חוקים#פורסם ס"ח תשע"ט מס' ‏‏2785 #מיום 6.6.2019 עמ' 338‏</vt:lpwstr>
  </property>
</Properties>
</file>