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1785" w:rsidRDefault="00681785" w:rsidP="00A644F5">
      <w:pPr>
        <w:pStyle w:val="big-header"/>
        <w:ind w:left="0" w:right="1134"/>
        <w:rPr>
          <w:rFonts w:cs="FrankRuehl" w:hint="cs"/>
          <w:sz w:val="32"/>
          <w:rtl/>
        </w:rPr>
      </w:pPr>
      <w:r>
        <w:rPr>
          <w:rFonts w:cs="FrankRuehl"/>
          <w:sz w:val="32"/>
          <w:rtl/>
        </w:rPr>
        <w:t xml:space="preserve">חוק </w:t>
      </w:r>
      <w:r w:rsidR="00A644F5">
        <w:rPr>
          <w:rFonts w:cs="FrankRuehl" w:hint="cs"/>
          <w:sz w:val="32"/>
          <w:rtl/>
        </w:rPr>
        <w:t>הגנה על זכויות אמנים במוסיקה, תשע"ז-2017</w:t>
      </w:r>
    </w:p>
    <w:p w:rsidR="00A644F5" w:rsidRPr="00A644F5" w:rsidRDefault="00A644F5" w:rsidP="00A644F5">
      <w:pPr>
        <w:spacing w:line="320" w:lineRule="auto"/>
        <w:jc w:val="left"/>
        <w:rPr>
          <w:rFonts w:cs="FrankRuehl"/>
          <w:szCs w:val="26"/>
          <w:rtl/>
        </w:rPr>
      </w:pPr>
    </w:p>
    <w:p w:rsidR="00A644F5" w:rsidRDefault="00A644F5" w:rsidP="00A644F5">
      <w:pPr>
        <w:spacing w:line="320" w:lineRule="auto"/>
        <w:jc w:val="left"/>
        <w:rPr>
          <w:rtl/>
        </w:rPr>
      </w:pPr>
    </w:p>
    <w:p w:rsidR="00A644F5" w:rsidRDefault="00A644F5" w:rsidP="00A644F5">
      <w:pPr>
        <w:spacing w:line="320" w:lineRule="auto"/>
        <w:jc w:val="left"/>
        <w:rPr>
          <w:rFonts w:cs="Miriam"/>
          <w:szCs w:val="22"/>
          <w:rtl/>
        </w:rPr>
      </w:pPr>
      <w:r w:rsidRPr="00A644F5">
        <w:rPr>
          <w:rFonts w:cs="Miriam"/>
          <w:szCs w:val="22"/>
          <w:rtl/>
        </w:rPr>
        <w:t>משפט פרטי וכלכלה</w:t>
      </w:r>
      <w:r w:rsidRPr="00A644F5">
        <w:rPr>
          <w:rFonts w:cs="FrankRuehl"/>
          <w:szCs w:val="26"/>
          <w:rtl/>
        </w:rPr>
        <w:t xml:space="preserve"> – קניין – קניין רוחני – זכויות יוצרים</w:t>
      </w:r>
    </w:p>
    <w:p w:rsidR="00A644F5" w:rsidRPr="00A644F5" w:rsidRDefault="00A644F5" w:rsidP="00A644F5">
      <w:pPr>
        <w:spacing w:line="320" w:lineRule="auto"/>
        <w:jc w:val="left"/>
        <w:rPr>
          <w:rFonts w:cs="Miriam" w:hint="cs"/>
          <w:szCs w:val="22"/>
          <w:rtl/>
        </w:rPr>
      </w:pPr>
      <w:r w:rsidRPr="00A644F5">
        <w:rPr>
          <w:rFonts w:cs="Miriam"/>
          <w:szCs w:val="22"/>
          <w:rtl/>
        </w:rPr>
        <w:t>משפט פרטי וכלכלה</w:t>
      </w:r>
      <w:r w:rsidRPr="00A644F5">
        <w:rPr>
          <w:rFonts w:cs="FrankRuehl"/>
          <w:szCs w:val="26"/>
          <w:rtl/>
        </w:rPr>
        <w:t xml:space="preserve"> – קניין – קניין רוחני – זכות מבצעים ומשדרים</w:t>
      </w:r>
    </w:p>
    <w:p w:rsidR="00681785" w:rsidRDefault="0068178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D5F6B" w:rsidRPr="007D5F6B" w:rsidTr="007D5F6B">
        <w:tblPrEx>
          <w:tblCellMar>
            <w:top w:w="0" w:type="dxa"/>
            <w:bottom w:w="0" w:type="dxa"/>
          </w:tblCellMar>
        </w:tblPrEx>
        <w:tc>
          <w:tcPr>
            <w:tcW w:w="1247" w:type="dxa"/>
          </w:tcPr>
          <w:p w:rsidR="007D5F6B" w:rsidRPr="007D5F6B" w:rsidRDefault="007D5F6B" w:rsidP="007D5F6B">
            <w:pPr>
              <w:spacing w:line="240" w:lineRule="auto"/>
              <w:jc w:val="left"/>
              <w:rPr>
                <w:rFonts w:cs="Frankruhel"/>
                <w:sz w:val="24"/>
                <w:rtl/>
              </w:rPr>
            </w:pPr>
            <w:r>
              <w:rPr>
                <w:sz w:val="24"/>
                <w:rtl/>
              </w:rPr>
              <w:t xml:space="preserve">סעיף 1 </w:t>
            </w:r>
          </w:p>
        </w:tc>
        <w:tc>
          <w:tcPr>
            <w:tcW w:w="5669" w:type="dxa"/>
          </w:tcPr>
          <w:p w:rsidR="007D5F6B" w:rsidRPr="007D5F6B" w:rsidRDefault="007D5F6B" w:rsidP="007D5F6B">
            <w:pPr>
              <w:spacing w:line="240" w:lineRule="auto"/>
              <w:jc w:val="left"/>
              <w:rPr>
                <w:rFonts w:cs="Frankruhel"/>
                <w:sz w:val="24"/>
                <w:rtl/>
              </w:rPr>
            </w:pPr>
            <w:r>
              <w:rPr>
                <w:sz w:val="24"/>
                <w:rtl/>
              </w:rPr>
              <w:t>הגדרות</w:t>
            </w:r>
          </w:p>
        </w:tc>
        <w:tc>
          <w:tcPr>
            <w:tcW w:w="567" w:type="dxa"/>
          </w:tcPr>
          <w:p w:rsidR="007D5F6B" w:rsidRPr="007D5F6B" w:rsidRDefault="007D5F6B" w:rsidP="007D5F6B">
            <w:pPr>
              <w:spacing w:line="240" w:lineRule="auto"/>
              <w:jc w:val="left"/>
              <w:rPr>
                <w:rStyle w:val="Hyperlink"/>
                <w:rtl/>
              </w:rPr>
            </w:pPr>
            <w:hyperlink w:anchor="Seif1" w:tooltip="הגדרות" w:history="1">
              <w:r w:rsidRPr="007D5F6B">
                <w:rPr>
                  <w:rStyle w:val="Hyperlink"/>
                </w:rPr>
                <w:t>Go</w:t>
              </w:r>
            </w:hyperlink>
          </w:p>
        </w:tc>
        <w:tc>
          <w:tcPr>
            <w:tcW w:w="850" w:type="dxa"/>
          </w:tcPr>
          <w:p w:rsidR="007D5F6B" w:rsidRPr="007D5F6B" w:rsidRDefault="007D5F6B" w:rsidP="007D5F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D5F6B" w:rsidRPr="007D5F6B" w:rsidTr="007D5F6B">
        <w:tblPrEx>
          <w:tblCellMar>
            <w:top w:w="0" w:type="dxa"/>
            <w:bottom w:w="0" w:type="dxa"/>
          </w:tblCellMar>
        </w:tblPrEx>
        <w:tc>
          <w:tcPr>
            <w:tcW w:w="1247" w:type="dxa"/>
          </w:tcPr>
          <w:p w:rsidR="007D5F6B" w:rsidRPr="007D5F6B" w:rsidRDefault="007D5F6B" w:rsidP="007D5F6B">
            <w:pPr>
              <w:spacing w:line="240" w:lineRule="auto"/>
              <w:jc w:val="left"/>
              <w:rPr>
                <w:rFonts w:cs="Frankruhel"/>
                <w:sz w:val="24"/>
                <w:rtl/>
              </w:rPr>
            </w:pPr>
            <w:r>
              <w:rPr>
                <w:sz w:val="24"/>
                <w:rtl/>
              </w:rPr>
              <w:t xml:space="preserve">סעיף 2 </w:t>
            </w:r>
          </w:p>
        </w:tc>
        <w:tc>
          <w:tcPr>
            <w:tcW w:w="5669" w:type="dxa"/>
          </w:tcPr>
          <w:p w:rsidR="007D5F6B" w:rsidRPr="007D5F6B" w:rsidRDefault="007D5F6B" w:rsidP="007D5F6B">
            <w:pPr>
              <w:spacing w:line="240" w:lineRule="auto"/>
              <w:jc w:val="left"/>
              <w:rPr>
                <w:rFonts w:cs="Frankruhel"/>
                <w:sz w:val="24"/>
                <w:rtl/>
              </w:rPr>
            </w:pPr>
            <w:r>
              <w:rPr>
                <w:sz w:val="24"/>
                <w:rtl/>
              </w:rPr>
              <w:t>הגבלת התקופה של התקשרות בלעדית עם אמן</w:t>
            </w:r>
          </w:p>
        </w:tc>
        <w:tc>
          <w:tcPr>
            <w:tcW w:w="567" w:type="dxa"/>
          </w:tcPr>
          <w:p w:rsidR="007D5F6B" w:rsidRPr="007D5F6B" w:rsidRDefault="007D5F6B" w:rsidP="007D5F6B">
            <w:pPr>
              <w:spacing w:line="240" w:lineRule="auto"/>
              <w:jc w:val="left"/>
              <w:rPr>
                <w:rStyle w:val="Hyperlink"/>
                <w:rtl/>
              </w:rPr>
            </w:pPr>
            <w:hyperlink w:anchor="Seif2" w:tooltip="הגבלת התקופה של התקשרות בלעדית עם אמן" w:history="1">
              <w:r w:rsidRPr="007D5F6B">
                <w:rPr>
                  <w:rStyle w:val="Hyperlink"/>
                </w:rPr>
                <w:t>Go</w:t>
              </w:r>
            </w:hyperlink>
          </w:p>
        </w:tc>
        <w:tc>
          <w:tcPr>
            <w:tcW w:w="850" w:type="dxa"/>
          </w:tcPr>
          <w:p w:rsidR="007D5F6B" w:rsidRPr="007D5F6B" w:rsidRDefault="007D5F6B" w:rsidP="007D5F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D5F6B" w:rsidRPr="007D5F6B" w:rsidTr="007D5F6B">
        <w:tblPrEx>
          <w:tblCellMar>
            <w:top w:w="0" w:type="dxa"/>
            <w:bottom w:w="0" w:type="dxa"/>
          </w:tblCellMar>
        </w:tblPrEx>
        <w:tc>
          <w:tcPr>
            <w:tcW w:w="1247" w:type="dxa"/>
          </w:tcPr>
          <w:p w:rsidR="007D5F6B" w:rsidRPr="007D5F6B" w:rsidRDefault="007D5F6B" w:rsidP="007D5F6B">
            <w:pPr>
              <w:spacing w:line="240" w:lineRule="auto"/>
              <w:jc w:val="left"/>
              <w:rPr>
                <w:rFonts w:cs="Frankruhel"/>
                <w:sz w:val="24"/>
                <w:rtl/>
              </w:rPr>
            </w:pPr>
            <w:r>
              <w:rPr>
                <w:sz w:val="24"/>
                <w:rtl/>
              </w:rPr>
              <w:t xml:space="preserve">סעיף 3 </w:t>
            </w:r>
          </w:p>
        </w:tc>
        <w:tc>
          <w:tcPr>
            <w:tcW w:w="5669" w:type="dxa"/>
          </w:tcPr>
          <w:p w:rsidR="007D5F6B" w:rsidRPr="007D5F6B" w:rsidRDefault="007D5F6B" w:rsidP="007D5F6B">
            <w:pPr>
              <w:spacing w:line="240" w:lineRule="auto"/>
              <w:jc w:val="left"/>
              <w:rPr>
                <w:rFonts w:cs="Frankruhel"/>
                <w:sz w:val="24"/>
                <w:rtl/>
              </w:rPr>
            </w:pPr>
            <w:r>
              <w:rPr>
                <w:sz w:val="24"/>
                <w:rtl/>
              </w:rPr>
              <w:t>חיוב אמון</w:t>
            </w:r>
          </w:p>
        </w:tc>
        <w:tc>
          <w:tcPr>
            <w:tcW w:w="567" w:type="dxa"/>
          </w:tcPr>
          <w:p w:rsidR="007D5F6B" w:rsidRPr="007D5F6B" w:rsidRDefault="007D5F6B" w:rsidP="007D5F6B">
            <w:pPr>
              <w:spacing w:line="240" w:lineRule="auto"/>
              <w:jc w:val="left"/>
              <w:rPr>
                <w:rStyle w:val="Hyperlink"/>
                <w:rtl/>
              </w:rPr>
            </w:pPr>
            <w:hyperlink w:anchor="Seif3" w:tooltip="חיוב אמון" w:history="1">
              <w:r w:rsidRPr="007D5F6B">
                <w:rPr>
                  <w:rStyle w:val="Hyperlink"/>
                </w:rPr>
                <w:t>Go</w:t>
              </w:r>
            </w:hyperlink>
          </w:p>
        </w:tc>
        <w:tc>
          <w:tcPr>
            <w:tcW w:w="850" w:type="dxa"/>
          </w:tcPr>
          <w:p w:rsidR="007D5F6B" w:rsidRPr="007D5F6B" w:rsidRDefault="007D5F6B" w:rsidP="007D5F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681785" w:rsidRDefault="00681785">
      <w:pPr>
        <w:pStyle w:val="big-header"/>
        <w:ind w:left="0" w:right="1134"/>
        <w:rPr>
          <w:rFonts w:cs="FrankRuehl"/>
          <w:sz w:val="32"/>
          <w:rtl/>
        </w:rPr>
      </w:pPr>
    </w:p>
    <w:p w:rsidR="00681785" w:rsidRDefault="00681785" w:rsidP="00A644F5">
      <w:pPr>
        <w:pStyle w:val="big-header"/>
        <w:ind w:left="0" w:right="1134"/>
        <w:rPr>
          <w:rStyle w:val="super"/>
          <w:rFonts w:cs="Miriam" w:hint="cs"/>
          <w:noProof w:val="0"/>
          <w:rtl/>
          <w:lang w:eastAsia="he-IL"/>
        </w:rPr>
      </w:pPr>
      <w:r>
        <w:rPr>
          <w:rFonts w:cs="FrankRuehl"/>
          <w:sz w:val="32"/>
          <w:rtl/>
        </w:rPr>
        <w:br w:type="page"/>
      </w:r>
      <w:r w:rsidR="00A644F5" w:rsidRPr="00A644F5">
        <w:rPr>
          <w:rFonts w:cs="FrankRuehl"/>
          <w:sz w:val="32"/>
          <w:rtl/>
        </w:rPr>
        <w:lastRenderedPageBreak/>
        <w:t xml:space="preserve"> </w:t>
      </w:r>
      <w:r w:rsidR="00A644F5">
        <w:rPr>
          <w:rFonts w:cs="FrankRuehl"/>
          <w:sz w:val="32"/>
          <w:rtl/>
        </w:rPr>
        <w:t xml:space="preserve">חוק </w:t>
      </w:r>
      <w:r w:rsidR="00A644F5">
        <w:rPr>
          <w:rFonts w:cs="FrankRuehl" w:hint="cs"/>
          <w:sz w:val="32"/>
          <w:rtl/>
        </w:rPr>
        <w:t>הגנה על זכויות אמנים במוסיקה, תשע"ז-2017</w:t>
      </w:r>
      <w:r>
        <w:rPr>
          <w:rStyle w:val="default"/>
          <w:rtl/>
        </w:rPr>
        <w:footnoteReference w:customMarkFollows="1" w:id="1"/>
        <w:t>*</w:t>
      </w:r>
    </w:p>
    <w:p w:rsidR="00681785" w:rsidRDefault="00681785">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6pt;z-index:251656704" o:allowincell="f" filled="f" stroked="f" strokecolor="lime" strokeweight=".25pt">
            <v:textbox inset="0,0,0,0">
              <w:txbxContent>
                <w:p w:rsidR="00681785" w:rsidRDefault="00681785">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txbxContent>
            </v:textbox>
            <w10:anchorlock/>
          </v:rect>
        </w:pict>
      </w:r>
      <w:r>
        <w:rPr>
          <w:rStyle w:val="big-number"/>
          <w:rFonts w:cs="Miriam"/>
          <w:rtl/>
        </w:rPr>
        <w:t>1</w:t>
      </w:r>
      <w:r w:rsidRPr="00A644F5">
        <w:rPr>
          <w:rStyle w:val="default"/>
          <w:rFonts w:cs="FrankRuehl"/>
          <w:rtl/>
        </w:rPr>
        <w:t>.</w:t>
      </w:r>
      <w:r w:rsidRPr="00A644F5">
        <w:rPr>
          <w:rStyle w:val="default"/>
          <w:rFonts w:cs="FrankRuehl"/>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זה </w:t>
      </w:r>
      <w:r>
        <w:rPr>
          <w:rStyle w:val="default"/>
          <w:rFonts w:cs="FrankRuehl"/>
          <w:rtl/>
        </w:rPr>
        <w:t>–</w:t>
      </w:r>
    </w:p>
    <w:p w:rsidR="00A644F5" w:rsidRDefault="00A644F5">
      <w:pPr>
        <w:pStyle w:val="P00"/>
        <w:spacing w:before="72"/>
        <w:ind w:left="0" w:right="1134"/>
        <w:rPr>
          <w:rStyle w:val="default"/>
          <w:rFonts w:cs="FrankRuehl" w:hint="cs"/>
          <w:rtl/>
        </w:rPr>
      </w:pPr>
      <w:r>
        <w:rPr>
          <w:rStyle w:val="default"/>
          <w:rFonts w:cs="FrankRuehl" w:hint="cs"/>
          <w:rtl/>
        </w:rPr>
        <w:tab/>
        <w:t xml:space="preserve">"אמן" </w:t>
      </w:r>
      <w:r>
        <w:rPr>
          <w:rStyle w:val="default"/>
          <w:rFonts w:cs="FrankRuehl"/>
          <w:rtl/>
        </w:rPr>
        <w:t>–</w:t>
      </w:r>
      <w:r>
        <w:rPr>
          <w:rStyle w:val="default"/>
          <w:rFonts w:cs="FrankRuehl" w:hint="cs"/>
          <w:rtl/>
        </w:rPr>
        <w:t xml:space="preserve"> יוצר כמשמעותו בחוק זכויות יוצרים או מבצע כהגדרתו בחוק זכויות מבצעים ומשדרים, בתחום המוסיקה;</w:t>
      </w:r>
    </w:p>
    <w:p w:rsidR="00A644F5" w:rsidRDefault="00A644F5">
      <w:pPr>
        <w:pStyle w:val="P00"/>
        <w:spacing w:before="72"/>
        <w:ind w:left="0" w:right="1134"/>
        <w:rPr>
          <w:rStyle w:val="default"/>
          <w:rFonts w:cs="FrankRuehl" w:hint="cs"/>
          <w:rtl/>
        </w:rPr>
      </w:pPr>
      <w:r>
        <w:rPr>
          <w:rStyle w:val="default"/>
          <w:rFonts w:cs="FrankRuehl" w:hint="cs"/>
          <w:rtl/>
        </w:rPr>
        <w:tab/>
        <w:t xml:space="preserve">"התקשרות בלעדית עם אמן" </w:t>
      </w:r>
      <w:r>
        <w:rPr>
          <w:rStyle w:val="default"/>
          <w:rFonts w:cs="FrankRuehl"/>
          <w:rtl/>
        </w:rPr>
        <w:t>–</w:t>
      </w:r>
      <w:r>
        <w:rPr>
          <w:rStyle w:val="default"/>
          <w:rFonts w:cs="FrankRuehl" w:hint="cs"/>
          <w:rtl/>
        </w:rPr>
        <w:t xml:space="preserve"> התקשרות עם אמן שבה נאסר עליו להתקשר עם צד שלישי בנוגע לפעילותו האמנותית;</w:t>
      </w:r>
    </w:p>
    <w:p w:rsidR="00A644F5" w:rsidRDefault="00A644F5">
      <w:pPr>
        <w:pStyle w:val="P00"/>
        <w:spacing w:before="72"/>
        <w:ind w:left="0" w:right="1134"/>
        <w:rPr>
          <w:rStyle w:val="default"/>
          <w:rFonts w:cs="FrankRuehl" w:hint="cs"/>
          <w:rtl/>
        </w:rPr>
      </w:pPr>
      <w:r>
        <w:rPr>
          <w:rStyle w:val="default"/>
          <w:rFonts w:cs="FrankRuehl" w:hint="cs"/>
          <w:rtl/>
        </w:rPr>
        <w:tab/>
        <w:t xml:space="preserve">"התקשרות עם אמן" </w:t>
      </w:r>
      <w:r>
        <w:rPr>
          <w:rStyle w:val="default"/>
          <w:rFonts w:cs="FrankRuehl"/>
          <w:rtl/>
        </w:rPr>
        <w:t>–</w:t>
      </w:r>
      <w:r>
        <w:rPr>
          <w:rStyle w:val="default"/>
          <w:rFonts w:cs="FrankRuehl" w:hint="cs"/>
          <w:rtl/>
        </w:rPr>
        <w:t xml:space="preserve"> התקשרות של מפיק, מוציא לאור, אמרגן או מנהל אישי, בחוזה עם אמן לשם הפקה, הוצאה לאור, אמרגנות או ניהול אישי;</w:t>
      </w:r>
    </w:p>
    <w:p w:rsidR="00A644F5" w:rsidRDefault="00A644F5">
      <w:pPr>
        <w:pStyle w:val="P00"/>
        <w:spacing w:before="72"/>
        <w:ind w:left="0" w:right="1134"/>
        <w:rPr>
          <w:rStyle w:val="default"/>
          <w:rFonts w:cs="FrankRuehl" w:hint="cs"/>
          <w:rtl/>
        </w:rPr>
      </w:pPr>
      <w:r>
        <w:rPr>
          <w:rStyle w:val="default"/>
          <w:rFonts w:cs="FrankRuehl" w:hint="cs"/>
          <w:rtl/>
        </w:rPr>
        <w:tab/>
        <w:t xml:space="preserve">"חוזה היקף" </w:t>
      </w:r>
      <w:r>
        <w:rPr>
          <w:rStyle w:val="default"/>
          <w:rFonts w:cs="FrankRuehl"/>
          <w:rtl/>
        </w:rPr>
        <w:t>–</w:t>
      </w:r>
      <w:r>
        <w:rPr>
          <w:rStyle w:val="default"/>
          <w:rFonts w:cs="FrankRuehl" w:hint="cs"/>
          <w:rtl/>
        </w:rPr>
        <w:t xml:space="preserve"> התקשרות בלעדית עם אמן הכוללת את מלוא ההיבטים של פעילותו האמנותית, ובכלל זה הפקה, הוצאה לאור, אמרגנות וניהול אישי, לפי העניין;</w:t>
      </w:r>
    </w:p>
    <w:p w:rsidR="00A644F5" w:rsidRDefault="00A644F5">
      <w:pPr>
        <w:pStyle w:val="P00"/>
        <w:spacing w:before="72"/>
        <w:ind w:left="0" w:right="1134"/>
        <w:rPr>
          <w:rStyle w:val="default"/>
          <w:rFonts w:cs="FrankRuehl" w:hint="cs"/>
          <w:rtl/>
        </w:rPr>
      </w:pPr>
      <w:r>
        <w:rPr>
          <w:rStyle w:val="default"/>
          <w:rFonts w:cs="FrankRuehl" w:hint="cs"/>
          <w:rtl/>
        </w:rPr>
        <w:tab/>
        <w:t xml:space="preserve">"חוק זכויות מבצעים ומשדרים" </w:t>
      </w:r>
      <w:r>
        <w:rPr>
          <w:rStyle w:val="default"/>
          <w:rFonts w:cs="FrankRuehl"/>
          <w:rtl/>
        </w:rPr>
        <w:t>–</w:t>
      </w:r>
      <w:r>
        <w:rPr>
          <w:rStyle w:val="default"/>
          <w:rFonts w:cs="FrankRuehl" w:hint="cs"/>
          <w:rtl/>
        </w:rPr>
        <w:t xml:space="preserve"> חוק זכויות מבצעים ומשדרים, התשמ"ד-1984;</w:t>
      </w:r>
    </w:p>
    <w:p w:rsidR="00A644F5" w:rsidRDefault="00A644F5">
      <w:pPr>
        <w:pStyle w:val="P00"/>
        <w:spacing w:before="72"/>
        <w:ind w:left="0" w:right="1134"/>
        <w:rPr>
          <w:rStyle w:val="default"/>
          <w:rFonts w:cs="FrankRuehl" w:hint="cs"/>
          <w:rtl/>
        </w:rPr>
      </w:pPr>
      <w:r>
        <w:rPr>
          <w:rStyle w:val="default"/>
          <w:rFonts w:cs="FrankRuehl" w:hint="cs"/>
          <w:rtl/>
        </w:rPr>
        <w:tab/>
        <w:t xml:space="preserve">"חוק זכות יוצרים" </w:t>
      </w:r>
      <w:r>
        <w:rPr>
          <w:rStyle w:val="default"/>
          <w:rFonts w:cs="FrankRuehl"/>
          <w:rtl/>
        </w:rPr>
        <w:t>–</w:t>
      </w:r>
      <w:r>
        <w:rPr>
          <w:rStyle w:val="default"/>
          <w:rFonts w:cs="FrankRuehl" w:hint="cs"/>
          <w:rtl/>
        </w:rPr>
        <w:t xml:space="preserve"> חוק זכות יוצרים, התשס"ח-2007.</w:t>
      </w:r>
    </w:p>
    <w:p w:rsidR="00681785" w:rsidRDefault="00681785" w:rsidP="00A644F5">
      <w:pPr>
        <w:pStyle w:val="P00"/>
        <w:spacing w:before="72"/>
        <w:ind w:left="0" w:right="1134"/>
        <w:rPr>
          <w:rStyle w:val="default"/>
          <w:rFonts w:cs="FrankRuehl" w:hint="cs"/>
          <w:rtl/>
        </w:rPr>
      </w:pPr>
      <w:bookmarkStart w:id="1" w:name="Seif2"/>
      <w:bookmarkEnd w:id="1"/>
      <w:r>
        <w:rPr>
          <w:lang w:val="he-IL"/>
        </w:rPr>
        <w:pict>
          <v:rect id="_x0000_s1030" style="position:absolute;left:0;text-align:left;margin-left:464.5pt;margin-top:8.05pt;width:75.05pt;height:23.25pt;z-index:251657728" o:allowincell="f" filled="f" stroked="f" strokecolor="lime" strokeweight=".25pt">
            <v:textbox inset="0,0,0,0">
              <w:txbxContent>
                <w:p w:rsidR="00681785" w:rsidRDefault="00A644F5">
                  <w:pPr>
                    <w:spacing w:line="160" w:lineRule="exact"/>
                    <w:jc w:val="left"/>
                    <w:rPr>
                      <w:rFonts w:cs="Miriam" w:hint="cs"/>
                      <w:noProof/>
                      <w:sz w:val="18"/>
                      <w:szCs w:val="18"/>
                      <w:rtl/>
                    </w:rPr>
                  </w:pPr>
                  <w:r>
                    <w:rPr>
                      <w:rFonts w:cs="Miriam" w:hint="cs"/>
                      <w:sz w:val="18"/>
                      <w:szCs w:val="18"/>
                      <w:rtl/>
                    </w:rPr>
                    <w:t>הגבלת התקופה של התקשרות בלעדית עם אמן</w:t>
                  </w:r>
                </w:p>
              </w:txbxContent>
            </v:textbox>
            <w10:anchorlock/>
          </v:rect>
        </w:pict>
      </w:r>
      <w:r>
        <w:rPr>
          <w:rStyle w:val="big-number"/>
          <w:rFonts w:cs="Miriam"/>
          <w:rtl/>
        </w:rPr>
        <w:t>2</w:t>
      </w:r>
      <w:r w:rsidRPr="00A644F5">
        <w:rPr>
          <w:rStyle w:val="default"/>
          <w:rFonts w:cs="FrankRuehl"/>
          <w:rtl/>
        </w:rPr>
        <w:t>.</w:t>
      </w:r>
      <w:r w:rsidRPr="00A644F5">
        <w:rPr>
          <w:rStyle w:val="default"/>
          <w:rFonts w:cs="FrankRuehl"/>
          <w:rtl/>
        </w:rPr>
        <w:tab/>
      </w:r>
      <w:r w:rsidR="00A644F5">
        <w:rPr>
          <w:rStyle w:val="default"/>
          <w:rFonts w:cs="FrankRuehl" w:hint="cs"/>
          <w:rtl/>
        </w:rPr>
        <w:t>(א)</w:t>
      </w:r>
      <w:r w:rsidR="00A644F5">
        <w:rPr>
          <w:rStyle w:val="default"/>
          <w:rFonts w:cs="FrankRuehl" w:hint="cs"/>
          <w:rtl/>
        </w:rPr>
        <w:tab/>
        <w:t>לא תיערך התקשרות בלעדית עם אמן, לרבות בחוזה היקף, לתקופה שאינה סבירה לפי העניין.</w:t>
      </w:r>
    </w:p>
    <w:p w:rsidR="00A644F5" w:rsidRDefault="00A644F5" w:rsidP="00A644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חזקה כי תקופת התקשרות בלעדית עם אמן אינה סבירה אם היא עולה על שבע שנים מיום תחילתה, ולעניין תקופת התקשרות כאמור בחוזה היקף </w:t>
      </w:r>
      <w:r>
        <w:rPr>
          <w:rStyle w:val="default"/>
          <w:rFonts w:cs="FrankRuehl"/>
          <w:rtl/>
        </w:rPr>
        <w:t>–</w:t>
      </w:r>
      <w:r>
        <w:rPr>
          <w:rStyle w:val="default"/>
          <w:rFonts w:cs="FrankRuehl" w:hint="cs"/>
          <w:rtl/>
        </w:rPr>
        <w:t xml:space="preserve"> אם היא עולה על חמש שנים מיום תחילתה, והכול אלא אם כן הוכח אחרת; לעניין זה, "תקופת התקשרות" </w:t>
      </w:r>
      <w:r>
        <w:rPr>
          <w:rStyle w:val="default"/>
          <w:rFonts w:cs="FrankRuehl"/>
          <w:rtl/>
        </w:rPr>
        <w:t>–</w:t>
      </w:r>
      <w:r>
        <w:rPr>
          <w:rStyle w:val="default"/>
          <w:rFonts w:cs="FrankRuehl" w:hint="cs"/>
          <w:rtl/>
        </w:rPr>
        <w:t xml:space="preserve"> לרבות הארכה לתקופה נוספת שהוסכם עליה באותה התקשרות.</w:t>
      </w:r>
    </w:p>
    <w:p w:rsidR="00A644F5" w:rsidRDefault="00A644F5" w:rsidP="00A644F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לא יחולו על בעלות או זכות אחרת בזכות היוצרים או בזכויות המבצעים של האמן.</w:t>
      </w:r>
    </w:p>
    <w:p w:rsidR="00A644F5" w:rsidRDefault="00A644F5" w:rsidP="00A644F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זה כדי למנוע מצדדים להתקשרות מלהתקשר בחוזה חדש ביניהם בתום תקופת ההתקשרות, והכול בכפוף להוראות חוק זה.</w:t>
      </w:r>
    </w:p>
    <w:p w:rsidR="00681785" w:rsidRDefault="00681785" w:rsidP="00A644F5">
      <w:pPr>
        <w:pStyle w:val="P00"/>
        <w:spacing w:before="72"/>
        <w:ind w:left="0" w:right="1134"/>
        <w:rPr>
          <w:rStyle w:val="default"/>
          <w:rFonts w:cs="FrankRuehl" w:hint="cs"/>
          <w:rtl/>
        </w:rPr>
      </w:pPr>
      <w:bookmarkStart w:id="2" w:name="Seif3"/>
      <w:bookmarkEnd w:id="2"/>
      <w:r>
        <w:rPr>
          <w:lang w:val="he-IL"/>
        </w:rPr>
        <w:pict>
          <v:rect id="_x0000_s1032" style="position:absolute;left:0;text-align:left;margin-left:464.5pt;margin-top:8.05pt;width:75.05pt;height:16pt;z-index:251658752" o:allowincell="f" filled="f" stroked="f" strokecolor="lime" strokeweight=".25pt">
            <v:textbox inset="0,0,0,0">
              <w:txbxContent>
                <w:p w:rsidR="00681785" w:rsidRDefault="00A644F5">
                  <w:pPr>
                    <w:spacing w:line="160" w:lineRule="exact"/>
                    <w:jc w:val="left"/>
                    <w:rPr>
                      <w:rFonts w:cs="Miriam" w:hint="cs"/>
                      <w:noProof/>
                      <w:sz w:val="18"/>
                      <w:szCs w:val="18"/>
                      <w:rtl/>
                    </w:rPr>
                  </w:pPr>
                  <w:r>
                    <w:rPr>
                      <w:rFonts w:cs="Miriam" w:hint="cs"/>
                      <w:sz w:val="18"/>
                      <w:szCs w:val="18"/>
                      <w:rtl/>
                    </w:rPr>
                    <w:t>חיוב אמון</w:t>
                  </w:r>
                </w:p>
              </w:txbxContent>
            </v:textbox>
            <w10:anchorlock/>
          </v:rect>
        </w:pict>
      </w:r>
      <w:r>
        <w:rPr>
          <w:rStyle w:val="big-number"/>
          <w:rFonts w:cs="Miriam"/>
          <w:rtl/>
        </w:rPr>
        <w:t>3</w:t>
      </w:r>
      <w:r w:rsidRPr="00A644F5">
        <w:rPr>
          <w:rStyle w:val="default"/>
          <w:rFonts w:cs="FrankRuehl"/>
          <w:rtl/>
        </w:rPr>
        <w:t>.</w:t>
      </w:r>
      <w:r w:rsidRPr="00A644F5">
        <w:rPr>
          <w:rStyle w:val="default"/>
          <w:rFonts w:cs="FrankRuehl"/>
          <w:rtl/>
        </w:rPr>
        <w:tab/>
      </w:r>
      <w:r w:rsidR="00A644F5">
        <w:rPr>
          <w:rStyle w:val="default"/>
          <w:rFonts w:cs="FrankRuehl" w:hint="cs"/>
          <w:rtl/>
        </w:rPr>
        <w:t>בהתקשרות עם אמן יפעל המתקשר לטובת האמן באמונה, בשקידה, במיומנות, במסירות ובלא התרשלות, ינהג בתום לב לטובת עניינו של האמן, ולא יעדיף את ענייניו האישיים או את עניינו של אחר על פני טובת האמן.</w:t>
      </w:r>
    </w:p>
    <w:p w:rsidR="00A644F5" w:rsidRDefault="00A644F5">
      <w:pPr>
        <w:pStyle w:val="P00"/>
        <w:spacing w:before="72"/>
        <w:ind w:left="0" w:right="1134"/>
        <w:rPr>
          <w:rStyle w:val="default"/>
          <w:rFonts w:cs="FrankRuehl" w:hint="cs"/>
          <w:rtl/>
        </w:rPr>
      </w:pPr>
    </w:p>
    <w:p w:rsidR="00A644F5" w:rsidRDefault="00A644F5">
      <w:pPr>
        <w:pStyle w:val="P00"/>
        <w:spacing w:before="72"/>
        <w:ind w:left="0" w:right="1134"/>
        <w:rPr>
          <w:rStyle w:val="default"/>
          <w:rFonts w:cs="FrankRuehl" w:hint="cs"/>
          <w:rtl/>
        </w:rPr>
      </w:pPr>
    </w:p>
    <w:p w:rsidR="00A644F5" w:rsidRDefault="00A644F5" w:rsidP="00A644F5">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sz w:val="26"/>
          <w:szCs w:val="26"/>
          <w:rtl/>
        </w:rPr>
        <w:tab/>
      </w:r>
      <w:r>
        <w:rPr>
          <w:rFonts w:cs="FrankRuehl"/>
          <w:sz w:val="26"/>
          <w:szCs w:val="26"/>
          <w:rtl/>
        </w:rPr>
        <w:tab/>
      </w:r>
      <w:r>
        <w:rPr>
          <w:rFonts w:cs="FrankRuehl" w:hint="cs"/>
          <w:sz w:val="26"/>
          <w:szCs w:val="26"/>
          <w:rtl/>
        </w:rPr>
        <w:t>בנימין נתניהו</w:t>
      </w:r>
      <w:r>
        <w:rPr>
          <w:rFonts w:cs="FrankRuehl" w:hint="cs"/>
          <w:sz w:val="26"/>
          <w:szCs w:val="26"/>
          <w:rtl/>
        </w:rPr>
        <w:tab/>
      </w:r>
      <w:r>
        <w:rPr>
          <w:rFonts w:cs="FrankRuehl"/>
          <w:sz w:val="26"/>
          <w:szCs w:val="26"/>
          <w:rtl/>
        </w:rPr>
        <w:tab/>
      </w:r>
      <w:r>
        <w:rPr>
          <w:rFonts w:cs="FrankRuehl" w:hint="cs"/>
          <w:sz w:val="26"/>
          <w:szCs w:val="26"/>
          <w:rtl/>
        </w:rPr>
        <w:t>מירי רגב</w:t>
      </w:r>
    </w:p>
    <w:p w:rsidR="00A644F5" w:rsidRDefault="00A644F5" w:rsidP="00A644F5">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r>
        <w:rPr>
          <w:rFonts w:cs="FrankRuehl" w:hint="cs"/>
          <w:sz w:val="22"/>
          <w:rtl/>
        </w:rPr>
        <w:tab/>
      </w:r>
      <w:r>
        <w:rPr>
          <w:rFonts w:cs="FrankRuehl"/>
          <w:sz w:val="22"/>
          <w:rtl/>
        </w:rPr>
        <w:tab/>
      </w:r>
      <w:r>
        <w:rPr>
          <w:rFonts w:cs="FrankRuehl" w:hint="cs"/>
          <w:sz w:val="22"/>
          <w:rtl/>
        </w:rPr>
        <w:t>שרת התרבות והספורט</w:t>
      </w:r>
    </w:p>
    <w:p w:rsidR="00681785" w:rsidRDefault="00681785" w:rsidP="00A644F5">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sz w:val="26"/>
          <w:szCs w:val="26"/>
          <w:rtl/>
        </w:rPr>
        <w:tab/>
      </w:r>
      <w:r w:rsidR="00A644F5">
        <w:rPr>
          <w:rFonts w:cs="FrankRuehl" w:hint="cs"/>
          <w:sz w:val="26"/>
          <w:szCs w:val="26"/>
          <w:rtl/>
        </w:rPr>
        <w:t>ראובן ריבלין</w:t>
      </w:r>
      <w:r>
        <w:rPr>
          <w:rFonts w:cs="FrankRuehl"/>
          <w:sz w:val="26"/>
          <w:szCs w:val="26"/>
          <w:rtl/>
        </w:rPr>
        <w:tab/>
      </w:r>
      <w:r>
        <w:rPr>
          <w:rFonts w:cs="FrankRuehl"/>
          <w:sz w:val="26"/>
          <w:szCs w:val="26"/>
          <w:rtl/>
        </w:rPr>
        <w:tab/>
      </w:r>
      <w:r w:rsidR="00A644F5">
        <w:rPr>
          <w:rFonts w:cs="FrankRuehl" w:hint="cs"/>
          <w:sz w:val="26"/>
          <w:szCs w:val="26"/>
          <w:rtl/>
        </w:rPr>
        <w:t>יולי יואל אדלשטיין</w:t>
      </w:r>
    </w:p>
    <w:p w:rsidR="00681785" w:rsidRDefault="00681785" w:rsidP="00A644F5">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hint="cs"/>
          <w:sz w:val="22"/>
          <w:rtl/>
        </w:rPr>
        <w:t>נשי</w:t>
      </w:r>
      <w:r>
        <w:rPr>
          <w:rFonts w:cs="FrankRuehl"/>
          <w:sz w:val="22"/>
          <w:rtl/>
        </w:rPr>
        <w:t>א</w:t>
      </w:r>
      <w:r>
        <w:rPr>
          <w:rFonts w:cs="FrankRuehl" w:hint="cs"/>
          <w:sz w:val="22"/>
          <w:rtl/>
        </w:rPr>
        <w:t xml:space="preserve"> המדינה</w:t>
      </w:r>
      <w:r>
        <w:rPr>
          <w:rFonts w:cs="FrankRuehl"/>
          <w:sz w:val="22"/>
          <w:rtl/>
        </w:rPr>
        <w:tab/>
      </w:r>
      <w:r>
        <w:rPr>
          <w:rFonts w:cs="FrankRuehl"/>
          <w:sz w:val="22"/>
          <w:rtl/>
        </w:rPr>
        <w:tab/>
      </w:r>
      <w:r w:rsidR="00A644F5">
        <w:rPr>
          <w:rFonts w:cs="FrankRuehl" w:hint="cs"/>
          <w:sz w:val="22"/>
          <w:rtl/>
        </w:rPr>
        <w:t>יושב ראש הכנסת</w:t>
      </w:r>
    </w:p>
    <w:p w:rsidR="00A644F5" w:rsidRDefault="00A644F5">
      <w:pPr>
        <w:pStyle w:val="P00"/>
        <w:spacing w:before="72"/>
        <w:ind w:left="0" w:right="1134"/>
        <w:rPr>
          <w:rStyle w:val="default"/>
          <w:rFonts w:cs="FrankRuehl" w:hint="cs"/>
          <w:rtl/>
        </w:rPr>
      </w:pPr>
    </w:p>
    <w:p w:rsidR="00681785" w:rsidRDefault="00681785">
      <w:pPr>
        <w:pStyle w:val="P00"/>
        <w:spacing w:before="72"/>
        <w:ind w:left="0" w:right="1134"/>
        <w:rPr>
          <w:rStyle w:val="default"/>
          <w:rFonts w:cs="FrankRuehl"/>
          <w:rtl/>
        </w:rPr>
      </w:pPr>
    </w:p>
    <w:p w:rsidR="00681785" w:rsidRDefault="00681785">
      <w:pPr>
        <w:pStyle w:val="P00"/>
        <w:spacing w:before="72"/>
        <w:ind w:left="0" w:right="1134"/>
        <w:rPr>
          <w:rStyle w:val="default"/>
          <w:rFonts w:cs="FrankRuehl" w:hint="cs"/>
          <w:rtl/>
        </w:rPr>
      </w:pPr>
      <w:bookmarkStart w:id="3" w:name="LawPartEnd"/>
    </w:p>
    <w:bookmarkEnd w:id="3"/>
    <w:p w:rsidR="007D5F6B" w:rsidRDefault="007D5F6B">
      <w:pPr>
        <w:pStyle w:val="P00"/>
        <w:spacing w:before="72"/>
        <w:ind w:left="0" w:right="1134"/>
        <w:rPr>
          <w:rStyle w:val="default"/>
          <w:rFonts w:cs="FrankRuehl"/>
          <w:rtl/>
        </w:rPr>
      </w:pPr>
    </w:p>
    <w:p w:rsidR="007D5F6B" w:rsidRDefault="007D5F6B">
      <w:pPr>
        <w:pStyle w:val="P00"/>
        <w:spacing w:before="72"/>
        <w:ind w:left="0" w:right="1134"/>
        <w:rPr>
          <w:rStyle w:val="default"/>
          <w:rFonts w:cs="FrankRuehl"/>
          <w:rtl/>
        </w:rPr>
      </w:pPr>
    </w:p>
    <w:p w:rsidR="007D5F6B" w:rsidRDefault="007D5F6B" w:rsidP="007D5F6B">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454E70" w:rsidRPr="007D5F6B" w:rsidRDefault="00454E70" w:rsidP="007D5F6B">
      <w:pPr>
        <w:pStyle w:val="P00"/>
        <w:spacing w:before="72"/>
        <w:ind w:left="0" w:right="1134"/>
        <w:jc w:val="center"/>
        <w:rPr>
          <w:rStyle w:val="default"/>
          <w:rFonts w:cs="David"/>
          <w:color w:val="0000FF"/>
          <w:szCs w:val="24"/>
          <w:u w:val="single"/>
          <w:rtl/>
        </w:rPr>
      </w:pPr>
    </w:p>
    <w:sectPr w:rsidR="00454E70" w:rsidRPr="007D5F6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5EBA" w:rsidRDefault="002C5EBA">
      <w:r>
        <w:separator/>
      </w:r>
    </w:p>
  </w:endnote>
  <w:endnote w:type="continuationSeparator" w:id="0">
    <w:p w:rsidR="002C5EBA" w:rsidRDefault="002C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785" w:rsidRDefault="006817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81785" w:rsidRDefault="006817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681785" w:rsidRDefault="006817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327D">
      <w:rPr>
        <w:rFonts w:cs="TopType Jerushalmi"/>
        <w:noProof/>
        <w:color w:val="000000"/>
        <w:sz w:val="14"/>
        <w:szCs w:val="14"/>
      </w:rPr>
      <w:t>Z:\00000000000000000000000=2014------------------------\05-May\2014-05-28\LawsForHofit\05\134_002.doc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785" w:rsidRDefault="006817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D5F6B">
      <w:rPr>
        <w:rFonts w:hAnsi="FrankRuehl" w:cs="FrankRuehl"/>
        <w:noProof/>
        <w:sz w:val="24"/>
        <w:szCs w:val="24"/>
        <w:rtl/>
      </w:rPr>
      <w:t>2</w:t>
    </w:r>
    <w:r>
      <w:rPr>
        <w:rFonts w:hAnsi="FrankRuehl" w:cs="FrankRuehl"/>
        <w:sz w:val="24"/>
        <w:szCs w:val="24"/>
        <w:rtl/>
      </w:rPr>
      <w:fldChar w:fldCharType="end"/>
    </w:r>
  </w:p>
  <w:p w:rsidR="00681785" w:rsidRDefault="006817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681785" w:rsidRDefault="006817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327D">
      <w:rPr>
        <w:rFonts w:cs="TopType Jerushalmi"/>
        <w:noProof/>
        <w:color w:val="000000"/>
        <w:sz w:val="14"/>
        <w:szCs w:val="14"/>
      </w:rPr>
      <w:t>Z:\00000000000000000000000=2014------------------------\05-May\2014-05-28\LawsForHofit\05\134_002.doc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5EBA" w:rsidRDefault="002C5EBA">
      <w:pPr>
        <w:spacing w:before="60" w:line="240" w:lineRule="auto"/>
        <w:ind w:right="1134"/>
      </w:pPr>
      <w:r>
        <w:separator/>
      </w:r>
    </w:p>
  </w:footnote>
  <w:footnote w:type="continuationSeparator" w:id="0">
    <w:p w:rsidR="002C5EBA" w:rsidRDefault="002C5EBA">
      <w:r>
        <w:continuationSeparator/>
      </w:r>
    </w:p>
  </w:footnote>
  <w:footnote w:id="1">
    <w:p w:rsidR="002B13FD" w:rsidRPr="0060610A" w:rsidRDefault="00681785" w:rsidP="002B13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ם</w:t>
      </w:r>
      <w:r>
        <w:rPr>
          <w:rFonts w:cs="FrankRuehl" w:hint="cs"/>
          <w:rtl/>
        </w:rPr>
        <w:t xml:space="preserve"> </w:t>
      </w:r>
      <w:hyperlink r:id="rId1" w:history="1">
        <w:r w:rsidRPr="002B13FD">
          <w:rPr>
            <w:rStyle w:val="Hyperlink"/>
            <w:rFonts w:cs="FrankRuehl" w:hint="cs"/>
            <w:rtl/>
          </w:rPr>
          <w:t>ס"ח תש</w:t>
        </w:r>
        <w:r w:rsidR="00A644F5" w:rsidRPr="002B13FD">
          <w:rPr>
            <w:rStyle w:val="Hyperlink"/>
            <w:rFonts w:cs="FrankRuehl" w:hint="cs"/>
            <w:rtl/>
          </w:rPr>
          <w:t>ע"ז</w:t>
        </w:r>
        <w:r w:rsidRPr="002B13FD">
          <w:rPr>
            <w:rStyle w:val="Hyperlink"/>
            <w:rFonts w:cs="FrankRuehl" w:hint="cs"/>
            <w:rtl/>
          </w:rPr>
          <w:t xml:space="preserve"> מס' </w:t>
        </w:r>
        <w:r w:rsidR="00A644F5" w:rsidRPr="002B13FD">
          <w:rPr>
            <w:rStyle w:val="Hyperlink"/>
            <w:rFonts w:cs="FrankRuehl" w:hint="cs"/>
            <w:rtl/>
          </w:rPr>
          <w:t>2606</w:t>
        </w:r>
      </w:hyperlink>
      <w:r>
        <w:rPr>
          <w:rFonts w:cs="FrankRuehl" w:hint="cs"/>
          <w:rtl/>
        </w:rPr>
        <w:t xml:space="preserve"> מיום </w:t>
      </w:r>
      <w:r w:rsidR="00A644F5">
        <w:rPr>
          <w:rFonts w:cs="FrankRuehl" w:hint="cs"/>
          <w:rtl/>
        </w:rPr>
        <w:t>27.2.2017</w:t>
      </w:r>
      <w:r>
        <w:rPr>
          <w:rFonts w:cs="FrankRuehl"/>
          <w:rtl/>
        </w:rPr>
        <w:t xml:space="preserve"> </w:t>
      </w:r>
      <w:r>
        <w:rPr>
          <w:rFonts w:cs="FrankRuehl" w:hint="cs"/>
          <w:rtl/>
        </w:rPr>
        <w:t xml:space="preserve">עמ' </w:t>
      </w:r>
      <w:r w:rsidR="00A644F5">
        <w:rPr>
          <w:rFonts w:cs="FrankRuehl" w:hint="cs"/>
          <w:rtl/>
        </w:rPr>
        <w:t>422</w:t>
      </w:r>
      <w:r>
        <w:rPr>
          <w:rFonts w:cs="FrankRuehl" w:hint="cs"/>
          <w:rtl/>
        </w:rPr>
        <w:t xml:space="preserve"> (</w:t>
      </w:r>
      <w:hyperlink r:id="rId2" w:history="1">
        <w:r w:rsidRPr="00A644F5">
          <w:rPr>
            <w:rStyle w:val="Hyperlink"/>
            <w:rFonts w:cs="FrankRuehl"/>
            <w:rtl/>
          </w:rPr>
          <w:t>ה</w:t>
        </w:r>
        <w:r w:rsidRPr="00A644F5">
          <w:rPr>
            <w:rStyle w:val="Hyperlink"/>
            <w:rFonts w:cs="FrankRuehl" w:hint="cs"/>
            <w:rtl/>
          </w:rPr>
          <w:t xml:space="preserve">"ח </w:t>
        </w:r>
        <w:r w:rsidR="00A644F5" w:rsidRPr="00A644F5">
          <w:rPr>
            <w:rStyle w:val="Hyperlink"/>
            <w:rFonts w:cs="FrankRuehl" w:hint="cs"/>
            <w:rtl/>
          </w:rPr>
          <w:t>הכנסת תשע"ה</w:t>
        </w:r>
        <w:r w:rsidRPr="00A644F5">
          <w:rPr>
            <w:rStyle w:val="Hyperlink"/>
            <w:rFonts w:cs="FrankRuehl" w:hint="cs"/>
            <w:rtl/>
          </w:rPr>
          <w:t xml:space="preserve"> מס' </w:t>
        </w:r>
        <w:r w:rsidR="00A644F5" w:rsidRPr="00A644F5">
          <w:rPr>
            <w:rStyle w:val="Hyperlink"/>
            <w:rFonts w:cs="FrankRuehl" w:hint="cs"/>
            <w:rtl/>
          </w:rPr>
          <w:t>594</w:t>
        </w:r>
      </w:hyperlink>
      <w:r>
        <w:rPr>
          <w:rFonts w:cs="FrankRuehl" w:hint="cs"/>
          <w:rtl/>
        </w:rPr>
        <w:t xml:space="preserve"> עמ' </w:t>
      </w:r>
      <w:r w:rsidR="00A644F5">
        <w:rPr>
          <w:rFonts w:cs="FrankRuehl" w:hint="cs"/>
          <w:rtl/>
        </w:rPr>
        <w:t>111</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785" w:rsidRDefault="006817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זכויות מבצעים ומשדרים, תשמ"ד–1984</w:t>
    </w:r>
  </w:p>
  <w:p w:rsidR="00681785" w:rsidRDefault="006817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81785" w:rsidRDefault="0068178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785" w:rsidRDefault="00681785" w:rsidP="00A644F5">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w:t>
    </w:r>
    <w:r w:rsidR="00A644F5">
      <w:rPr>
        <w:rFonts w:hAnsi="FrankRuehl" w:cs="FrankRuehl" w:hint="cs"/>
        <w:color w:val="000000"/>
        <w:sz w:val="28"/>
        <w:szCs w:val="28"/>
        <w:rtl/>
      </w:rPr>
      <w:t>הגנה על זכויות אמנים במוסיקה, תשע"ז-2017</w:t>
    </w:r>
  </w:p>
  <w:p w:rsidR="00681785" w:rsidRDefault="006817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81785" w:rsidRDefault="0068178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5B00"/>
    <w:rsid w:val="00006CDA"/>
    <w:rsid w:val="000320EC"/>
    <w:rsid w:val="000554C3"/>
    <w:rsid w:val="00072D62"/>
    <w:rsid w:val="000806C8"/>
    <w:rsid w:val="000D2333"/>
    <w:rsid w:val="000D5C20"/>
    <w:rsid w:val="000F15A3"/>
    <w:rsid w:val="00167278"/>
    <w:rsid w:val="00197181"/>
    <w:rsid w:val="001D4CBE"/>
    <w:rsid w:val="001D7034"/>
    <w:rsid w:val="001F7DD6"/>
    <w:rsid w:val="002B13FD"/>
    <w:rsid w:val="002C5EBA"/>
    <w:rsid w:val="002F15F2"/>
    <w:rsid w:val="00307B33"/>
    <w:rsid w:val="0031685C"/>
    <w:rsid w:val="00335D75"/>
    <w:rsid w:val="0035503F"/>
    <w:rsid w:val="003E007D"/>
    <w:rsid w:val="00454E70"/>
    <w:rsid w:val="005617DB"/>
    <w:rsid w:val="0058021E"/>
    <w:rsid w:val="005872DC"/>
    <w:rsid w:val="0060610A"/>
    <w:rsid w:val="006504F1"/>
    <w:rsid w:val="00681785"/>
    <w:rsid w:val="006F5B16"/>
    <w:rsid w:val="00722EB2"/>
    <w:rsid w:val="007D573F"/>
    <w:rsid w:val="007D5F6B"/>
    <w:rsid w:val="008B4BBD"/>
    <w:rsid w:val="0099327D"/>
    <w:rsid w:val="00A644F5"/>
    <w:rsid w:val="00AC7A3B"/>
    <w:rsid w:val="00B3121D"/>
    <w:rsid w:val="00B34B2B"/>
    <w:rsid w:val="00B56721"/>
    <w:rsid w:val="00BC3C21"/>
    <w:rsid w:val="00BE0D4F"/>
    <w:rsid w:val="00C61B46"/>
    <w:rsid w:val="00C90C1A"/>
    <w:rsid w:val="00D35B00"/>
    <w:rsid w:val="00E1198C"/>
    <w:rsid w:val="00E71C22"/>
    <w:rsid w:val="00E92F96"/>
    <w:rsid w:val="00EF3885"/>
    <w:rsid w:val="00EF6581"/>
    <w:rsid w:val="00F42F0D"/>
    <w:rsid w:val="00F472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97A7F68-739A-40EA-941F-05A618D1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Body Text"/>
    <w:basedOn w:val="a"/>
    <w:rPr>
      <w:sz w:val="18"/>
      <w:szCs w:val="18"/>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customStyle="1" w:styleId="P02">
    <w:name w:val="P02"/>
    <w:basedOn w:val="P00"/>
    <w:rsid w:val="00E92F96"/>
    <w:pPr>
      <w:ind w:right="1021" w:hanging="1021"/>
    </w:pPr>
    <w:rPr>
      <w:rFonts w:cs="FrankRuehl"/>
    </w:rPr>
  </w:style>
  <w:style w:type="paragraph" w:customStyle="1" w:styleId="P04">
    <w:name w:val="P04"/>
    <w:basedOn w:val="P00"/>
    <w:rsid w:val="00E92F96"/>
    <w:pPr>
      <w:ind w:right="1928" w:hanging="1928"/>
    </w:pPr>
    <w:rPr>
      <w:rFonts w:cs="FrankRueh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594.pdf" TargetMode="External"/><Relationship Id="rId1" Type="http://schemas.openxmlformats.org/officeDocument/2006/relationships/hyperlink" Target="http://www.nevo.co.il/law_word/law14/law-26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2175</CharactersWithSpaces>
  <SharedDoc>false</SharedDoc>
  <HLinks>
    <vt:vector size="36"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3276819</vt:i4>
      </vt:variant>
      <vt:variant>
        <vt:i4>3</vt:i4>
      </vt:variant>
      <vt:variant>
        <vt:i4>0</vt:i4>
      </vt:variant>
      <vt:variant>
        <vt:i4>5</vt:i4>
      </vt:variant>
      <vt:variant>
        <vt:lpwstr>http://www.nevo.co.il/Law_word/law16/knesset-594.pdf</vt:lpwstr>
      </vt:variant>
      <vt:variant>
        <vt:lpwstr/>
      </vt:variant>
      <vt:variant>
        <vt:i4>8192009</vt:i4>
      </vt:variant>
      <vt:variant>
        <vt:i4>0</vt:i4>
      </vt:variant>
      <vt:variant>
        <vt:i4>0</vt:i4>
      </vt:variant>
      <vt:variant>
        <vt:i4>5</vt:i4>
      </vt:variant>
      <vt:variant>
        <vt:lpwstr>http://www.nevo.co.il/law_word/law14/law-2606.pdf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הגנה על זכויות אמנים במוסיקה, תשע"ז-2017</vt:lpwstr>
  </property>
  <property fmtid="{D5CDD505-2E9C-101B-9397-08002B2CF9AE}" pid="4" name="LAWNUMBER">
    <vt:lpwstr>0560</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NOSE11">
    <vt:lpwstr>משפט פרטי וכלכלה</vt:lpwstr>
  </property>
  <property fmtid="{D5CDD505-2E9C-101B-9397-08002B2CF9AE}" pid="12" name="NOSE21">
    <vt:lpwstr>קניין</vt:lpwstr>
  </property>
  <property fmtid="{D5CDD505-2E9C-101B-9397-08002B2CF9AE}" pid="13" name="NOSE31">
    <vt:lpwstr>קניין רוחני</vt:lpwstr>
  </property>
  <property fmtid="{D5CDD505-2E9C-101B-9397-08002B2CF9AE}" pid="14" name="NOSE41">
    <vt:lpwstr>זכויות יוצרים</vt:lpwstr>
  </property>
  <property fmtid="{D5CDD505-2E9C-101B-9397-08002B2CF9AE}" pid="15" name="NOSE12">
    <vt:lpwstr>משפט פרטי וכלכלה</vt:lpwstr>
  </property>
  <property fmtid="{D5CDD505-2E9C-101B-9397-08002B2CF9AE}" pid="16" name="NOSE22">
    <vt:lpwstr>קניין</vt:lpwstr>
  </property>
  <property fmtid="{D5CDD505-2E9C-101B-9397-08002B2CF9AE}" pid="17" name="NOSE32">
    <vt:lpwstr>קניין רוחני</vt:lpwstr>
  </property>
  <property fmtid="{D5CDD505-2E9C-101B-9397-08002B2CF9AE}" pid="18" name="NOSE42">
    <vt:lpwstr>זכות מבצעים ומשדרים</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MEKORSAMCHUT">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CHNAME">
    <vt:lpwstr/>
  </property>
  <property fmtid="{D5CDD505-2E9C-101B-9397-08002B2CF9AE}" pid="61" name="LINKK1">
    <vt:lpwstr>http://www.nevo.co.il/law_word/law14/law-2606.pdf;‎רשומות - ספר חוקים#פורסם ס"ח תשע"ז מס' ‏‏2606 #מיום 27.2.2017 עמ' 422‏</vt:lpwstr>
  </property>
  <property fmtid="{D5CDD505-2E9C-101B-9397-08002B2CF9AE}" pid="62" name="LINKK2">
    <vt:lpwstr/>
  </property>
</Properties>
</file>