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DE3" w:rsidRDefault="002D1DE3">
      <w:pPr>
        <w:pStyle w:val="big-header"/>
        <w:ind w:left="0" w:right="1134"/>
        <w:rPr>
          <w:rFonts w:cs="FrankRuehl"/>
          <w:sz w:val="32"/>
        </w:rPr>
      </w:pPr>
      <w:r>
        <w:rPr>
          <w:rFonts w:cs="FrankRuehl"/>
          <w:sz w:val="32"/>
          <w:rtl/>
        </w:rPr>
        <w:t>חוק הגנת הדייר (מוסדות ציבור), תשכ"ד</w:t>
      </w:r>
      <w:r>
        <w:rPr>
          <w:rFonts w:cs="FrankRuehl" w:hint="cs"/>
          <w:sz w:val="32"/>
          <w:rtl/>
        </w:rPr>
        <w:t>-</w:t>
      </w:r>
      <w:r>
        <w:rPr>
          <w:rFonts w:cs="FrankRuehl"/>
          <w:sz w:val="32"/>
          <w:rtl/>
        </w:rPr>
        <w:t>1964</w:t>
      </w:r>
    </w:p>
    <w:p w:rsidR="009F1EB7" w:rsidRDefault="009F1EB7" w:rsidP="009F1EB7">
      <w:pPr>
        <w:spacing w:line="320" w:lineRule="auto"/>
        <w:jc w:val="left"/>
        <w:rPr>
          <w:rtl/>
        </w:rPr>
      </w:pPr>
    </w:p>
    <w:p w:rsidR="009F1EB7" w:rsidRDefault="009F1EB7" w:rsidP="009F1EB7">
      <w:pPr>
        <w:spacing w:line="320" w:lineRule="auto"/>
        <w:jc w:val="left"/>
        <w:rPr>
          <w:rFonts w:cs="FrankRuehl"/>
          <w:szCs w:val="26"/>
          <w:rtl/>
        </w:rPr>
      </w:pPr>
      <w:r w:rsidRPr="009F1EB7">
        <w:rPr>
          <w:rFonts w:cs="Miriam"/>
          <w:szCs w:val="22"/>
          <w:rtl/>
        </w:rPr>
        <w:t>משפט פרטי וכלכלה</w:t>
      </w:r>
      <w:r w:rsidRPr="009F1EB7">
        <w:rPr>
          <w:rFonts w:cs="FrankRuehl"/>
          <w:szCs w:val="26"/>
          <w:rtl/>
        </w:rPr>
        <w:t xml:space="preserve"> – קניין – שכירות והגנת הדייר</w:t>
      </w:r>
    </w:p>
    <w:p w:rsidR="009F1EB7" w:rsidRPr="009F1EB7" w:rsidRDefault="009F1EB7" w:rsidP="009F1EB7">
      <w:pPr>
        <w:spacing w:line="320" w:lineRule="auto"/>
        <w:jc w:val="left"/>
        <w:rPr>
          <w:rFonts w:cs="Miriam"/>
          <w:szCs w:val="22"/>
          <w:rtl/>
        </w:rPr>
      </w:pPr>
      <w:r w:rsidRPr="009F1EB7">
        <w:rPr>
          <w:rFonts w:cs="Miriam"/>
          <w:szCs w:val="22"/>
          <w:rtl/>
        </w:rPr>
        <w:t>בתי משפט וסדרי דין</w:t>
      </w:r>
      <w:r w:rsidRPr="009F1EB7">
        <w:rPr>
          <w:rFonts w:cs="FrankRuehl"/>
          <w:szCs w:val="26"/>
          <w:rtl/>
        </w:rPr>
        <w:t xml:space="preserve"> – סדר דין אזרחי – ערעור על החלטות</w:t>
      </w:r>
    </w:p>
    <w:p w:rsidR="002D1DE3" w:rsidRDefault="002D1DE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F08C7">
              <w:rPr>
                <w:noProof/>
                <w:sz w:val="24"/>
                <w:rtl/>
              </w:rPr>
              <w:t>2</w:t>
            </w:r>
            <w:r>
              <w:rPr>
                <w:sz w:val="24"/>
                <w:rtl/>
              </w:rPr>
              <w:fldChar w:fldCharType="end"/>
            </w:r>
          </w:p>
        </w:tc>
        <w:tc>
          <w:tcPr>
            <w:tcW w:w="567" w:type="dxa"/>
          </w:tcPr>
          <w:p w:rsidR="002D1DE3" w:rsidRDefault="002D1DE3">
            <w:pPr>
              <w:spacing w:line="240" w:lineRule="auto"/>
              <w:rPr>
                <w:sz w:val="24"/>
              </w:rPr>
            </w:pPr>
            <w:hyperlink w:anchor="Seif0" w:tooltip="הגדרות" w:history="1">
              <w:r>
                <w:rPr>
                  <w:rStyle w:val="Hyperlink"/>
                </w:rPr>
                <w:t>Go</w:t>
              </w:r>
            </w:hyperlink>
          </w:p>
        </w:tc>
        <w:tc>
          <w:tcPr>
            <w:tcW w:w="5669" w:type="dxa"/>
          </w:tcPr>
          <w:p w:rsidR="002D1DE3" w:rsidRDefault="002D1DE3">
            <w:pPr>
              <w:spacing w:line="240" w:lineRule="auto"/>
              <w:rPr>
                <w:sz w:val="24"/>
                <w:rtl/>
              </w:rPr>
            </w:pPr>
            <w:r>
              <w:rPr>
                <w:sz w:val="24"/>
                <w:rtl/>
              </w:rPr>
              <w:t>הגדרות</w:t>
            </w:r>
          </w:p>
        </w:tc>
        <w:tc>
          <w:tcPr>
            <w:tcW w:w="1247" w:type="dxa"/>
          </w:tcPr>
          <w:p w:rsidR="002D1DE3" w:rsidRDefault="002D1DE3">
            <w:pPr>
              <w:spacing w:line="240" w:lineRule="auto"/>
              <w:rPr>
                <w:sz w:val="24"/>
              </w:rPr>
            </w:pPr>
            <w:r>
              <w:rPr>
                <w:sz w:val="24"/>
                <w:rtl/>
              </w:rPr>
              <w:t xml:space="preserve">סעיף 1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F08C7">
              <w:rPr>
                <w:noProof/>
                <w:sz w:val="24"/>
                <w:rtl/>
              </w:rPr>
              <w:t>2</w:t>
            </w:r>
            <w:r>
              <w:rPr>
                <w:sz w:val="24"/>
                <w:rtl/>
              </w:rPr>
              <w:fldChar w:fldCharType="end"/>
            </w:r>
          </w:p>
        </w:tc>
        <w:tc>
          <w:tcPr>
            <w:tcW w:w="567" w:type="dxa"/>
          </w:tcPr>
          <w:p w:rsidR="002D1DE3" w:rsidRDefault="002D1DE3">
            <w:pPr>
              <w:spacing w:line="240" w:lineRule="auto"/>
              <w:rPr>
                <w:sz w:val="24"/>
              </w:rPr>
            </w:pPr>
            <w:hyperlink w:anchor="Seif1" w:tooltip="העברת שכירות למוסד" w:history="1">
              <w:r>
                <w:rPr>
                  <w:rStyle w:val="Hyperlink"/>
                </w:rPr>
                <w:t>Go</w:t>
              </w:r>
            </w:hyperlink>
          </w:p>
        </w:tc>
        <w:tc>
          <w:tcPr>
            <w:tcW w:w="5669" w:type="dxa"/>
          </w:tcPr>
          <w:p w:rsidR="002D1DE3" w:rsidRDefault="002D1DE3">
            <w:pPr>
              <w:spacing w:line="240" w:lineRule="auto"/>
              <w:rPr>
                <w:sz w:val="24"/>
                <w:rtl/>
              </w:rPr>
            </w:pPr>
            <w:r>
              <w:rPr>
                <w:sz w:val="24"/>
                <w:rtl/>
              </w:rPr>
              <w:t>העברת שכירות למוסד</w:t>
            </w:r>
          </w:p>
        </w:tc>
        <w:tc>
          <w:tcPr>
            <w:tcW w:w="1247" w:type="dxa"/>
          </w:tcPr>
          <w:p w:rsidR="002D1DE3" w:rsidRDefault="002D1DE3">
            <w:pPr>
              <w:spacing w:line="240" w:lineRule="auto"/>
              <w:rPr>
                <w:sz w:val="24"/>
              </w:rPr>
            </w:pPr>
            <w:r>
              <w:rPr>
                <w:sz w:val="24"/>
                <w:rtl/>
              </w:rPr>
              <w:t xml:space="preserve">סעיף 2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F08C7">
              <w:rPr>
                <w:noProof/>
                <w:sz w:val="24"/>
                <w:rtl/>
              </w:rPr>
              <w:t>2</w:t>
            </w:r>
            <w:r>
              <w:rPr>
                <w:sz w:val="24"/>
                <w:rtl/>
              </w:rPr>
              <w:fldChar w:fldCharType="end"/>
            </w:r>
          </w:p>
        </w:tc>
        <w:tc>
          <w:tcPr>
            <w:tcW w:w="567" w:type="dxa"/>
          </w:tcPr>
          <w:p w:rsidR="002D1DE3" w:rsidRDefault="002D1DE3">
            <w:pPr>
              <w:spacing w:line="240" w:lineRule="auto"/>
              <w:rPr>
                <w:sz w:val="24"/>
              </w:rPr>
            </w:pPr>
            <w:hyperlink w:anchor="Seif2" w:tooltip="סייג לשימוש" w:history="1">
              <w:r>
                <w:rPr>
                  <w:rStyle w:val="Hyperlink"/>
                </w:rPr>
                <w:t>Go</w:t>
              </w:r>
            </w:hyperlink>
          </w:p>
        </w:tc>
        <w:tc>
          <w:tcPr>
            <w:tcW w:w="5669" w:type="dxa"/>
          </w:tcPr>
          <w:p w:rsidR="002D1DE3" w:rsidRDefault="002D1DE3">
            <w:pPr>
              <w:spacing w:line="240" w:lineRule="auto"/>
              <w:rPr>
                <w:sz w:val="24"/>
                <w:rtl/>
              </w:rPr>
            </w:pPr>
            <w:r>
              <w:rPr>
                <w:sz w:val="24"/>
                <w:rtl/>
              </w:rPr>
              <w:t>סייג לשימוש</w:t>
            </w:r>
          </w:p>
        </w:tc>
        <w:tc>
          <w:tcPr>
            <w:tcW w:w="1247" w:type="dxa"/>
          </w:tcPr>
          <w:p w:rsidR="002D1DE3" w:rsidRDefault="002D1DE3">
            <w:pPr>
              <w:spacing w:line="240" w:lineRule="auto"/>
              <w:rPr>
                <w:sz w:val="24"/>
              </w:rPr>
            </w:pPr>
            <w:r>
              <w:rPr>
                <w:sz w:val="24"/>
                <w:rtl/>
              </w:rPr>
              <w:t xml:space="preserve">סעיף 3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F08C7">
              <w:rPr>
                <w:noProof/>
                <w:sz w:val="24"/>
                <w:rtl/>
              </w:rPr>
              <w:t>2</w:t>
            </w:r>
            <w:r>
              <w:rPr>
                <w:sz w:val="24"/>
                <w:rtl/>
              </w:rPr>
              <w:fldChar w:fldCharType="end"/>
            </w:r>
          </w:p>
        </w:tc>
        <w:tc>
          <w:tcPr>
            <w:tcW w:w="567" w:type="dxa"/>
          </w:tcPr>
          <w:p w:rsidR="002D1DE3" w:rsidRDefault="002D1DE3">
            <w:pPr>
              <w:spacing w:line="240" w:lineRule="auto"/>
              <w:rPr>
                <w:sz w:val="24"/>
              </w:rPr>
            </w:pPr>
            <w:hyperlink w:anchor="Seif3" w:tooltip="אין הכרח בהסכמת בעל הבית או הדייר" w:history="1">
              <w:r>
                <w:rPr>
                  <w:rStyle w:val="Hyperlink"/>
                </w:rPr>
                <w:t>Go</w:t>
              </w:r>
            </w:hyperlink>
          </w:p>
        </w:tc>
        <w:tc>
          <w:tcPr>
            <w:tcW w:w="5669" w:type="dxa"/>
          </w:tcPr>
          <w:p w:rsidR="002D1DE3" w:rsidRDefault="002D1DE3">
            <w:pPr>
              <w:spacing w:line="240" w:lineRule="auto"/>
              <w:rPr>
                <w:sz w:val="24"/>
                <w:rtl/>
              </w:rPr>
            </w:pPr>
            <w:r>
              <w:rPr>
                <w:sz w:val="24"/>
                <w:rtl/>
              </w:rPr>
              <w:t>אין הכרח בהסכמת בעל הבית או הדייר</w:t>
            </w:r>
          </w:p>
        </w:tc>
        <w:tc>
          <w:tcPr>
            <w:tcW w:w="1247" w:type="dxa"/>
          </w:tcPr>
          <w:p w:rsidR="002D1DE3" w:rsidRDefault="002D1DE3">
            <w:pPr>
              <w:spacing w:line="240" w:lineRule="auto"/>
              <w:rPr>
                <w:sz w:val="24"/>
              </w:rPr>
            </w:pPr>
            <w:r>
              <w:rPr>
                <w:sz w:val="24"/>
                <w:rtl/>
              </w:rPr>
              <w:t xml:space="preserve">סעיף 4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F08C7">
              <w:rPr>
                <w:noProof/>
                <w:sz w:val="24"/>
                <w:rtl/>
              </w:rPr>
              <w:t>2</w:t>
            </w:r>
            <w:r>
              <w:rPr>
                <w:sz w:val="24"/>
                <w:rtl/>
              </w:rPr>
              <w:fldChar w:fldCharType="end"/>
            </w:r>
          </w:p>
        </w:tc>
        <w:tc>
          <w:tcPr>
            <w:tcW w:w="567" w:type="dxa"/>
          </w:tcPr>
          <w:p w:rsidR="002D1DE3" w:rsidRDefault="002D1DE3">
            <w:pPr>
              <w:spacing w:line="240" w:lineRule="auto"/>
              <w:rPr>
                <w:sz w:val="24"/>
              </w:rPr>
            </w:pPr>
            <w:hyperlink w:anchor="Seif4" w:tooltip="תקנות סדרי הדין" w:history="1">
              <w:r>
                <w:rPr>
                  <w:rStyle w:val="Hyperlink"/>
                </w:rPr>
                <w:t>Go</w:t>
              </w:r>
            </w:hyperlink>
          </w:p>
        </w:tc>
        <w:tc>
          <w:tcPr>
            <w:tcW w:w="5669" w:type="dxa"/>
          </w:tcPr>
          <w:p w:rsidR="002D1DE3" w:rsidRDefault="002D1DE3">
            <w:pPr>
              <w:spacing w:line="240" w:lineRule="auto"/>
              <w:rPr>
                <w:sz w:val="24"/>
                <w:rtl/>
              </w:rPr>
            </w:pPr>
            <w:r>
              <w:rPr>
                <w:sz w:val="24"/>
                <w:rtl/>
              </w:rPr>
              <w:t>תקנות סדרי הדין</w:t>
            </w:r>
          </w:p>
        </w:tc>
        <w:tc>
          <w:tcPr>
            <w:tcW w:w="1247" w:type="dxa"/>
          </w:tcPr>
          <w:p w:rsidR="002D1DE3" w:rsidRDefault="002D1DE3">
            <w:pPr>
              <w:spacing w:line="240" w:lineRule="auto"/>
              <w:rPr>
                <w:sz w:val="24"/>
              </w:rPr>
            </w:pPr>
            <w:r>
              <w:rPr>
                <w:sz w:val="24"/>
                <w:rtl/>
              </w:rPr>
              <w:t xml:space="preserve">סעיף 5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5" w:tooltip="המשיבים" w:history="1">
              <w:r>
                <w:rPr>
                  <w:rStyle w:val="Hyperlink"/>
                </w:rPr>
                <w:t>Go</w:t>
              </w:r>
            </w:hyperlink>
          </w:p>
        </w:tc>
        <w:tc>
          <w:tcPr>
            <w:tcW w:w="5669" w:type="dxa"/>
          </w:tcPr>
          <w:p w:rsidR="002D1DE3" w:rsidRDefault="002D1DE3">
            <w:pPr>
              <w:spacing w:line="240" w:lineRule="auto"/>
              <w:rPr>
                <w:sz w:val="24"/>
                <w:rtl/>
              </w:rPr>
            </w:pPr>
            <w:r>
              <w:rPr>
                <w:sz w:val="24"/>
                <w:rtl/>
              </w:rPr>
              <w:t>המשיבים</w:t>
            </w:r>
          </w:p>
        </w:tc>
        <w:tc>
          <w:tcPr>
            <w:tcW w:w="1247" w:type="dxa"/>
          </w:tcPr>
          <w:p w:rsidR="002D1DE3" w:rsidRDefault="002D1DE3">
            <w:pPr>
              <w:spacing w:line="240" w:lineRule="auto"/>
              <w:rPr>
                <w:sz w:val="24"/>
              </w:rPr>
            </w:pPr>
            <w:r>
              <w:rPr>
                <w:sz w:val="24"/>
                <w:rtl/>
              </w:rPr>
              <w:t xml:space="preserve">סעיף 6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6" w:tooltip="החלטה כשאין הגנה" w:history="1">
              <w:r>
                <w:rPr>
                  <w:rStyle w:val="Hyperlink"/>
                </w:rPr>
                <w:t>Go</w:t>
              </w:r>
            </w:hyperlink>
          </w:p>
        </w:tc>
        <w:tc>
          <w:tcPr>
            <w:tcW w:w="5669" w:type="dxa"/>
          </w:tcPr>
          <w:p w:rsidR="002D1DE3" w:rsidRDefault="002D1DE3">
            <w:pPr>
              <w:spacing w:line="240" w:lineRule="auto"/>
              <w:rPr>
                <w:sz w:val="24"/>
                <w:rtl/>
              </w:rPr>
            </w:pPr>
            <w:r>
              <w:rPr>
                <w:sz w:val="24"/>
                <w:rtl/>
              </w:rPr>
              <w:t>החלטה כשאין הגנה</w:t>
            </w:r>
          </w:p>
        </w:tc>
        <w:tc>
          <w:tcPr>
            <w:tcW w:w="1247" w:type="dxa"/>
          </w:tcPr>
          <w:p w:rsidR="002D1DE3" w:rsidRDefault="002D1DE3">
            <w:pPr>
              <w:spacing w:line="240" w:lineRule="auto"/>
              <w:rPr>
                <w:sz w:val="24"/>
              </w:rPr>
            </w:pPr>
            <w:r>
              <w:rPr>
                <w:sz w:val="24"/>
                <w:rtl/>
              </w:rPr>
              <w:t xml:space="preserve">סעיף 7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7" w:tooltip="ערעור והוצאה לפועל" w:history="1">
              <w:r>
                <w:rPr>
                  <w:rStyle w:val="Hyperlink"/>
                </w:rPr>
                <w:t>Go</w:t>
              </w:r>
            </w:hyperlink>
          </w:p>
        </w:tc>
        <w:tc>
          <w:tcPr>
            <w:tcW w:w="5669" w:type="dxa"/>
          </w:tcPr>
          <w:p w:rsidR="002D1DE3" w:rsidRDefault="002D1DE3">
            <w:pPr>
              <w:spacing w:line="240" w:lineRule="auto"/>
              <w:rPr>
                <w:sz w:val="24"/>
                <w:rtl/>
              </w:rPr>
            </w:pPr>
            <w:r>
              <w:rPr>
                <w:sz w:val="24"/>
                <w:rtl/>
              </w:rPr>
              <w:t>ערעור והוצאה לפועל</w:t>
            </w:r>
          </w:p>
        </w:tc>
        <w:tc>
          <w:tcPr>
            <w:tcW w:w="1247" w:type="dxa"/>
          </w:tcPr>
          <w:p w:rsidR="002D1DE3" w:rsidRDefault="002D1DE3">
            <w:pPr>
              <w:spacing w:line="240" w:lineRule="auto"/>
              <w:rPr>
                <w:sz w:val="24"/>
              </w:rPr>
            </w:pPr>
            <w:r>
              <w:rPr>
                <w:sz w:val="24"/>
                <w:rtl/>
              </w:rPr>
              <w:t xml:space="preserve">סעיף 8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8" w:tooltip="דייר שנפטר" w:history="1">
              <w:r>
                <w:rPr>
                  <w:rStyle w:val="Hyperlink"/>
                </w:rPr>
                <w:t>Go</w:t>
              </w:r>
            </w:hyperlink>
          </w:p>
        </w:tc>
        <w:tc>
          <w:tcPr>
            <w:tcW w:w="5669" w:type="dxa"/>
          </w:tcPr>
          <w:p w:rsidR="002D1DE3" w:rsidRDefault="002D1DE3">
            <w:pPr>
              <w:spacing w:line="240" w:lineRule="auto"/>
              <w:rPr>
                <w:sz w:val="24"/>
                <w:rtl/>
              </w:rPr>
            </w:pPr>
            <w:r>
              <w:rPr>
                <w:sz w:val="24"/>
                <w:rtl/>
              </w:rPr>
              <w:t>דייר שנפטר</w:t>
            </w:r>
          </w:p>
        </w:tc>
        <w:tc>
          <w:tcPr>
            <w:tcW w:w="1247" w:type="dxa"/>
          </w:tcPr>
          <w:p w:rsidR="002D1DE3" w:rsidRDefault="002D1DE3">
            <w:pPr>
              <w:spacing w:line="240" w:lineRule="auto"/>
              <w:rPr>
                <w:sz w:val="24"/>
              </w:rPr>
            </w:pPr>
            <w:r>
              <w:rPr>
                <w:sz w:val="24"/>
                <w:rtl/>
              </w:rPr>
              <w:t xml:space="preserve">סעיף 9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9" w:tooltip="זכויות וחובות המוסד" w:history="1">
              <w:r>
                <w:rPr>
                  <w:rStyle w:val="Hyperlink"/>
                </w:rPr>
                <w:t>Go</w:t>
              </w:r>
            </w:hyperlink>
          </w:p>
        </w:tc>
        <w:tc>
          <w:tcPr>
            <w:tcW w:w="5669" w:type="dxa"/>
          </w:tcPr>
          <w:p w:rsidR="002D1DE3" w:rsidRDefault="002D1DE3">
            <w:pPr>
              <w:spacing w:line="240" w:lineRule="auto"/>
              <w:rPr>
                <w:sz w:val="24"/>
                <w:rtl/>
              </w:rPr>
            </w:pPr>
            <w:r>
              <w:rPr>
                <w:sz w:val="24"/>
                <w:rtl/>
              </w:rPr>
              <w:t>זכויות וחובות המוסד</w:t>
            </w:r>
          </w:p>
        </w:tc>
        <w:tc>
          <w:tcPr>
            <w:tcW w:w="1247" w:type="dxa"/>
          </w:tcPr>
          <w:p w:rsidR="002D1DE3" w:rsidRDefault="002D1DE3">
            <w:pPr>
              <w:spacing w:line="240" w:lineRule="auto"/>
              <w:rPr>
                <w:sz w:val="24"/>
              </w:rPr>
            </w:pPr>
            <w:r>
              <w:rPr>
                <w:sz w:val="24"/>
                <w:rtl/>
              </w:rPr>
              <w:t xml:space="preserve">סעיף 10 </w:t>
            </w:r>
          </w:p>
        </w:tc>
      </w:tr>
      <w:tr w:rsidR="002D1DE3">
        <w:tblPrEx>
          <w:tblCellMar>
            <w:top w:w="0" w:type="dxa"/>
            <w:bottom w:w="0" w:type="dxa"/>
          </w:tblCellMar>
        </w:tblPrEx>
        <w:tc>
          <w:tcPr>
            <w:tcW w:w="850" w:type="dxa"/>
          </w:tcPr>
          <w:p w:rsidR="002D1DE3" w:rsidRDefault="002D1DE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F08C7">
              <w:rPr>
                <w:noProof/>
                <w:sz w:val="24"/>
                <w:rtl/>
              </w:rPr>
              <w:t>3</w:t>
            </w:r>
            <w:r>
              <w:rPr>
                <w:sz w:val="24"/>
                <w:rtl/>
              </w:rPr>
              <w:fldChar w:fldCharType="end"/>
            </w:r>
          </w:p>
        </w:tc>
        <w:tc>
          <w:tcPr>
            <w:tcW w:w="567" w:type="dxa"/>
          </w:tcPr>
          <w:p w:rsidR="002D1DE3" w:rsidRDefault="002D1DE3">
            <w:pPr>
              <w:spacing w:line="240" w:lineRule="auto"/>
              <w:rPr>
                <w:sz w:val="24"/>
              </w:rPr>
            </w:pPr>
            <w:hyperlink w:anchor="Seif10" w:tooltip="ביצוע ותקנות" w:history="1">
              <w:r>
                <w:rPr>
                  <w:rStyle w:val="Hyperlink"/>
                </w:rPr>
                <w:t>Go</w:t>
              </w:r>
            </w:hyperlink>
          </w:p>
        </w:tc>
        <w:tc>
          <w:tcPr>
            <w:tcW w:w="5669" w:type="dxa"/>
          </w:tcPr>
          <w:p w:rsidR="002D1DE3" w:rsidRDefault="002D1DE3">
            <w:pPr>
              <w:spacing w:line="240" w:lineRule="auto"/>
              <w:rPr>
                <w:sz w:val="24"/>
                <w:rtl/>
              </w:rPr>
            </w:pPr>
            <w:r>
              <w:rPr>
                <w:sz w:val="24"/>
                <w:rtl/>
              </w:rPr>
              <w:t>ביצוע ותקנות</w:t>
            </w:r>
          </w:p>
        </w:tc>
        <w:tc>
          <w:tcPr>
            <w:tcW w:w="1247" w:type="dxa"/>
          </w:tcPr>
          <w:p w:rsidR="002D1DE3" w:rsidRDefault="002D1DE3">
            <w:pPr>
              <w:spacing w:line="240" w:lineRule="auto"/>
              <w:rPr>
                <w:sz w:val="24"/>
              </w:rPr>
            </w:pPr>
            <w:r>
              <w:rPr>
                <w:sz w:val="24"/>
                <w:rtl/>
              </w:rPr>
              <w:t xml:space="preserve">סעיף 11 </w:t>
            </w:r>
          </w:p>
        </w:tc>
      </w:tr>
    </w:tbl>
    <w:p w:rsidR="002D1DE3" w:rsidRDefault="002D1DE3">
      <w:pPr>
        <w:pStyle w:val="big-header"/>
        <w:ind w:left="0" w:right="1134"/>
        <w:rPr>
          <w:rFonts w:cs="FrankRuehl"/>
          <w:sz w:val="32"/>
          <w:rtl/>
        </w:rPr>
      </w:pPr>
    </w:p>
    <w:p w:rsidR="002D1DE3" w:rsidRDefault="002D1DE3" w:rsidP="009F1EB7">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הגנת הדייר (מוסדות ציבור), תשכ"ד-</w:t>
      </w:r>
      <w:r>
        <w:rPr>
          <w:rFonts w:cs="FrankRuehl"/>
          <w:sz w:val="32"/>
          <w:rtl/>
        </w:rPr>
        <w:t>1964</w:t>
      </w:r>
      <w:r w:rsidR="00BF08C7">
        <w:rPr>
          <w:rStyle w:val="a6"/>
          <w:rFonts w:cs="FrankRuehl"/>
          <w:sz w:val="32"/>
          <w:rtl/>
        </w:rPr>
        <w:footnoteReference w:customMarkFollows="1" w:id="1"/>
        <w:t>*</w:t>
      </w:r>
    </w:p>
    <w:p w:rsidR="002D1DE3" w:rsidRDefault="002D1DE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6pt;z-index:251652608"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2A571A">
        <w:rPr>
          <w:rStyle w:val="default"/>
          <w:rFonts w:cs="FrankRuehl"/>
          <w:rtl/>
        </w:rPr>
        <w:t>–</w:t>
      </w:r>
    </w:p>
    <w:p w:rsidR="002D1DE3" w:rsidRDefault="002D1DE3" w:rsidP="002A571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w:t>
      </w:r>
      <w:r w:rsidR="002A571A">
        <w:rPr>
          <w:rStyle w:val="default"/>
          <w:rFonts w:cs="FrankRuehl" w:hint="cs"/>
          <w:rtl/>
        </w:rPr>
        <w:t>-</w:t>
      </w:r>
      <w:r>
        <w:rPr>
          <w:rStyle w:val="default"/>
          <w:rFonts w:cs="FrankRuehl"/>
          <w:rtl/>
        </w:rPr>
        <w:t xml:space="preserve"> </w:t>
      </w:r>
      <w:r>
        <w:rPr>
          <w:rStyle w:val="default"/>
          <w:rFonts w:cs="FrankRuehl" w:hint="cs"/>
          <w:rtl/>
        </w:rPr>
        <w:t>חבר בני-אדם, מואגד או שאינו מואגד, הפועל שלא לשם השגת ריווח ועיקר מטרותיו הן אחת מאלה:</w:t>
      </w:r>
    </w:p>
    <w:p w:rsidR="002D1DE3" w:rsidRDefault="002D1DE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יוע לנזקקים;</w:t>
      </w:r>
    </w:p>
    <w:p w:rsidR="002D1DE3" w:rsidRDefault="002D1DE3" w:rsidP="00AA21CF">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יום בתי תפילה או שירותים דתיים וסיפוק צרכי דת, ותעודה חת</w:t>
      </w:r>
      <w:r>
        <w:rPr>
          <w:rStyle w:val="default"/>
          <w:rFonts w:cs="FrankRuehl"/>
          <w:rtl/>
        </w:rPr>
        <w:t>ומ</w:t>
      </w:r>
      <w:r>
        <w:rPr>
          <w:rStyle w:val="default"/>
          <w:rFonts w:cs="FrankRuehl" w:hint="cs"/>
          <w:rtl/>
        </w:rPr>
        <w:t>ה ביד שר הדתות</w:t>
      </w:r>
      <w:r w:rsidR="00AA21CF">
        <w:rPr>
          <w:rStyle w:val="a6"/>
          <w:rFonts w:cs="FrankRuehl"/>
          <w:sz w:val="26"/>
          <w:rtl/>
        </w:rPr>
        <w:footnoteReference w:id="2"/>
      </w:r>
      <w:r>
        <w:rPr>
          <w:rStyle w:val="default"/>
          <w:rFonts w:cs="FrankRuehl" w:hint="cs"/>
          <w:rtl/>
        </w:rPr>
        <w:t>, כי מטרותיו של החבר הן כאמור, תשמש ראיה לכך;</w:t>
      </w:r>
    </w:p>
    <w:p w:rsidR="002D1DE3" w:rsidRDefault="002D1DE3" w:rsidP="002A571A">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יפוח אמנות, תרבות, חינוך, השכלה או הכשרה</w:t>
      </w:r>
      <w:r>
        <w:rPr>
          <w:rStyle w:val="default"/>
          <w:rFonts w:cs="FrankRuehl"/>
          <w:rtl/>
        </w:rPr>
        <w:t xml:space="preserve"> מ</w:t>
      </w:r>
      <w:r>
        <w:rPr>
          <w:rStyle w:val="default"/>
          <w:rFonts w:cs="FrankRuehl" w:hint="cs"/>
          <w:rtl/>
        </w:rPr>
        <w:t>קצועית, ותעודה חתומה ביד שר החינוך והתרבות כי מטרותיו של החבר הן כאמור, תשמש ראיה לכך;</w:t>
      </w:r>
    </w:p>
    <w:p w:rsidR="002D1DE3" w:rsidRDefault="002D1DE3">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יום מועדוני נוער, מועדוני מפלגות או מועדוני ספורט;</w:t>
      </w:r>
    </w:p>
    <w:p w:rsidR="002D1DE3" w:rsidRDefault="002D1DE3">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טרה אחרת המכוונת לתועלת הציבור ואשר </w:t>
      </w:r>
      <w:r>
        <w:rPr>
          <w:rStyle w:val="default"/>
          <w:rFonts w:cs="FrankRuehl"/>
          <w:rtl/>
        </w:rPr>
        <w:t>ש</w:t>
      </w:r>
      <w:r>
        <w:rPr>
          <w:rStyle w:val="default"/>
          <w:rFonts w:cs="FrankRuehl" w:hint="cs"/>
          <w:rtl/>
        </w:rPr>
        <w:t>ר השיכון באישור ועדת הפנים של הכנסת הכיר בה כמטרה לענין חוק זה;</w:t>
      </w:r>
    </w:p>
    <w:p w:rsidR="002D1DE3" w:rsidRDefault="002D1DE3" w:rsidP="002A571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מואגד" </w:t>
      </w:r>
      <w:r w:rsidR="002A571A">
        <w:rPr>
          <w:rStyle w:val="default"/>
          <w:rFonts w:cs="FrankRuehl" w:hint="cs"/>
          <w:rtl/>
        </w:rPr>
        <w:t>-</w:t>
      </w:r>
      <w:r>
        <w:rPr>
          <w:rStyle w:val="default"/>
          <w:rFonts w:cs="FrankRuehl"/>
          <w:rtl/>
        </w:rPr>
        <w:t xml:space="preserve"> </w:t>
      </w:r>
      <w:r>
        <w:rPr>
          <w:rStyle w:val="default"/>
          <w:rFonts w:cs="FrankRuehl" w:hint="cs"/>
          <w:rtl/>
        </w:rPr>
        <w:t>מוסד שהוא אגודה שנרשמה על פי החוק העותמני על האגודות משנת 1327 (1909) או תאגיד אחר, הקדש דתי שנתמנה לו נציג כדין או הקדש שנוסד על פי פקוד</w:t>
      </w:r>
      <w:r>
        <w:rPr>
          <w:rStyle w:val="default"/>
          <w:rFonts w:cs="FrankRuehl"/>
          <w:rtl/>
        </w:rPr>
        <w:t xml:space="preserve">ת </w:t>
      </w:r>
      <w:r>
        <w:rPr>
          <w:rStyle w:val="default"/>
          <w:rFonts w:cs="FrankRuehl" w:hint="cs"/>
          <w:rtl/>
        </w:rPr>
        <w:t>ההקדשות לצרכי צדקה;</w:t>
      </w:r>
    </w:p>
    <w:p w:rsidR="002D1DE3" w:rsidRDefault="002D1DE3" w:rsidP="002A57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w:t>
      </w:r>
      <w:r w:rsidR="002A571A">
        <w:rPr>
          <w:rStyle w:val="default"/>
          <w:rFonts w:cs="FrankRuehl" w:hint="cs"/>
          <w:rtl/>
        </w:rPr>
        <w:t>-</w:t>
      </w:r>
      <w:r>
        <w:rPr>
          <w:rStyle w:val="default"/>
          <w:rFonts w:cs="FrankRuehl"/>
          <w:rtl/>
        </w:rPr>
        <w:t xml:space="preserve"> </w:t>
      </w:r>
      <w:r>
        <w:rPr>
          <w:rStyle w:val="default"/>
          <w:rFonts w:cs="FrankRuehl" w:hint="cs"/>
          <w:rtl/>
        </w:rPr>
        <w:t>בית</w:t>
      </w:r>
      <w:r>
        <w:rPr>
          <w:rStyle w:val="default"/>
          <w:rFonts w:cs="FrankRuehl"/>
          <w:rtl/>
        </w:rPr>
        <w:t xml:space="preserve"> </w:t>
      </w:r>
      <w:r>
        <w:rPr>
          <w:rStyle w:val="default"/>
          <w:rFonts w:cs="FrankRuehl" w:hint="cs"/>
          <w:rtl/>
        </w:rPr>
        <w:t>דין לשכירות כמשמעותו בחוק הגנת הדייר, תשי"ד</w:t>
      </w:r>
      <w:r w:rsidR="002A571A">
        <w:rPr>
          <w:rStyle w:val="default"/>
          <w:rFonts w:cs="FrankRuehl" w:hint="cs"/>
          <w:rtl/>
        </w:rPr>
        <w:t>-</w:t>
      </w:r>
      <w:r>
        <w:rPr>
          <w:rStyle w:val="default"/>
          <w:rFonts w:cs="FrankRuehl"/>
          <w:rtl/>
        </w:rPr>
        <w:t>1954;</w:t>
      </w:r>
    </w:p>
    <w:p w:rsidR="002D1DE3" w:rsidRDefault="002D1DE3" w:rsidP="002A57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בית" </w:t>
      </w:r>
      <w:r w:rsidR="002A571A">
        <w:rPr>
          <w:rStyle w:val="default"/>
          <w:rFonts w:cs="FrankRuehl" w:hint="cs"/>
          <w:rtl/>
        </w:rPr>
        <w:t>-</w:t>
      </w:r>
      <w:r>
        <w:rPr>
          <w:rStyle w:val="default"/>
          <w:rFonts w:cs="FrankRuehl"/>
          <w:rtl/>
        </w:rPr>
        <w:t xml:space="preserve"> </w:t>
      </w:r>
      <w:r>
        <w:rPr>
          <w:rStyle w:val="default"/>
          <w:rFonts w:cs="FrankRuehl" w:hint="cs"/>
          <w:rtl/>
        </w:rPr>
        <w:t xml:space="preserve">מי שהשכיר בנין או חלק מבנין (להלן </w:t>
      </w:r>
      <w:r w:rsidR="002A571A">
        <w:rPr>
          <w:rStyle w:val="default"/>
          <w:rFonts w:cs="FrankRuehl" w:hint="cs"/>
          <w:rtl/>
        </w:rPr>
        <w:t>-</w:t>
      </w:r>
      <w:r>
        <w:rPr>
          <w:rStyle w:val="default"/>
          <w:rFonts w:cs="FrankRuehl"/>
          <w:rtl/>
        </w:rPr>
        <w:t xml:space="preserve"> </w:t>
      </w:r>
      <w:r>
        <w:rPr>
          <w:rStyle w:val="default"/>
          <w:rFonts w:cs="FrankRuehl" w:hint="cs"/>
          <w:rtl/>
        </w:rPr>
        <w:t>המושכר), בשכירות ראשית או בשכירות משנה, בין שהוא בעלו של המושכר ובין שאיננו בעלו, לרבות חליפיו של מי שהשכיר כאמור;</w:t>
      </w:r>
    </w:p>
    <w:p w:rsidR="002D1DE3" w:rsidRDefault="002D1DE3" w:rsidP="002A571A">
      <w:pPr>
        <w:pStyle w:val="P00"/>
        <w:spacing w:before="72"/>
        <w:ind w:left="0" w:right="1134"/>
        <w:rPr>
          <w:rStyle w:val="default"/>
          <w:rFonts w:cs="FrankRuehl"/>
          <w:rtl/>
        </w:rPr>
      </w:pPr>
      <w:r>
        <w:rPr>
          <w:rFonts w:cs="FrankRuehl"/>
          <w:sz w:val="26"/>
          <w:rtl/>
        </w:rPr>
        <w:tab/>
      </w:r>
      <w:r>
        <w:rPr>
          <w:rStyle w:val="default"/>
          <w:rFonts w:cs="FrankRuehl"/>
          <w:rtl/>
        </w:rPr>
        <w:t>"דיי</w:t>
      </w:r>
      <w:r>
        <w:rPr>
          <w:rStyle w:val="default"/>
          <w:rFonts w:cs="FrankRuehl" w:hint="cs"/>
          <w:rtl/>
        </w:rPr>
        <w:t xml:space="preserve">ר" </w:t>
      </w:r>
      <w:r w:rsidR="002A571A">
        <w:rPr>
          <w:rStyle w:val="default"/>
          <w:rFonts w:cs="FrankRuehl" w:hint="cs"/>
          <w:rtl/>
        </w:rPr>
        <w:t>-</w:t>
      </w:r>
      <w:r>
        <w:rPr>
          <w:rStyle w:val="default"/>
          <w:rFonts w:cs="FrankRuehl"/>
          <w:rtl/>
        </w:rPr>
        <w:t xml:space="preserve"> </w:t>
      </w:r>
      <w:r>
        <w:rPr>
          <w:rStyle w:val="default"/>
          <w:rFonts w:cs="FrankRuehl" w:hint="cs"/>
          <w:rtl/>
        </w:rPr>
        <w:t>מי שמחזיק במושכר, בשכירות ראשית</w:t>
      </w:r>
      <w:r>
        <w:rPr>
          <w:rStyle w:val="default"/>
          <w:rFonts w:cs="FrankRuehl"/>
          <w:rtl/>
        </w:rPr>
        <w:t xml:space="preserve"> </w:t>
      </w:r>
      <w:r>
        <w:rPr>
          <w:rStyle w:val="default"/>
          <w:rFonts w:cs="FrankRuehl" w:hint="cs"/>
          <w:rtl/>
        </w:rPr>
        <w:t>או בשכירות משנה, על פי חוזה או מכוח חוק הגנת הדייר, תשט"ו</w:t>
      </w:r>
      <w:r w:rsidR="002A571A">
        <w:rPr>
          <w:rStyle w:val="default"/>
          <w:rFonts w:cs="FrankRuehl" w:hint="cs"/>
          <w:rtl/>
        </w:rPr>
        <w:t>-</w:t>
      </w:r>
      <w:r>
        <w:rPr>
          <w:rStyle w:val="default"/>
          <w:rFonts w:cs="FrankRuehl"/>
          <w:rtl/>
        </w:rPr>
        <w:t>1955.</w:t>
      </w:r>
    </w:p>
    <w:p w:rsidR="002D1DE3" w:rsidRDefault="002D1DE3" w:rsidP="002A571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1pt;z-index:251653632" o:allowincell="f" filled="f" stroked="f" strokecolor="lime" strokeweight=".25pt">
            <v:textbox inset="0,0,0,0">
              <w:txbxContent>
                <w:p w:rsidR="002D1DE3" w:rsidRDefault="002D1DE3" w:rsidP="00BF08C7">
                  <w:pPr>
                    <w:spacing w:line="160" w:lineRule="exact"/>
                    <w:jc w:val="left"/>
                    <w:rPr>
                      <w:rFonts w:cs="Miriam"/>
                      <w:noProof/>
                      <w:sz w:val="18"/>
                      <w:szCs w:val="18"/>
                      <w:rtl/>
                    </w:rPr>
                  </w:pPr>
                  <w:r>
                    <w:rPr>
                      <w:rFonts w:cs="Miriam"/>
                      <w:sz w:val="18"/>
                      <w:szCs w:val="18"/>
                      <w:rtl/>
                    </w:rPr>
                    <w:t>הע</w:t>
                  </w:r>
                  <w:r>
                    <w:rPr>
                      <w:rFonts w:cs="Miriam" w:hint="cs"/>
                      <w:sz w:val="18"/>
                      <w:szCs w:val="18"/>
                      <w:rtl/>
                    </w:rPr>
                    <w:t>ברת שכירות</w:t>
                  </w:r>
                  <w:r w:rsidR="00BF08C7">
                    <w:rPr>
                      <w:rFonts w:cs="Miriam" w:hint="cs"/>
                      <w:sz w:val="18"/>
                      <w:szCs w:val="18"/>
                      <w:rtl/>
                    </w:rPr>
                    <w:t xml:space="preserve"> </w:t>
                  </w:r>
                  <w:r>
                    <w:rPr>
                      <w:rFonts w:cs="Miriam"/>
                      <w:sz w:val="18"/>
                      <w:szCs w:val="18"/>
                      <w:rtl/>
                    </w:rPr>
                    <w:t>למ</w:t>
                  </w:r>
                  <w:r>
                    <w:rPr>
                      <w:rFonts w:cs="Miriam" w:hint="cs"/>
                      <w:sz w:val="18"/>
                      <w:szCs w:val="18"/>
                      <w:rtl/>
                    </w:rPr>
                    <w:t>וסד</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שכר ששימש כולו או רובו, למטרותיו של מוסד, בהסכמת בעל הבית, רשאי בית הדין על פי בקשת המוסד או על פי בקשת הדייר, להכריז על המוסד כעל שוכר המושכר במקו</w:t>
      </w:r>
      <w:r>
        <w:rPr>
          <w:rStyle w:val="default"/>
          <w:rFonts w:cs="FrankRuehl"/>
          <w:rtl/>
        </w:rPr>
        <w:t xml:space="preserve">ם </w:t>
      </w:r>
      <w:r>
        <w:rPr>
          <w:rStyle w:val="default"/>
          <w:rFonts w:cs="FrankRuehl" w:hint="cs"/>
          <w:rtl/>
        </w:rPr>
        <w:t xml:space="preserve">הדייר, או כשוכר החלק ששימש כאמור, לפי הענין (הכרזה כאמור תיקרא להלן </w:t>
      </w:r>
      <w:r w:rsidR="002A571A">
        <w:rPr>
          <w:rStyle w:val="default"/>
          <w:rFonts w:cs="FrankRuehl" w:hint="cs"/>
          <w:rtl/>
        </w:rPr>
        <w:t>-</w:t>
      </w:r>
      <w:r>
        <w:rPr>
          <w:rStyle w:val="default"/>
          <w:rFonts w:cs="FrankRuehl"/>
          <w:rtl/>
        </w:rPr>
        <w:t xml:space="preserve"> </w:t>
      </w:r>
      <w:r>
        <w:rPr>
          <w:rStyle w:val="default"/>
          <w:rFonts w:cs="FrankRuehl" w:hint="cs"/>
          <w:rtl/>
        </w:rPr>
        <w:t xml:space="preserve">העברת השכירות). </w:t>
      </w:r>
    </w:p>
    <w:p w:rsidR="002D1DE3" w:rsidRDefault="002D1DE3">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45pt;z-index:251654656"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סי</w:t>
                  </w:r>
                  <w:r>
                    <w:rPr>
                      <w:rFonts w:cs="Miriam" w:hint="cs"/>
                      <w:sz w:val="18"/>
                      <w:szCs w:val="18"/>
                      <w:rtl/>
                    </w:rPr>
                    <w:t>יג לשימוש</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בית דין בסמכותו לפי סעיף 2, אלא אם שימש המושכר למ</w:t>
      </w:r>
      <w:r>
        <w:rPr>
          <w:rStyle w:val="default"/>
          <w:rFonts w:cs="FrankRuehl"/>
          <w:rtl/>
        </w:rPr>
        <w:t>טר</w:t>
      </w:r>
      <w:r>
        <w:rPr>
          <w:rStyle w:val="default"/>
          <w:rFonts w:cs="FrankRuehl" w:hint="cs"/>
          <w:rtl/>
        </w:rPr>
        <w:t xml:space="preserve">ות האמורות באותו סעיף שימוש רצוף מלפני יום כ"ז באדר ב' תשי"ד (1 באפריל 1954) עד להגשת הבקשה, והבקשה הוגשה לבית הדין תוך שנתיים מיום תחילתו של חוק זה. </w:t>
      </w:r>
    </w:p>
    <w:p w:rsidR="002D1DE3" w:rsidRDefault="002D1D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המוסד בתקופה האמורה בסעיף קטן (א) חבר בני-אדם שאינו מואגד, לא ישתמש בית דין בסמכותו לפי סעיף 2</w:t>
      </w:r>
      <w:r>
        <w:rPr>
          <w:rStyle w:val="default"/>
          <w:rFonts w:cs="FrankRuehl"/>
          <w:rtl/>
        </w:rPr>
        <w:t xml:space="preserve"> א</w:t>
      </w:r>
      <w:r>
        <w:rPr>
          <w:rStyle w:val="default"/>
          <w:rFonts w:cs="FrankRuehl" w:hint="cs"/>
          <w:rtl/>
        </w:rPr>
        <w:t>ל</w:t>
      </w:r>
      <w:r>
        <w:rPr>
          <w:rStyle w:val="default"/>
          <w:rFonts w:cs="FrankRuehl"/>
          <w:rtl/>
        </w:rPr>
        <w:t>א</w:t>
      </w:r>
      <w:r>
        <w:rPr>
          <w:rStyle w:val="default"/>
          <w:rFonts w:cs="FrankRuehl" w:hint="cs"/>
          <w:rtl/>
        </w:rPr>
        <w:t xml:space="preserve"> אם הואגד המוסד לפני הגשת הבקשה, ועיקר מטרותיו זהות עם מטרותיו שלפני ההאגד.</w:t>
      </w:r>
    </w:p>
    <w:p w:rsidR="002D1DE3" w:rsidRDefault="002D1DE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הבקשה להעברת השכירות על ידי המוסד, לא ישתמש בית הדין בסמכותו לפי סעיף 2, אלא אם שוכנע כי בכוונת המוסד להחזיק במושכר באותם התנאים שהחזיק בהם הדייר ולהשתמש בו למטרותיו</w:t>
      </w:r>
      <w:r>
        <w:rPr>
          <w:rStyle w:val="default"/>
          <w:rFonts w:cs="FrankRuehl"/>
          <w:rtl/>
        </w:rPr>
        <w:t xml:space="preserve">. </w:t>
      </w:r>
    </w:p>
    <w:p w:rsidR="002D1DE3" w:rsidRDefault="002D1DE3">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9.35pt;z-index:251655680"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אי</w:t>
                  </w:r>
                  <w:r>
                    <w:rPr>
                      <w:rFonts w:cs="Miriam" w:hint="cs"/>
                      <w:sz w:val="18"/>
                      <w:szCs w:val="18"/>
                      <w:rtl/>
                    </w:rPr>
                    <w:t>ן הכרח בהסכמת בעל הבית או הדייר</w:t>
                  </w:r>
                </w:p>
              </w:txbxContent>
            </v:textbox>
            <w10:anchorlock/>
          </v:rect>
        </w:pict>
      </w:r>
      <w:r>
        <w:rPr>
          <w:rStyle w:val="big-number"/>
          <w:rFonts w:cs="Miriam"/>
          <w:rtl/>
        </w:rPr>
        <w:t>4.</w:t>
      </w:r>
      <w:r>
        <w:rPr>
          <w:rStyle w:val="big-number"/>
          <w:rFonts w:cs="Miriam"/>
          <w:rtl/>
        </w:rPr>
        <w:tab/>
      </w:r>
      <w:r>
        <w:rPr>
          <w:rStyle w:val="default"/>
          <w:rFonts w:cs="FrankRuehl"/>
          <w:rtl/>
        </w:rPr>
        <w:t>נת</w:t>
      </w:r>
      <w:r>
        <w:rPr>
          <w:rStyle w:val="default"/>
          <w:rFonts w:cs="FrankRuehl" w:hint="cs"/>
          <w:rtl/>
        </w:rPr>
        <w:t xml:space="preserve">מלאו התנאים להעברת השכירות כאמור בסעיפים 2 ו-3, אין ההעברה טעונה הסכמת בעל-הבית, ואם הוגשה הבקשה על ידי המוסד, אין היא טעונה הסכמת הדייר. </w:t>
      </w:r>
    </w:p>
    <w:p w:rsidR="002D1DE3" w:rsidRDefault="002D1DE3" w:rsidP="002A571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6704" o:allowincell="f" filled="f" stroked="f" strokecolor="lime" strokeweight=".25pt">
            <v:textbox inset="0,0,0,0">
              <w:txbxContent>
                <w:p w:rsidR="002D1DE3" w:rsidRDefault="002D1DE3" w:rsidP="00BF08C7">
                  <w:pPr>
                    <w:spacing w:line="160" w:lineRule="exact"/>
                    <w:jc w:val="left"/>
                    <w:rPr>
                      <w:rFonts w:cs="Miriam"/>
                      <w:noProof/>
                      <w:sz w:val="18"/>
                      <w:szCs w:val="18"/>
                      <w:rtl/>
                    </w:rPr>
                  </w:pPr>
                  <w:r>
                    <w:rPr>
                      <w:rFonts w:cs="Miriam"/>
                      <w:sz w:val="18"/>
                      <w:szCs w:val="18"/>
                      <w:rtl/>
                    </w:rPr>
                    <w:t>תק</w:t>
                  </w:r>
                  <w:r>
                    <w:rPr>
                      <w:rFonts w:cs="Miriam" w:hint="cs"/>
                      <w:sz w:val="18"/>
                      <w:szCs w:val="18"/>
                      <w:rtl/>
                    </w:rPr>
                    <w:t>נות סדרי</w:t>
                  </w:r>
                  <w:r w:rsidR="00BF08C7">
                    <w:rPr>
                      <w:rFonts w:cs="Miriam" w:hint="cs"/>
                      <w:sz w:val="18"/>
                      <w:szCs w:val="18"/>
                      <w:rtl/>
                    </w:rPr>
                    <w:t xml:space="preserve"> </w:t>
                  </w:r>
                  <w:r>
                    <w:rPr>
                      <w:rFonts w:cs="Miriam"/>
                      <w:sz w:val="18"/>
                      <w:szCs w:val="18"/>
                      <w:rtl/>
                    </w:rPr>
                    <w:t>הד</w:t>
                  </w:r>
                  <w:r>
                    <w:rPr>
                      <w:rFonts w:cs="Miriam" w:hint="cs"/>
                      <w:sz w:val="18"/>
                      <w:szCs w:val="18"/>
                      <w:rtl/>
                    </w:rPr>
                    <w:t>ין</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המשפטים, בהתייעצות עם שר השיכון, רשאי לקבוע בתקנות</w:t>
      </w:r>
      <w:r>
        <w:rPr>
          <w:rStyle w:val="default"/>
          <w:rFonts w:cs="FrankRuehl"/>
          <w:rtl/>
        </w:rPr>
        <w:t xml:space="preserve"> </w:t>
      </w:r>
      <w:r>
        <w:rPr>
          <w:rStyle w:val="default"/>
          <w:rFonts w:cs="FrankRuehl" w:hint="cs"/>
          <w:rtl/>
        </w:rPr>
        <w:t>את סדרי הדין לפני בית הדין בהליכים לפי חוק זה (להל</w:t>
      </w:r>
      <w:r>
        <w:rPr>
          <w:rStyle w:val="default"/>
          <w:rFonts w:cs="FrankRuehl"/>
          <w:rtl/>
        </w:rPr>
        <w:t xml:space="preserve">ן </w:t>
      </w:r>
      <w:r w:rsidR="002A571A">
        <w:rPr>
          <w:rStyle w:val="default"/>
          <w:rFonts w:cs="FrankRuehl" w:hint="cs"/>
          <w:rtl/>
        </w:rPr>
        <w:t>-</w:t>
      </w:r>
      <w:r>
        <w:rPr>
          <w:rStyle w:val="default"/>
          <w:rFonts w:cs="FrankRuehl"/>
          <w:rtl/>
        </w:rPr>
        <w:t xml:space="preserve"> </w:t>
      </w:r>
      <w:r>
        <w:rPr>
          <w:rStyle w:val="default"/>
          <w:rFonts w:cs="FrankRuehl" w:hint="cs"/>
          <w:rtl/>
        </w:rPr>
        <w:t>תקנות סדרי הדין) ובמידה שלא נקבעה בהן הוראה אחרת יחולו סדרי הדין החלים לפי חוק הגנת הדייר, תשי"ד</w:t>
      </w:r>
      <w:r w:rsidR="002A571A">
        <w:rPr>
          <w:rStyle w:val="default"/>
          <w:rFonts w:cs="FrankRuehl" w:hint="cs"/>
          <w:rtl/>
        </w:rPr>
        <w:t>-</w:t>
      </w:r>
      <w:r>
        <w:rPr>
          <w:rStyle w:val="default"/>
          <w:rFonts w:cs="FrankRuehl"/>
          <w:rtl/>
        </w:rPr>
        <w:t xml:space="preserve">1954. </w:t>
      </w:r>
    </w:p>
    <w:p w:rsidR="002D1DE3" w:rsidRDefault="002D1DE3" w:rsidP="002A571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05pt;z-index:251657728"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המ</w:t>
                  </w:r>
                  <w:r>
                    <w:rPr>
                      <w:rFonts w:cs="Miriam" w:hint="cs"/>
                      <w:sz w:val="18"/>
                      <w:szCs w:val="18"/>
                      <w:rtl/>
                    </w:rPr>
                    <w:t>שיבים</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 xml:space="preserve">גשה הבקשה להעברת שכירות על ידי המוסד בלבד, יהיה גם הדייר למשיב, בנוסף לבעל </w:t>
      </w:r>
      <w:r>
        <w:rPr>
          <w:rStyle w:val="default"/>
          <w:rFonts w:cs="FrankRuehl" w:hint="cs"/>
          <w:rtl/>
        </w:rPr>
        <w:lastRenderedPageBreak/>
        <w:t xml:space="preserve">הבית, </w:t>
      </w:r>
      <w:r>
        <w:rPr>
          <w:rStyle w:val="default"/>
          <w:rFonts w:cs="FrankRuehl"/>
          <w:rtl/>
        </w:rPr>
        <w:t>ו</w:t>
      </w:r>
      <w:r>
        <w:rPr>
          <w:rStyle w:val="default"/>
          <w:rFonts w:cs="FrankRuehl" w:hint="cs"/>
          <w:rtl/>
        </w:rPr>
        <w:t xml:space="preserve">אם נפטר </w:t>
      </w:r>
      <w:r w:rsidR="002A571A">
        <w:rPr>
          <w:rStyle w:val="default"/>
          <w:rFonts w:cs="FrankRuehl" w:hint="cs"/>
          <w:rtl/>
        </w:rPr>
        <w:t>-</w:t>
      </w:r>
      <w:r>
        <w:rPr>
          <w:rStyle w:val="default"/>
          <w:rFonts w:cs="FrankRuehl"/>
          <w:rtl/>
        </w:rPr>
        <w:t xml:space="preserve"> </w:t>
      </w:r>
      <w:r>
        <w:rPr>
          <w:rStyle w:val="default"/>
          <w:rFonts w:cs="FrankRuehl" w:hint="cs"/>
          <w:rtl/>
        </w:rPr>
        <w:t>יהיה למשיב מי שהיה לדייר על פי הפרק השני לחוק הגנת</w:t>
      </w:r>
      <w:r>
        <w:rPr>
          <w:rStyle w:val="default"/>
          <w:rFonts w:cs="FrankRuehl"/>
          <w:rtl/>
        </w:rPr>
        <w:t xml:space="preserve"> ה</w:t>
      </w:r>
      <w:r>
        <w:rPr>
          <w:rStyle w:val="default"/>
          <w:rFonts w:cs="FrankRuehl" w:hint="cs"/>
          <w:rtl/>
        </w:rPr>
        <w:t>דייר, תשט"ו</w:t>
      </w:r>
      <w:r>
        <w:rPr>
          <w:rStyle w:val="default"/>
          <w:rFonts w:cs="FrankRuehl"/>
          <w:rtl/>
        </w:rPr>
        <w:t xml:space="preserve">–1955, </w:t>
      </w:r>
      <w:r>
        <w:rPr>
          <w:rStyle w:val="default"/>
          <w:rFonts w:cs="FrankRuehl" w:hint="cs"/>
          <w:rtl/>
        </w:rPr>
        <w:t xml:space="preserve">אם היה אדם לדייר כאמור. </w:t>
      </w:r>
    </w:p>
    <w:p w:rsidR="002D1DE3" w:rsidRDefault="002D1DE3">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pt;z-index:251658752" o:allowincell="f" filled="f" stroked="f" strokecolor="lime" strokeweight=".25pt">
            <v:textbox inset="0,0,0,0">
              <w:txbxContent>
                <w:p w:rsidR="002D1DE3" w:rsidRDefault="002D1DE3" w:rsidP="00BF08C7">
                  <w:pPr>
                    <w:spacing w:line="160" w:lineRule="exact"/>
                    <w:jc w:val="left"/>
                    <w:rPr>
                      <w:rFonts w:cs="Miriam"/>
                      <w:noProof/>
                      <w:sz w:val="18"/>
                      <w:szCs w:val="18"/>
                      <w:rtl/>
                    </w:rPr>
                  </w:pPr>
                  <w:r>
                    <w:rPr>
                      <w:rFonts w:cs="Miriam"/>
                      <w:sz w:val="18"/>
                      <w:szCs w:val="18"/>
                      <w:rtl/>
                    </w:rPr>
                    <w:t>הח</w:t>
                  </w:r>
                  <w:r>
                    <w:rPr>
                      <w:rFonts w:cs="Miriam" w:hint="cs"/>
                      <w:sz w:val="18"/>
                      <w:szCs w:val="18"/>
                      <w:rtl/>
                    </w:rPr>
                    <w:t>לטה כשאין</w:t>
                  </w:r>
                  <w:r w:rsidR="00BF08C7">
                    <w:rPr>
                      <w:rFonts w:cs="Miriam" w:hint="cs"/>
                      <w:sz w:val="18"/>
                      <w:szCs w:val="18"/>
                      <w:rtl/>
                    </w:rPr>
                    <w:t xml:space="preserve"> </w:t>
                  </w:r>
                  <w:r>
                    <w:rPr>
                      <w:rFonts w:cs="Miriam"/>
                      <w:sz w:val="18"/>
                      <w:szCs w:val="18"/>
                      <w:rtl/>
                    </w:rPr>
                    <w:t>הג</w:t>
                  </w:r>
                  <w:r>
                    <w:rPr>
                      <w:rFonts w:cs="Miriam" w:hint="cs"/>
                      <w:sz w:val="18"/>
                      <w:szCs w:val="18"/>
                      <w:rtl/>
                    </w:rPr>
                    <w:t>נה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התגונן המשיב תוך המועד שנקבע לכך בתקנות סדרי הדין ובית הדין היה משוכנע כי נתמלאו התנאים בסעיפים 2 ו-3 להעברת השכירות, יהיה רשאי להכריז על ההעברה על סמך החומר שלפניו בלי לקיים דיון.</w:t>
      </w:r>
    </w:p>
    <w:p w:rsidR="002D1DE3" w:rsidRDefault="002D1DE3" w:rsidP="002A571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8.1pt;z-index:251659776"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ער</w:t>
                  </w:r>
                  <w:r>
                    <w:rPr>
                      <w:rFonts w:cs="Miriam" w:hint="cs"/>
                      <w:sz w:val="18"/>
                      <w:szCs w:val="18"/>
                      <w:rtl/>
                    </w:rPr>
                    <w:t>ע</w:t>
                  </w:r>
                  <w:r>
                    <w:rPr>
                      <w:rFonts w:cs="Miriam"/>
                      <w:sz w:val="18"/>
                      <w:szCs w:val="18"/>
                      <w:rtl/>
                    </w:rPr>
                    <w:t>ור</w:t>
                  </w:r>
                  <w:r>
                    <w:rPr>
                      <w:rFonts w:cs="Miriam" w:hint="cs"/>
                      <w:sz w:val="18"/>
                      <w:szCs w:val="18"/>
                      <w:rtl/>
                    </w:rPr>
                    <w:t xml:space="preserve"> והוצאה לפועל</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ראות הפרק הרביעי </w:t>
      </w:r>
      <w:r>
        <w:rPr>
          <w:rStyle w:val="default"/>
          <w:rFonts w:cs="FrankRuehl"/>
          <w:rtl/>
        </w:rPr>
        <w:t>לח</w:t>
      </w:r>
      <w:r>
        <w:rPr>
          <w:rStyle w:val="default"/>
          <w:rFonts w:cs="FrankRuehl" w:hint="cs"/>
          <w:rtl/>
        </w:rPr>
        <w:t>וק הגנת הדייר, תשי"ד</w:t>
      </w:r>
      <w:r w:rsidR="002A571A">
        <w:rPr>
          <w:rStyle w:val="default"/>
          <w:rFonts w:cs="FrankRuehl" w:hint="cs"/>
          <w:rtl/>
        </w:rPr>
        <w:t>-</w:t>
      </w:r>
      <w:r>
        <w:rPr>
          <w:rStyle w:val="default"/>
          <w:rFonts w:cs="FrankRuehl"/>
          <w:rtl/>
        </w:rPr>
        <w:t xml:space="preserve">1954, </w:t>
      </w:r>
      <w:r>
        <w:rPr>
          <w:rStyle w:val="default"/>
          <w:rFonts w:cs="FrankRuehl" w:hint="cs"/>
          <w:rtl/>
        </w:rPr>
        <w:t xml:space="preserve">יחולו על הליכים לפי חוק זה כאילו היו הליכים לפי החוק האמור, ככל שאין הוראה אחרת בחוק זה. </w:t>
      </w:r>
    </w:p>
    <w:p w:rsidR="002D1DE3" w:rsidRDefault="002D1DE3">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3.15pt;z-index:251660800"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די</w:t>
                  </w:r>
                  <w:r>
                    <w:rPr>
                      <w:rFonts w:cs="Miriam" w:hint="cs"/>
                      <w:sz w:val="18"/>
                      <w:szCs w:val="18"/>
                      <w:rtl/>
                    </w:rPr>
                    <w:t>יר שנפטר</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ושכר שנתמלאו בו התנאים האמורים בסעיף 2 ולפני תום שנתיים מיום תחילתו של חוק זה נפטר הדייר, או חדל מהחזיק במושכר </w:t>
      </w:r>
      <w:r w:rsidR="002A571A">
        <w:rPr>
          <w:rStyle w:val="default"/>
          <w:rFonts w:cs="FrankRuehl"/>
          <w:rtl/>
        </w:rPr>
        <w:t>–</w:t>
      </w:r>
    </w:p>
    <w:p w:rsidR="002D1DE3" w:rsidRDefault="002D1DE3" w:rsidP="002A571A">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שאי המוסד להמשיך בכל הליך המכוון להעברת</w:t>
      </w:r>
      <w:r>
        <w:rPr>
          <w:rStyle w:val="default"/>
          <w:rFonts w:cs="FrankRuehl"/>
          <w:rtl/>
        </w:rPr>
        <w:t xml:space="preserve"> ה</w:t>
      </w:r>
      <w:r>
        <w:rPr>
          <w:rStyle w:val="default"/>
          <w:rFonts w:cs="FrankRuehl" w:hint="cs"/>
          <w:rtl/>
        </w:rPr>
        <w:t>שכירות, שהתחיל בו הדייר;</w:t>
      </w:r>
    </w:p>
    <w:p w:rsidR="002D1DE3" w:rsidRDefault="002D1DE3" w:rsidP="002A571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ידון ולא יפסוק בית משפט בתביעת פינוי או סילוק יד ביח</w:t>
      </w:r>
      <w:r>
        <w:rPr>
          <w:rStyle w:val="default"/>
          <w:rFonts w:cs="FrankRuehl"/>
          <w:rtl/>
        </w:rPr>
        <w:t>ס</w:t>
      </w:r>
      <w:r>
        <w:rPr>
          <w:rStyle w:val="default"/>
          <w:rFonts w:cs="FrankRuehl" w:hint="cs"/>
          <w:rtl/>
        </w:rPr>
        <w:t xml:space="preserve"> למושכר שעילתה היחידה היא מותו של הדייר או חדילת החזקתו במושכר, אלא לאחר שנתיים מיום תחילתו של חוק זה, ואם הוגשה </w:t>
      </w:r>
      <w:r>
        <w:rPr>
          <w:rStyle w:val="default"/>
          <w:rFonts w:cs="FrankRuehl"/>
          <w:rtl/>
        </w:rPr>
        <w:t>בק</w:t>
      </w:r>
      <w:r>
        <w:rPr>
          <w:rStyle w:val="default"/>
          <w:rFonts w:cs="FrankRuehl" w:hint="cs"/>
          <w:rtl/>
        </w:rPr>
        <w:t xml:space="preserve">שה להעברת השכירות תוך תקופת השנתיים כאמור </w:t>
      </w:r>
      <w:r w:rsidR="002A571A">
        <w:rPr>
          <w:rStyle w:val="default"/>
          <w:rFonts w:cs="FrankRuehl" w:hint="cs"/>
          <w:rtl/>
        </w:rPr>
        <w:t>-</w:t>
      </w:r>
      <w:r>
        <w:rPr>
          <w:rStyle w:val="default"/>
          <w:rFonts w:cs="FrankRuehl"/>
          <w:rtl/>
        </w:rPr>
        <w:t xml:space="preserve"> </w:t>
      </w:r>
      <w:r>
        <w:rPr>
          <w:rStyle w:val="default"/>
          <w:rFonts w:cs="FrankRuehl" w:hint="cs"/>
          <w:rtl/>
        </w:rPr>
        <w:t xml:space="preserve">עד שתהיה באותה בקשה החלטה שאין עליה ערעור עוד. </w:t>
      </w:r>
    </w:p>
    <w:p w:rsidR="002D1DE3" w:rsidRDefault="002D1DE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קטן (א)(2) אין נפקא מינה </w:t>
      </w:r>
      <w:r w:rsidR="002A571A">
        <w:rPr>
          <w:rStyle w:val="default"/>
          <w:rFonts w:cs="FrankRuehl"/>
          <w:rtl/>
        </w:rPr>
        <w:t>–</w:t>
      </w:r>
    </w:p>
    <w:p w:rsidR="002D1DE3" w:rsidRDefault="002D1DE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נפטר הדייר או חדל מהחזיק במושכר לפני תחילתו של חוק זה או לאחריה;</w:t>
      </w:r>
    </w:p>
    <w:p w:rsidR="002D1DE3" w:rsidRDefault="002D1DE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התביעה לפינוי או סילוק יד כאמור בו הוגש</w:t>
      </w:r>
      <w:r>
        <w:rPr>
          <w:rStyle w:val="default"/>
          <w:rFonts w:cs="FrankRuehl"/>
          <w:rtl/>
        </w:rPr>
        <w:t xml:space="preserve">ה </w:t>
      </w:r>
      <w:r>
        <w:rPr>
          <w:rStyle w:val="default"/>
          <w:rFonts w:cs="FrankRuehl" w:hint="cs"/>
          <w:rtl/>
        </w:rPr>
        <w:t xml:space="preserve">לפני תחילתו של חוק זה או לאחריה ובלבד שלא ניתן בה, לפני תחילתו של חוק זה, פסק דין שאין עליו ערעור עוד. </w:t>
      </w:r>
    </w:p>
    <w:p w:rsidR="002D1DE3" w:rsidRDefault="002D1DE3">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6pt;z-index:251661824" o:allowincell="f" filled="f" stroked="f" strokecolor="lime" strokeweight=".25pt">
            <v:textbox inset="0,0,0,0">
              <w:txbxContent>
                <w:p w:rsidR="002D1DE3" w:rsidRDefault="002D1DE3" w:rsidP="00BF08C7">
                  <w:pPr>
                    <w:spacing w:line="160" w:lineRule="exact"/>
                    <w:jc w:val="left"/>
                    <w:rPr>
                      <w:rFonts w:cs="Miriam"/>
                      <w:noProof/>
                      <w:sz w:val="18"/>
                      <w:szCs w:val="18"/>
                      <w:rtl/>
                    </w:rPr>
                  </w:pPr>
                  <w:r>
                    <w:rPr>
                      <w:rFonts w:cs="Miriam"/>
                      <w:sz w:val="18"/>
                      <w:szCs w:val="18"/>
                      <w:rtl/>
                    </w:rPr>
                    <w:t>זכ</w:t>
                  </w:r>
                  <w:r>
                    <w:rPr>
                      <w:rFonts w:cs="Miriam" w:hint="cs"/>
                      <w:sz w:val="18"/>
                      <w:szCs w:val="18"/>
                      <w:rtl/>
                    </w:rPr>
                    <w:t>ויות וחובות</w:t>
                  </w:r>
                  <w:r w:rsidR="00BF08C7">
                    <w:rPr>
                      <w:rFonts w:cs="Miriam" w:hint="cs"/>
                      <w:sz w:val="18"/>
                      <w:szCs w:val="18"/>
                      <w:rtl/>
                    </w:rPr>
                    <w:t xml:space="preserve"> </w:t>
                  </w:r>
                  <w:r>
                    <w:rPr>
                      <w:rFonts w:cs="Miriam"/>
                      <w:sz w:val="18"/>
                      <w:szCs w:val="18"/>
                      <w:rtl/>
                    </w:rPr>
                    <w:t>המ</w:t>
                  </w:r>
                  <w:r>
                    <w:rPr>
                      <w:rFonts w:cs="Miriam" w:hint="cs"/>
                      <w:sz w:val="18"/>
                      <w:szCs w:val="18"/>
                      <w:rtl/>
                    </w:rPr>
                    <w:t>וסד</w:t>
                  </w:r>
                </w:p>
              </w:txbxContent>
            </v:textbox>
            <w10:anchorlock/>
          </v:rect>
        </w:pict>
      </w:r>
      <w:r>
        <w:rPr>
          <w:rStyle w:val="big-number"/>
          <w:rFonts w:cs="Miriam"/>
          <w:rtl/>
        </w:rPr>
        <w:t>10.</w:t>
      </w:r>
      <w:r>
        <w:rPr>
          <w:rStyle w:val="big-number"/>
          <w:rFonts w:cs="Miriam"/>
          <w:rtl/>
        </w:rPr>
        <w:tab/>
      </w:r>
      <w:r>
        <w:rPr>
          <w:rStyle w:val="default"/>
          <w:rFonts w:cs="FrankRuehl"/>
          <w:rtl/>
        </w:rPr>
        <w:t>מו</w:t>
      </w:r>
      <w:r>
        <w:rPr>
          <w:rStyle w:val="default"/>
          <w:rFonts w:cs="FrankRuehl" w:hint="cs"/>
          <w:rtl/>
        </w:rPr>
        <w:t>סד שהועברה אליו השכירות של מושכר יבוא, מיום ההכרזה, במקום הדייר בכל הנוגע לזכויותיו וחובותיו כלפי בעל הבית ביחס למושכר, וכל עילת תביעה שהיתה קי</w:t>
      </w:r>
      <w:r>
        <w:rPr>
          <w:rStyle w:val="default"/>
          <w:rFonts w:cs="FrankRuehl"/>
          <w:rtl/>
        </w:rPr>
        <w:t>ימ</w:t>
      </w:r>
      <w:r>
        <w:rPr>
          <w:rStyle w:val="default"/>
          <w:rFonts w:cs="FrankRuehl" w:hint="cs"/>
          <w:rtl/>
        </w:rPr>
        <w:t xml:space="preserve">ת ערב אותו יום, שלא לפי חוק זה, נגד הדייר בקשר למושכר, תעמוד מאותו יום ואילך נגד המוסד. </w:t>
      </w:r>
    </w:p>
    <w:p w:rsidR="002D1DE3" w:rsidRDefault="002D1DE3">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9.5pt;z-index:251662848" o:allowincell="f" filled="f" stroked="f" strokecolor="lime" strokeweight=".25pt">
            <v:textbox inset="0,0,0,0">
              <w:txbxContent>
                <w:p w:rsidR="002D1DE3" w:rsidRDefault="002D1DE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השיכון ממונה על ביצוע חוק זה והוא רשאי להתקין תקנות לביצועו, למעט התקנות שהתקנתן מסורה בחוק זה לשר המשפטים. </w:t>
      </w:r>
    </w:p>
    <w:p w:rsidR="002D1DE3" w:rsidRDefault="002D1DE3">
      <w:pPr>
        <w:pStyle w:val="P00"/>
        <w:spacing w:before="72"/>
        <w:ind w:left="0" w:right="1134"/>
        <w:rPr>
          <w:rStyle w:val="default"/>
          <w:rFonts w:cs="FrankRuehl" w:hint="cs"/>
          <w:rtl/>
        </w:rPr>
      </w:pPr>
    </w:p>
    <w:p w:rsidR="00BF08C7" w:rsidRDefault="00BF08C7">
      <w:pPr>
        <w:pStyle w:val="P00"/>
        <w:spacing w:before="72"/>
        <w:ind w:left="0" w:right="1134"/>
        <w:rPr>
          <w:rStyle w:val="default"/>
          <w:rFonts w:cs="FrankRuehl" w:hint="cs"/>
          <w:rtl/>
        </w:rPr>
      </w:pPr>
    </w:p>
    <w:p w:rsidR="002D1DE3" w:rsidRPr="00BF08C7" w:rsidRDefault="002D1DE3" w:rsidP="00B03F24">
      <w:pPr>
        <w:pStyle w:val="sig-1"/>
        <w:widowControl/>
        <w:spacing w:before="72"/>
        <w:ind w:left="0" w:right="1134"/>
        <w:rPr>
          <w:rFonts w:cs="FrankRuehl"/>
          <w:sz w:val="26"/>
          <w:szCs w:val="26"/>
          <w:rtl/>
        </w:rPr>
      </w:pPr>
      <w:r w:rsidRPr="00BF08C7">
        <w:rPr>
          <w:rFonts w:cs="FrankRuehl"/>
          <w:sz w:val="26"/>
          <w:szCs w:val="26"/>
          <w:rtl/>
        </w:rPr>
        <w:tab/>
      </w:r>
      <w:r w:rsidRPr="00BF08C7">
        <w:rPr>
          <w:rFonts w:cs="FrankRuehl"/>
          <w:sz w:val="26"/>
          <w:szCs w:val="26"/>
          <w:rtl/>
        </w:rPr>
        <w:tab/>
        <w:t>ל</w:t>
      </w:r>
      <w:r w:rsidRPr="00BF08C7">
        <w:rPr>
          <w:rFonts w:cs="FrankRuehl" w:hint="cs"/>
          <w:sz w:val="26"/>
          <w:szCs w:val="26"/>
          <w:rtl/>
        </w:rPr>
        <w:t>וי אשכול</w:t>
      </w:r>
      <w:r w:rsidRPr="00BF08C7">
        <w:rPr>
          <w:rFonts w:cs="FrankRuehl"/>
          <w:sz w:val="26"/>
          <w:szCs w:val="26"/>
          <w:rtl/>
        </w:rPr>
        <w:tab/>
        <w:t>י</w:t>
      </w:r>
      <w:r w:rsidRPr="00BF08C7">
        <w:rPr>
          <w:rFonts w:cs="FrankRuehl" w:hint="cs"/>
          <w:sz w:val="26"/>
          <w:szCs w:val="26"/>
          <w:rtl/>
        </w:rPr>
        <w:t>וסף אלמוגי</w:t>
      </w:r>
    </w:p>
    <w:p w:rsidR="002D1DE3" w:rsidRDefault="002D1DE3" w:rsidP="00B03F24">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השיכון</w:t>
      </w:r>
    </w:p>
    <w:p w:rsidR="00B03F24" w:rsidRPr="00BF08C7" w:rsidRDefault="00B03F24" w:rsidP="00B03F24">
      <w:pPr>
        <w:pStyle w:val="sig-1"/>
        <w:widowControl/>
        <w:spacing w:before="72"/>
        <w:ind w:left="0" w:right="1134"/>
        <w:rPr>
          <w:rFonts w:cs="FrankRuehl"/>
          <w:sz w:val="26"/>
          <w:szCs w:val="26"/>
          <w:rtl/>
        </w:rPr>
      </w:pPr>
      <w:r w:rsidRPr="00BF08C7">
        <w:rPr>
          <w:rFonts w:cs="FrankRuehl"/>
          <w:sz w:val="26"/>
          <w:szCs w:val="26"/>
          <w:rtl/>
        </w:rPr>
        <w:tab/>
        <w:t>ש</w:t>
      </w:r>
      <w:r w:rsidRPr="00BF08C7">
        <w:rPr>
          <w:rFonts w:cs="FrankRuehl" w:hint="cs"/>
          <w:sz w:val="26"/>
          <w:szCs w:val="26"/>
          <w:rtl/>
        </w:rPr>
        <w:t>ניאור זלמן שזר</w:t>
      </w:r>
    </w:p>
    <w:p w:rsidR="00B03F24" w:rsidRDefault="00B03F24" w:rsidP="00B03F24">
      <w:pPr>
        <w:pStyle w:val="sig-1"/>
        <w:widowControl/>
        <w:ind w:left="0" w:right="1134"/>
        <w:rPr>
          <w:rFonts w:cs="FrankRuehl" w:hint="cs"/>
          <w:sz w:val="22"/>
          <w:rtl/>
        </w:rPr>
      </w:pPr>
      <w:r>
        <w:rPr>
          <w:rFonts w:cs="FrankRuehl"/>
          <w:sz w:val="22"/>
          <w:rtl/>
        </w:rPr>
        <w:tab/>
        <w:t>נ</w:t>
      </w:r>
      <w:r>
        <w:rPr>
          <w:rFonts w:cs="FrankRuehl" w:hint="cs"/>
          <w:sz w:val="22"/>
          <w:rtl/>
        </w:rPr>
        <w:t>שיא המ</w:t>
      </w:r>
      <w:r>
        <w:rPr>
          <w:rFonts w:cs="FrankRuehl"/>
          <w:sz w:val="22"/>
          <w:rtl/>
        </w:rPr>
        <w:t>די</w:t>
      </w:r>
      <w:r>
        <w:rPr>
          <w:rFonts w:cs="FrankRuehl" w:hint="cs"/>
          <w:sz w:val="22"/>
          <w:rtl/>
        </w:rPr>
        <w:t>נה</w:t>
      </w:r>
    </w:p>
    <w:p w:rsidR="00BF08C7" w:rsidRPr="00BF08C7" w:rsidRDefault="00BF08C7" w:rsidP="00BF08C7">
      <w:pPr>
        <w:pStyle w:val="P00"/>
        <w:spacing w:before="72"/>
        <w:ind w:left="0" w:right="1134"/>
        <w:rPr>
          <w:rStyle w:val="default"/>
          <w:rFonts w:cs="FrankRuehl" w:hint="cs"/>
          <w:rtl/>
        </w:rPr>
      </w:pPr>
    </w:p>
    <w:p w:rsidR="00BF08C7" w:rsidRPr="00BF08C7" w:rsidRDefault="00BF08C7" w:rsidP="00BF08C7">
      <w:pPr>
        <w:pStyle w:val="P00"/>
        <w:spacing w:before="72"/>
        <w:ind w:left="0" w:right="1134"/>
        <w:rPr>
          <w:rStyle w:val="default"/>
          <w:rFonts w:cs="FrankRuehl"/>
          <w:rtl/>
        </w:rPr>
      </w:pPr>
    </w:p>
    <w:p w:rsidR="002D1DE3" w:rsidRPr="00BF08C7" w:rsidRDefault="002D1DE3" w:rsidP="00BF08C7">
      <w:pPr>
        <w:pStyle w:val="P00"/>
        <w:spacing w:before="72"/>
        <w:ind w:left="0" w:right="1134"/>
        <w:rPr>
          <w:rStyle w:val="default"/>
          <w:rFonts w:cs="FrankRuehl"/>
          <w:rtl/>
        </w:rPr>
      </w:pPr>
      <w:bookmarkStart w:id="11" w:name="LawPartEnd"/>
    </w:p>
    <w:bookmarkEnd w:id="11"/>
    <w:p w:rsidR="002D1DE3" w:rsidRPr="00BF08C7" w:rsidRDefault="002D1DE3" w:rsidP="00BF08C7">
      <w:pPr>
        <w:pStyle w:val="P00"/>
        <w:spacing w:before="72"/>
        <w:ind w:left="0" w:right="1134"/>
        <w:rPr>
          <w:rStyle w:val="default"/>
          <w:rFonts w:cs="FrankRuehl"/>
          <w:rtl/>
        </w:rPr>
      </w:pPr>
    </w:p>
    <w:sectPr w:rsidR="002D1DE3" w:rsidRPr="00BF08C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22A" w:rsidRDefault="0046622A">
      <w:r>
        <w:separator/>
      </w:r>
    </w:p>
  </w:endnote>
  <w:endnote w:type="continuationSeparator" w:id="0">
    <w:p w:rsidR="0046622A" w:rsidRDefault="00466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DE3" w:rsidRDefault="002D1D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1DE3" w:rsidRDefault="002D1D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1DE3" w:rsidRDefault="002D1D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8C7">
      <w:rPr>
        <w:rFonts w:cs="TopType Jerushalmi"/>
        <w:noProof/>
        <w:color w:val="000000"/>
        <w:sz w:val="14"/>
        <w:szCs w:val="14"/>
      </w:rPr>
      <w:t>C:\Yael\hakika\Revadim\085_016.doc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DE3" w:rsidRDefault="002D1D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53C7">
      <w:rPr>
        <w:rFonts w:hAnsi="FrankRuehl" w:cs="FrankRuehl"/>
        <w:noProof/>
        <w:sz w:val="24"/>
        <w:szCs w:val="24"/>
        <w:rtl/>
      </w:rPr>
      <w:t>3</w:t>
    </w:r>
    <w:r>
      <w:rPr>
        <w:rFonts w:hAnsi="FrankRuehl" w:cs="FrankRuehl"/>
        <w:sz w:val="24"/>
        <w:szCs w:val="24"/>
        <w:rtl/>
      </w:rPr>
      <w:fldChar w:fldCharType="end"/>
    </w:r>
  </w:p>
  <w:p w:rsidR="002D1DE3" w:rsidRDefault="002D1D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1DE3" w:rsidRDefault="002D1D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8C7">
      <w:rPr>
        <w:rFonts w:cs="TopType Jerushalmi"/>
        <w:noProof/>
        <w:color w:val="000000"/>
        <w:sz w:val="14"/>
        <w:szCs w:val="14"/>
      </w:rPr>
      <w:t>C:\Yael\hakika\Revadim\085_016.doc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22A" w:rsidRDefault="0046622A" w:rsidP="00BF08C7">
      <w:pPr>
        <w:spacing w:before="60" w:line="240" w:lineRule="auto"/>
        <w:ind w:right="1134"/>
      </w:pPr>
      <w:r>
        <w:separator/>
      </w:r>
    </w:p>
  </w:footnote>
  <w:footnote w:type="continuationSeparator" w:id="0">
    <w:p w:rsidR="0046622A" w:rsidRDefault="0046622A">
      <w:r>
        <w:continuationSeparator/>
      </w:r>
    </w:p>
  </w:footnote>
  <w:footnote w:id="1">
    <w:p w:rsidR="00BF08C7" w:rsidRPr="00BF08C7" w:rsidRDefault="00BF08C7" w:rsidP="00BF08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F08C7">
        <w:rPr>
          <w:rFonts w:cs="FrankRuehl"/>
          <w:rtl/>
        </w:rPr>
        <w:t xml:space="preserve">* </w:t>
      </w:r>
      <w:r>
        <w:rPr>
          <w:rFonts w:cs="FrankRuehl"/>
          <w:rtl/>
        </w:rPr>
        <w:t>פו</w:t>
      </w:r>
      <w:r>
        <w:rPr>
          <w:rFonts w:cs="FrankRuehl" w:hint="cs"/>
          <w:rtl/>
        </w:rPr>
        <w:t xml:space="preserve">רסם </w:t>
      </w:r>
      <w:hyperlink r:id="rId1" w:history="1">
        <w:r w:rsidRPr="00C44252">
          <w:rPr>
            <w:rStyle w:val="Hyperlink"/>
            <w:rFonts w:cs="FrankRuehl" w:hint="cs"/>
            <w:rtl/>
          </w:rPr>
          <w:t>ס"ח</w:t>
        </w:r>
        <w:r w:rsidRPr="00C44252">
          <w:rPr>
            <w:rStyle w:val="Hyperlink"/>
            <w:rFonts w:cs="FrankRuehl" w:hint="cs"/>
            <w:rtl/>
          </w:rPr>
          <w:t xml:space="preserve"> תשכ"ד מס' 416</w:t>
        </w:r>
      </w:hyperlink>
      <w:r>
        <w:rPr>
          <w:rFonts w:cs="FrankRuehl" w:hint="cs"/>
          <w:rtl/>
        </w:rPr>
        <w:t xml:space="preserve"> מיום 5.2.1964 עמ' 48 (</w:t>
      </w:r>
      <w:hyperlink r:id="rId2" w:history="1">
        <w:r w:rsidRPr="00C44252">
          <w:rPr>
            <w:rStyle w:val="Hyperlink"/>
            <w:rFonts w:cs="FrankRuehl" w:hint="cs"/>
            <w:rtl/>
          </w:rPr>
          <w:t>ה"ח תשכ"ג מס' 561</w:t>
        </w:r>
      </w:hyperlink>
      <w:r>
        <w:rPr>
          <w:rFonts w:cs="FrankRuehl" w:hint="cs"/>
          <w:rtl/>
        </w:rPr>
        <w:t xml:space="preserve"> עמ' 265).</w:t>
      </w:r>
    </w:p>
  </w:footnote>
  <w:footnote w:id="2">
    <w:p w:rsidR="00AA21CF" w:rsidRDefault="00AA21CF" w:rsidP="002A571A">
      <w:pPr>
        <w:pStyle w:val="a5"/>
        <w:spacing w:before="72" w:line="240" w:lineRule="auto"/>
        <w:ind w:right="1134"/>
        <w:rPr>
          <w:rFonts w:hint="cs"/>
          <w:rtl/>
        </w:rPr>
      </w:pPr>
      <w:r>
        <w:rPr>
          <w:rStyle w:val="a6"/>
        </w:rPr>
        <w:footnoteRef/>
      </w:r>
      <w:r>
        <w:rPr>
          <w:rtl/>
        </w:rPr>
        <w:t xml:space="preserve"> </w:t>
      </w:r>
      <w:r w:rsidRPr="00AA21CF">
        <w:rPr>
          <w:rFonts w:cs="FrankRuehl" w:hint="cs"/>
          <w:sz w:val="22"/>
          <w:szCs w:val="22"/>
          <w:rtl/>
        </w:rPr>
        <w:t xml:space="preserve">סמכויותיו הועברו לשר הבינוי והשיכון </w:t>
      </w:r>
      <w:hyperlink r:id="rId3" w:history="1">
        <w:r w:rsidRPr="002A571A">
          <w:rPr>
            <w:rStyle w:val="Hyperlink"/>
            <w:rFonts w:cs="FrankRuehl" w:hint="cs"/>
            <w:sz w:val="22"/>
            <w:szCs w:val="22"/>
            <w:rtl/>
          </w:rPr>
          <w:t>י"פ תשס"ד מס' 5266</w:t>
        </w:r>
      </w:hyperlink>
      <w:r w:rsidRPr="00AA21CF">
        <w:rPr>
          <w:rFonts w:cs="FrankRuehl" w:hint="cs"/>
          <w:sz w:val="22"/>
          <w:szCs w:val="22"/>
          <w:rtl/>
        </w:rPr>
        <w:t xml:space="preserve"> מיום 21.1.2004 עמ' 1643.</w:t>
      </w:r>
      <w:r w:rsidR="00DD53C7" w:rsidRPr="00DD53C7">
        <w:rPr>
          <w:rFonts w:cs="FrankRuehl" w:hint="cs"/>
          <w:sz w:val="22"/>
          <w:szCs w:val="22"/>
          <w:rtl/>
        </w:rPr>
        <w:t xml:space="preserve"> הועברו לשר לשירותי דת </w:t>
      </w:r>
      <w:hyperlink r:id="rId4" w:history="1">
        <w:r w:rsidR="00DD53C7" w:rsidRPr="00DD53C7">
          <w:rPr>
            <w:rStyle w:val="Hyperlink"/>
            <w:rFonts w:cs="FrankRuehl" w:hint="cs"/>
            <w:sz w:val="22"/>
            <w:szCs w:val="22"/>
            <w:rtl/>
          </w:rPr>
          <w:t>י"פ תשע"א מס' 6256</w:t>
        </w:r>
      </w:hyperlink>
      <w:r w:rsidR="00DD53C7" w:rsidRPr="00DD53C7">
        <w:rPr>
          <w:rFonts w:cs="FrankRuehl" w:hint="cs"/>
          <w:sz w:val="22"/>
          <w:szCs w:val="22"/>
          <w:rtl/>
        </w:rPr>
        <w:t xml:space="preserve"> מיום 28.6.2011 עמ' 5164.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DE3" w:rsidRDefault="002D1D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הגנת הדייר (מוסדות ציבור), תשכ"ד–1964</w:t>
    </w:r>
  </w:p>
  <w:p w:rsidR="002D1DE3" w:rsidRDefault="002D1D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1DE3" w:rsidRDefault="002D1D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DE3" w:rsidRDefault="002D1D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הגנת הדייר (מוסדות ציבור), תשכ"ד</w:t>
    </w:r>
    <w:r>
      <w:rPr>
        <w:rFonts w:hAnsi="FrankRuehl" w:cs="FrankRuehl" w:hint="cs"/>
        <w:color w:val="000000"/>
        <w:sz w:val="28"/>
        <w:szCs w:val="28"/>
        <w:rtl/>
      </w:rPr>
      <w:t>-</w:t>
    </w:r>
    <w:r>
      <w:rPr>
        <w:rFonts w:hAnsi="FrankRuehl" w:cs="FrankRuehl"/>
        <w:color w:val="000000"/>
        <w:sz w:val="28"/>
        <w:szCs w:val="28"/>
        <w:rtl/>
      </w:rPr>
      <w:t>1964</w:t>
    </w:r>
  </w:p>
  <w:p w:rsidR="002D1DE3" w:rsidRDefault="002D1D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1DE3" w:rsidRDefault="002D1D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4252"/>
    <w:rsid w:val="001E13A5"/>
    <w:rsid w:val="002A571A"/>
    <w:rsid w:val="002D1DE3"/>
    <w:rsid w:val="0046622A"/>
    <w:rsid w:val="00971B02"/>
    <w:rsid w:val="009F1EB7"/>
    <w:rsid w:val="00AA21CF"/>
    <w:rsid w:val="00B03F24"/>
    <w:rsid w:val="00BE796F"/>
    <w:rsid w:val="00BF08C7"/>
    <w:rsid w:val="00C44252"/>
    <w:rsid w:val="00DD53C7"/>
    <w:rsid w:val="00F510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CA34E0-C632-41A4-B723-2CDE5430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C442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5266.pdf" TargetMode="External"/><Relationship Id="rId2" Type="http://schemas.openxmlformats.org/officeDocument/2006/relationships/hyperlink" Target="http://www.nevo.co.il/Law_word/law17/PROP-0561.pdf" TargetMode="External"/><Relationship Id="rId1" Type="http://schemas.openxmlformats.org/officeDocument/2006/relationships/hyperlink" Target="http://www.nevo.co.il/Law_word/law14/LAW-0416.pdf" TargetMode="External"/><Relationship Id="rId4" Type="http://schemas.openxmlformats.org/officeDocument/2006/relationships/hyperlink" Target="http://www.nevo.co.il/Law_word/law10/yalkut-6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פרק 85</vt:lpstr>
    </vt:vector>
  </TitlesOfParts>
  <Company/>
  <LinksUpToDate>false</LinksUpToDate>
  <CharactersWithSpaces>5185</CharactersWithSpaces>
  <SharedDoc>false</SharedDoc>
  <HLinks>
    <vt:vector size="90"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7667714</vt:i4>
      </vt:variant>
      <vt:variant>
        <vt:i4>9</vt:i4>
      </vt:variant>
      <vt:variant>
        <vt:i4>0</vt:i4>
      </vt:variant>
      <vt:variant>
        <vt:i4>5</vt:i4>
      </vt:variant>
      <vt:variant>
        <vt:lpwstr>http://www.nevo.co.il/Law_word/law10/yalkut-6256.pdf</vt:lpwstr>
      </vt:variant>
      <vt:variant>
        <vt:lpwstr/>
      </vt:variant>
      <vt:variant>
        <vt:i4>7667714</vt:i4>
      </vt:variant>
      <vt:variant>
        <vt:i4>6</vt:i4>
      </vt:variant>
      <vt:variant>
        <vt:i4>0</vt:i4>
      </vt:variant>
      <vt:variant>
        <vt:i4>5</vt:i4>
      </vt:variant>
      <vt:variant>
        <vt:lpwstr>http://www.nevo.co.il/Law_word/law10/YALKUT-5266.pdf</vt:lpwstr>
      </vt:variant>
      <vt:variant>
        <vt:lpwstr/>
      </vt:variant>
      <vt:variant>
        <vt:i4>852091</vt:i4>
      </vt:variant>
      <vt:variant>
        <vt:i4>3</vt:i4>
      </vt:variant>
      <vt:variant>
        <vt:i4>0</vt:i4>
      </vt:variant>
      <vt:variant>
        <vt:i4>5</vt:i4>
      </vt:variant>
      <vt:variant>
        <vt:lpwstr>http://www.nevo.co.il/Law_word/law17/PROP-0561.pdf</vt:lpwstr>
      </vt:variant>
      <vt:variant>
        <vt:lpwstr/>
      </vt:variant>
      <vt:variant>
        <vt:i4>8257547</vt:i4>
      </vt:variant>
      <vt:variant>
        <vt:i4>0</vt:i4>
      </vt:variant>
      <vt:variant>
        <vt:i4>0</vt:i4>
      </vt:variant>
      <vt:variant>
        <vt:i4>5</vt:i4>
      </vt:variant>
      <vt:variant>
        <vt:lpwstr>http://www.nevo.co.il/Law_word/law14/LAW-0416.pdf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85</dc:title>
  <dc:subject/>
  <dc:creator>eli</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0085</vt:lpwstr>
  </property>
  <property fmtid="{D5CDD505-2E9C-101B-9397-08002B2CF9AE}" pid="3" name="CHNAME">
    <vt:lpwstr>הגנת הדייר</vt:lpwstr>
  </property>
  <property fmtid="{D5CDD505-2E9C-101B-9397-08002B2CF9AE}" pid="4" name="LAWNAME">
    <vt:lpwstr>חוק הגנת הדייר (מוסדות ציבור), תשכ"ד-1964</vt:lpwstr>
  </property>
  <property fmtid="{D5CDD505-2E9C-101B-9397-08002B2CF9AE}" pid="5" name="LAWNUMBER">
    <vt:lpwstr>0016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שכירות והגנת הדייר</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ערעור על החלטות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