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8CAEF" w14:textId="77777777" w:rsidR="00DE5D68" w:rsidRDefault="00DE5D68" w:rsidP="008A0C59">
      <w:pPr>
        <w:pStyle w:val="big-header"/>
        <w:ind w:left="0" w:right="1134"/>
        <w:rPr>
          <w:rFonts w:cs="FrankRuehl"/>
          <w:sz w:val="32"/>
        </w:rPr>
      </w:pPr>
      <w:r>
        <w:rPr>
          <w:rFonts w:cs="FrankRuehl"/>
          <w:sz w:val="32"/>
          <w:rtl/>
        </w:rPr>
        <w:t>חוק הגנת סמלים, תשל"ה</w:t>
      </w:r>
      <w:r w:rsidR="008A0C59">
        <w:rPr>
          <w:rFonts w:cs="FrankRuehl" w:hint="cs"/>
          <w:sz w:val="32"/>
          <w:rtl/>
        </w:rPr>
        <w:t>-</w:t>
      </w:r>
      <w:r>
        <w:rPr>
          <w:rFonts w:cs="FrankRuehl"/>
          <w:sz w:val="32"/>
          <w:rtl/>
        </w:rPr>
        <w:t>1974</w:t>
      </w:r>
    </w:p>
    <w:p w14:paraId="589E1C66" w14:textId="77777777" w:rsidR="006C374D" w:rsidRDefault="006C374D" w:rsidP="006C374D">
      <w:pPr>
        <w:spacing w:line="320" w:lineRule="auto"/>
        <w:jc w:val="left"/>
        <w:rPr>
          <w:rtl/>
        </w:rPr>
      </w:pPr>
    </w:p>
    <w:p w14:paraId="44B44C45" w14:textId="77777777" w:rsidR="006C374D" w:rsidRDefault="006C374D" w:rsidP="006C374D">
      <w:pPr>
        <w:spacing w:line="320" w:lineRule="auto"/>
        <w:jc w:val="left"/>
        <w:rPr>
          <w:rFonts w:cs="FrankRuehl"/>
          <w:szCs w:val="26"/>
          <w:rtl/>
        </w:rPr>
      </w:pPr>
      <w:r w:rsidRPr="006C374D">
        <w:rPr>
          <w:rFonts w:cs="Miriam"/>
          <w:szCs w:val="22"/>
          <w:rtl/>
        </w:rPr>
        <w:t xml:space="preserve">דיני חוקה </w:t>
      </w:r>
      <w:r w:rsidRPr="006C374D">
        <w:rPr>
          <w:rFonts w:cs="FrankRuehl"/>
          <w:szCs w:val="26"/>
          <w:rtl/>
        </w:rPr>
        <w:t xml:space="preserve"> – דגל סמל והמנון מדינה – הגנת סמלים</w:t>
      </w:r>
    </w:p>
    <w:p w14:paraId="53DEDD64" w14:textId="77777777" w:rsidR="006C374D" w:rsidRPr="006C374D" w:rsidRDefault="006C374D" w:rsidP="006C374D">
      <w:pPr>
        <w:spacing w:line="320" w:lineRule="auto"/>
        <w:jc w:val="left"/>
        <w:rPr>
          <w:rFonts w:cs="Miriam"/>
          <w:szCs w:val="22"/>
          <w:rtl/>
        </w:rPr>
      </w:pPr>
      <w:r w:rsidRPr="006C374D">
        <w:rPr>
          <w:rFonts w:cs="Miriam"/>
          <w:szCs w:val="22"/>
          <w:rtl/>
        </w:rPr>
        <w:t>רשויות ומשפט מנהלי</w:t>
      </w:r>
      <w:r w:rsidRPr="006C374D">
        <w:rPr>
          <w:rFonts w:cs="FrankRuehl"/>
          <w:szCs w:val="26"/>
          <w:rtl/>
        </w:rPr>
        <w:t xml:space="preserve"> – רשויות מקומיות – סמלים ודגלים – הגנת סמלים</w:t>
      </w:r>
    </w:p>
    <w:p w14:paraId="27E01581" w14:textId="77777777" w:rsidR="00DE5D68" w:rsidRDefault="00DE5D6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E10EE" w:rsidRPr="008E10EE" w14:paraId="7D6EACE1" w14:textId="77777777">
        <w:tblPrEx>
          <w:tblCellMar>
            <w:top w:w="0" w:type="dxa"/>
            <w:bottom w:w="0" w:type="dxa"/>
          </w:tblCellMar>
        </w:tblPrEx>
        <w:tc>
          <w:tcPr>
            <w:tcW w:w="1247" w:type="dxa"/>
          </w:tcPr>
          <w:p w14:paraId="5AA5B6FA" w14:textId="77777777" w:rsidR="008E10EE" w:rsidRPr="008E10EE" w:rsidRDefault="008E10EE" w:rsidP="008E10EE">
            <w:pPr>
              <w:spacing w:line="240" w:lineRule="auto"/>
              <w:jc w:val="left"/>
              <w:rPr>
                <w:rFonts w:cs="Frankruhel"/>
                <w:sz w:val="24"/>
                <w:rtl/>
              </w:rPr>
            </w:pPr>
            <w:r>
              <w:rPr>
                <w:sz w:val="24"/>
                <w:rtl/>
              </w:rPr>
              <w:t xml:space="preserve">סעיף 1 </w:t>
            </w:r>
          </w:p>
        </w:tc>
        <w:tc>
          <w:tcPr>
            <w:tcW w:w="5669" w:type="dxa"/>
          </w:tcPr>
          <w:p w14:paraId="226968BE" w14:textId="77777777" w:rsidR="008E10EE" w:rsidRPr="008E10EE" w:rsidRDefault="008E10EE" w:rsidP="008E10EE">
            <w:pPr>
              <w:spacing w:line="240" w:lineRule="auto"/>
              <w:jc w:val="left"/>
              <w:rPr>
                <w:rFonts w:cs="Frankruhel"/>
                <w:sz w:val="24"/>
                <w:rtl/>
              </w:rPr>
            </w:pPr>
            <w:r>
              <w:rPr>
                <w:sz w:val="24"/>
                <w:rtl/>
              </w:rPr>
              <w:t>סמכות למתן הגנה</w:t>
            </w:r>
          </w:p>
        </w:tc>
        <w:tc>
          <w:tcPr>
            <w:tcW w:w="567" w:type="dxa"/>
          </w:tcPr>
          <w:p w14:paraId="40E40549" w14:textId="77777777" w:rsidR="008E10EE" w:rsidRPr="008E10EE" w:rsidRDefault="008E10EE" w:rsidP="008E10EE">
            <w:pPr>
              <w:spacing w:line="240" w:lineRule="auto"/>
              <w:jc w:val="left"/>
              <w:rPr>
                <w:rStyle w:val="Hyperlink"/>
                <w:rtl/>
              </w:rPr>
            </w:pPr>
            <w:hyperlink w:anchor="Seif1" w:tooltip="סמכות למתן הגנה" w:history="1">
              <w:r w:rsidRPr="008E10EE">
                <w:rPr>
                  <w:rStyle w:val="Hyperlink"/>
                </w:rPr>
                <w:t>Go</w:t>
              </w:r>
            </w:hyperlink>
          </w:p>
        </w:tc>
        <w:tc>
          <w:tcPr>
            <w:tcW w:w="850" w:type="dxa"/>
          </w:tcPr>
          <w:p w14:paraId="06AB8735" w14:textId="77777777" w:rsidR="008E10EE" w:rsidRPr="008E10EE" w:rsidRDefault="008E10EE" w:rsidP="008E10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E10EE" w:rsidRPr="008E10EE" w14:paraId="72D3CA6B" w14:textId="77777777">
        <w:tblPrEx>
          <w:tblCellMar>
            <w:top w:w="0" w:type="dxa"/>
            <w:bottom w:w="0" w:type="dxa"/>
          </w:tblCellMar>
        </w:tblPrEx>
        <w:tc>
          <w:tcPr>
            <w:tcW w:w="1247" w:type="dxa"/>
          </w:tcPr>
          <w:p w14:paraId="19EB2F86" w14:textId="77777777" w:rsidR="008E10EE" w:rsidRPr="008E10EE" w:rsidRDefault="008E10EE" w:rsidP="008E10EE">
            <w:pPr>
              <w:spacing w:line="240" w:lineRule="auto"/>
              <w:jc w:val="left"/>
              <w:rPr>
                <w:rFonts w:cs="Frankruhel"/>
                <w:sz w:val="24"/>
                <w:rtl/>
              </w:rPr>
            </w:pPr>
            <w:r>
              <w:rPr>
                <w:sz w:val="24"/>
                <w:rtl/>
              </w:rPr>
              <w:t xml:space="preserve">סעיף 2 </w:t>
            </w:r>
          </w:p>
        </w:tc>
        <w:tc>
          <w:tcPr>
            <w:tcW w:w="5669" w:type="dxa"/>
          </w:tcPr>
          <w:p w14:paraId="6E8ADDDA" w14:textId="77777777" w:rsidR="008E10EE" w:rsidRPr="008E10EE" w:rsidRDefault="008E10EE" w:rsidP="008E10EE">
            <w:pPr>
              <w:spacing w:line="240" w:lineRule="auto"/>
              <w:jc w:val="left"/>
              <w:rPr>
                <w:rFonts w:cs="Frankruhel"/>
                <w:sz w:val="24"/>
                <w:rtl/>
              </w:rPr>
            </w:pPr>
            <w:r>
              <w:rPr>
                <w:sz w:val="24"/>
                <w:rtl/>
              </w:rPr>
              <w:t>הודעה מוקדמת והתנגדות</w:t>
            </w:r>
          </w:p>
        </w:tc>
        <w:tc>
          <w:tcPr>
            <w:tcW w:w="567" w:type="dxa"/>
          </w:tcPr>
          <w:p w14:paraId="606DDA8C" w14:textId="77777777" w:rsidR="008E10EE" w:rsidRPr="008E10EE" w:rsidRDefault="008E10EE" w:rsidP="008E10EE">
            <w:pPr>
              <w:spacing w:line="240" w:lineRule="auto"/>
              <w:jc w:val="left"/>
              <w:rPr>
                <w:rStyle w:val="Hyperlink"/>
                <w:rtl/>
              </w:rPr>
            </w:pPr>
            <w:hyperlink w:anchor="Seif2" w:tooltip="הודעה מוקדמת והתנגדות" w:history="1">
              <w:r w:rsidRPr="008E10EE">
                <w:rPr>
                  <w:rStyle w:val="Hyperlink"/>
                </w:rPr>
                <w:t>Go</w:t>
              </w:r>
            </w:hyperlink>
          </w:p>
        </w:tc>
        <w:tc>
          <w:tcPr>
            <w:tcW w:w="850" w:type="dxa"/>
          </w:tcPr>
          <w:p w14:paraId="71660B7E" w14:textId="77777777" w:rsidR="008E10EE" w:rsidRPr="008E10EE" w:rsidRDefault="008E10EE" w:rsidP="008E10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E10EE" w:rsidRPr="008E10EE" w14:paraId="18FDE84C" w14:textId="77777777">
        <w:tblPrEx>
          <w:tblCellMar>
            <w:top w:w="0" w:type="dxa"/>
            <w:bottom w:w="0" w:type="dxa"/>
          </w:tblCellMar>
        </w:tblPrEx>
        <w:tc>
          <w:tcPr>
            <w:tcW w:w="1247" w:type="dxa"/>
          </w:tcPr>
          <w:p w14:paraId="42096F92" w14:textId="77777777" w:rsidR="008E10EE" w:rsidRPr="008E10EE" w:rsidRDefault="008E10EE" w:rsidP="008E10EE">
            <w:pPr>
              <w:spacing w:line="240" w:lineRule="auto"/>
              <w:jc w:val="left"/>
              <w:rPr>
                <w:rFonts w:cs="Frankruhel"/>
                <w:sz w:val="24"/>
                <w:rtl/>
              </w:rPr>
            </w:pPr>
            <w:r>
              <w:rPr>
                <w:sz w:val="24"/>
                <w:rtl/>
              </w:rPr>
              <w:t xml:space="preserve">סעיף 3 </w:t>
            </w:r>
          </w:p>
        </w:tc>
        <w:tc>
          <w:tcPr>
            <w:tcW w:w="5669" w:type="dxa"/>
          </w:tcPr>
          <w:p w14:paraId="7F0A01E3" w14:textId="77777777" w:rsidR="008E10EE" w:rsidRPr="008E10EE" w:rsidRDefault="008E10EE" w:rsidP="008E10EE">
            <w:pPr>
              <w:spacing w:line="240" w:lineRule="auto"/>
              <w:jc w:val="left"/>
              <w:rPr>
                <w:rFonts w:cs="Frankruhel"/>
                <w:sz w:val="24"/>
                <w:rtl/>
              </w:rPr>
            </w:pPr>
            <w:r>
              <w:rPr>
                <w:sz w:val="24"/>
                <w:rtl/>
              </w:rPr>
              <w:t>ערעור</w:t>
            </w:r>
          </w:p>
        </w:tc>
        <w:tc>
          <w:tcPr>
            <w:tcW w:w="567" w:type="dxa"/>
          </w:tcPr>
          <w:p w14:paraId="3DF7571A" w14:textId="77777777" w:rsidR="008E10EE" w:rsidRPr="008E10EE" w:rsidRDefault="008E10EE" w:rsidP="008E10EE">
            <w:pPr>
              <w:spacing w:line="240" w:lineRule="auto"/>
              <w:jc w:val="left"/>
              <w:rPr>
                <w:rStyle w:val="Hyperlink"/>
                <w:rtl/>
              </w:rPr>
            </w:pPr>
            <w:hyperlink w:anchor="Seif3" w:tooltip="ערעור" w:history="1">
              <w:r w:rsidRPr="008E10EE">
                <w:rPr>
                  <w:rStyle w:val="Hyperlink"/>
                </w:rPr>
                <w:t>Go</w:t>
              </w:r>
            </w:hyperlink>
          </w:p>
        </w:tc>
        <w:tc>
          <w:tcPr>
            <w:tcW w:w="850" w:type="dxa"/>
          </w:tcPr>
          <w:p w14:paraId="54D5612D" w14:textId="77777777" w:rsidR="008E10EE" w:rsidRPr="008E10EE" w:rsidRDefault="008E10EE" w:rsidP="008E10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E10EE" w:rsidRPr="008E10EE" w14:paraId="1D663796" w14:textId="77777777">
        <w:tblPrEx>
          <w:tblCellMar>
            <w:top w:w="0" w:type="dxa"/>
            <w:bottom w:w="0" w:type="dxa"/>
          </w:tblCellMar>
        </w:tblPrEx>
        <w:tc>
          <w:tcPr>
            <w:tcW w:w="1247" w:type="dxa"/>
          </w:tcPr>
          <w:p w14:paraId="5FC56321" w14:textId="77777777" w:rsidR="008E10EE" w:rsidRPr="008E10EE" w:rsidRDefault="008E10EE" w:rsidP="008E10EE">
            <w:pPr>
              <w:spacing w:line="240" w:lineRule="auto"/>
              <w:jc w:val="left"/>
              <w:rPr>
                <w:rFonts w:cs="Frankruhel"/>
                <w:sz w:val="24"/>
                <w:rtl/>
              </w:rPr>
            </w:pPr>
            <w:r>
              <w:rPr>
                <w:sz w:val="24"/>
                <w:rtl/>
              </w:rPr>
              <w:t xml:space="preserve">סעיף 4 </w:t>
            </w:r>
          </w:p>
        </w:tc>
        <w:tc>
          <w:tcPr>
            <w:tcW w:w="5669" w:type="dxa"/>
          </w:tcPr>
          <w:p w14:paraId="3278D9AE" w14:textId="77777777" w:rsidR="008E10EE" w:rsidRPr="008E10EE" w:rsidRDefault="008E10EE" w:rsidP="008E10EE">
            <w:pPr>
              <w:spacing w:line="240" w:lineRule="auto"/>
              <w:jc w:val="left"/>
              <w:rPr>
                <w:rFonts w:cs="Frankruhel"/>
                <w:sz w:val="24"/>
                <w:rtl/>
              </w:rPr>
            </w:pPr>
            <w:r>
              <w:rPr>
                <w:sz w:val="24"/>
                <w:rtl/>
              </w:rPr>
              <w:t>פעולת הצו</w:t>
            </w:r>
          </w:p>
        </w:tc>
        <w:tc>
          <w:tcPr>
            <w:tcW w:w="567" w:type="dxa"/>
          </w:tcPr>
          <w:p w14:paraId="6143C93E" w14:textId="77777777" w:rsidR="008E10EE" w:rsidRPr="008E10EE" w:rsidRDefault="008E10EE" w:rsidP="008E10EE">
            <w:pPr>
              <w:spacing w:line="240" w:lineRule="auto"/>
              <w:jc w:val="left"/>
              <w:rPr>
                <w:rStyle w:val="Hyperlink"/>
                <w:rtl/>
              </w:rPr>
            </w:pPr>
            <w:hyperlink w:anchor="Seif4" w:tooltip="פעולת הצו" w:history="1">
              <w:r w:rsidRPr="008E10EE">
                <w:rPr>
                  <w:rStyle w:val="Hyperlink"/>
                </w:rPr>
                <w:t>Go</w:t>
              </w:r>
            </w:hyperlink>
          </w:p>
        </w:tc>
        <w:tc>
          <w:tcPr>
            <w:tcW w:w="850" w:type="dxa"/>
          </w:tcPr>
          <w:p w14:paraId="008C31FC" w14:textId="77777777" w:rsidR="008E10EE" w:rsidRPr="008E10EE" w:rsidRDefault="008E10EE" w:rsidP="008E10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E10EE" w:rsidRPr="008E10EE" w14:paraId="5E6DAA0D" w14:textId="77777777">
        <w:tblPrEx>
          <w:tblCellMar>
            <w:top w:w="0" w:type="dxa"/>
            <w:bottom w:w="0" w:type="dxa"/>
          </w:tblCellMar>
        </w:tblPrEx>
        <w:tc>
          <w:tcPr>
            <w:tcW w:w="1247" w:type="dxa"/>
          </w:tcPr>
          <w:p w14:paraId="756F4151" w14:textId="77777777" w:rsidR="008E10EE" w:rsidRPr="008E10EE" w:rsidRDefault="008E10EE" w:rsidP="008E10EE">
            <w:pPr>
              <w:spacing w:line="240" w:lineRule="auto"/>
              <w:jc w:val="left"/>
              <w:rPr>
                <w:rFonts w:cs="Frankruhel"/>
                <w:sz w:val="24"/>
                <w:rtl/>
              </w:rPr>
            </w:pPr>
            <w:r>
              <w:rPr>
                <w:sz w:val="24"/>
                <w:rtl/>
              </w:rPr>
              <w:t xml:space="preserve">סעיף 5 </w:t>
            </w:r>
          </w:p>
        </w:tc>
        <w:tc>
          <w:tcPr>
            <w:tcW w:w="5669" w:type="dxa"/>
          </w:tcPr>
          <w:p w14:paraId="4829C53C" w14:textId="77777777" w:rsidR="008E10EE" w:rsidRPr="008E10EE" w:rsidRDefault="008E10EE" w:rsidP="008E10EE">
            <w:pPr>
              <w:spacing w:line="240" w:lineRule="auto"/>
              <w:jc w:val="left"/>
              <w:rPr>
                <w:rFonts w:cs="Frankruhel"/>
                <w:sz w:val="24"/>
                <w:rtl/>
              </w:rPr>
            </w:pPr>
            <w:r>
              <w:rPr>
                <w:sz w:val="24"/>
                <w:rtl/>
              </w:rPr>
              <w:t>שימוש אסור בשמות ובסמלים בכלל</w:t>
            </w:r>
          </w:p>
        </w:tc>
        <w:tc>
          <w:tcPr>
            <w:tcW w:w="567" w:type="dxa"/>
          </w:tcPr>
          <w:p w14:paraId="05807A53" w14:textId="77777777" w:rsidR="008E10EE" w:rsidRPr="008E10EE" w:rsidRDefault="008E10EE" w:rsidP="008E10EE">
            <w:pPr>
              <w:spacing w:line="240" w:lineRule="auto"/>
              <w:jc w:val="left"/>
              <w:rPr>
                <w:rStyle w:val="Hyperlink"/>
                <w:rtl/>
              </w:rPr>
            </w:pPr>
            <w:hyperlink w:anchor="Seif5" w:tooltip="שימוש אסור בשמות ובסמלים בכלל" w:history="1">
              <w:r w:rsidRPr="008E10EE">
                <w:rPr>
                  <w:rStyle w:val="Hyperlink"/>
                </w:rPr>
                <w:t>Go</w:t>
              </w:r>
            </w:hyperlink>
          </w:p>
        </w:tc>
        <w:tc>
          <w:tcPr>
            <w:tcW w:w="850" w:type="dxa"/>
          </w:tcPr>
          <w:p w14:paraId="2CE1685E" w14:textId="77777777" w:rsidR="008E10EE" w:rsidRPr="008E10EE" w:rsidRDefault="008E10EE" w:rsidP="008E10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E10EE" w:rsidRPr="008E10EE" w14:paraId="0CB679A3" w14:textId="77777777">
        <w:tblPrEx>
          <w:tblCellMar>
            <w:top w:w="0" w:type="dxa"/>
            <w:bottom w:w="0" w:type="dxa"/>
          </w:tblCellMar>
        </w:tblPrEx>
        <w:tc>
          <w:tcPr>
            <w:tcW w:w="1247" w:type="dxa"/>
          </w:tcPr>
          <w:p w14:paraId="30218EA3" w14:textId="77777777" w:rsidR="008E10EE" w:rsidRPr="008E10EE" w:rsidRDefault="008E10EE" w:rsidP="008E10EE">
            <w:pPr>
              <w:spacing w:line="240" w:lineRule="auto"/>
              <w:jc w:val="left"/>
              <w:rPr>
                <w:rFonts w:cs="Frankruhel"/>
                <w:sz w:val="24"/>
                <w:rtl/>
              </w:rPr>
            </w:pPr>
            <w:r>
              <w:rPr>
                <w:sz w:val="24"/>
                <w:rtl/>
              </w:rPr>
              <w:t xml:space="preserve">סעיף 6 </w:t>
            </w:r>
          </w:p>
        </w:tc>
        <w:tc>
          <w:tcPr>
            <w:tcW w:w="5669" w:type="dxa"/>
          </w:tcPr>
          <w:p w14:paraId="1269DBDC" w14:textId="77777777" w:rsidR="008E10EE" w:rsidRPr="008E10EE" w:rsidRDefault="008E10EE" w:rsidP="008E10EE">
            <w:pPr>
              <w:spacing w:line="240" w:lineRule="auto"/>
              <w:jc w:val="left"/>
              <w:rPr>
                <w:rFonts w:cs="Frankruhel"/>
                <w:sz w:val="24"/>
                <w:rtl/>
              </w:rPr>
            </w:pPr>
            <w:r>
              <w:rPr>
                <w:sz w:val="24"/>
                <w:rtl/>
              </w:rPr>
              <w:t>תעודת הכשר</w:t>
            </w:r>
          </w:p>
        </w:tc>
        <w:tc>
          <w:tcPr>
            <w:tcW w:w="567" w:type="dxa"/>
          </w:tcPr>
          <w:p w14:paraId="022435D5" w14:textId="77777777" w:rsidR="008E10EE" w:rsidRPr="008E10EE" w:rsidRDefault="008E10EE" w:rsidP="008E10EE">
            <w:pPr>
              <w:spacing w:line="240" w:lineRule="auto"/>
              <w:jc w:val="left"/>
              <w:rPr>
                <w:rStyle w:val="Hyperlink"/>
                <w:rtl/>
              </w:rPr>
            </w:pPr>
            <w:hyperlink w:anchor="Seif12" w:tooltip="תעודת הכשר" w:history="1">
              <w:r w:rsidRPr="008E10EE">
                <w:rPr>
                  <w:rStyle w:val="Hyperlink"/>
                </w:rPr>
                <w:t>Go</w:t>
              </w:r>
            </w:hyperlink>
          </w:p>
        </w:tc>
        <w:tc>
          <w:tcPr>
            <w:tcW w:w="850" w:type="dxa"/>
          </w:tcPr>
          <w:p w14:paraId="4231D49E" w14:textId="77777777" w:rsidR="008E10EE" w:rsidRPr="008E10EE" w:rsidRDefault="008E10EE" w:rsidP="008E10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E10EE" w:rsidRPr="008E10EE" w14:paraId="4E1483BF" w14:textId="77777777">
        <w:tblPrEx>
          <w:tblCellMar>
            <w:top w:w="0" w:type="dxa"/>
            <w:bottom w:w="0" w:type="dxa"/>
          </w:tblCellMar>
        </w:tblPrEx>
        <w:tc>
          <w:tcPr>
            <w:tcW w:w="1247" w:type="dxa"/>
          </w:tcPr>
          <w:p w14:paraId="4F650A3A" w14:textId="77777777" w:rsidR="008E10EE" w:rsidRPr="008E10EE" w:rsidRDefault="008E10EE" w:rsidP="008E10EE">
            <w:pPr>
              <w:spacing w:line="240" w:lineRule="auto"/>
              <w:jc w:val="left"/>
              <w:rPr>
                <w:rFonts w:cs="Frankruhel"/>
                <w:sz w:val="24"/>
                <w:rtl/>
              </w:rPr>
            </w:pPr>
            <w:r>
              <w:rPr>
                <w:sz w:val="24"/>
                <w:rtl/>
              </w:rPr>
              <w:t xml:space="preserve">סעיף 7 </w:t>
            </w:r>
          </w:p>
        </w:tc>
        <w:tc>
          <w:tcPr>
            <w:tcW w:w="5669" w:type="dxa"/>
          </w:tcPr>
          <w:p w14:paraId="72462CC2" w14:textId="77777777" w:rsidR="008E10EE" w:rsidRPr="008E10EE" w:rsidRDefault="008E10EE" w:rsidP="008E10EE">
            <w:pPr>
              <w:spacing w:line="240" w:lineRule="auto"/>
              <w:jc w:val="left"/>
              <w:rPr>
                <w:rFonts w:cs="Frankruhel"/>
                <w:sz w:val="24"/>
                <w:rtl/>
              </w:rPr>
            </w:pPr>
            <w:r>
              <w:rPr>
                <w:sz w:val="24"/>
                <w:rtl/>
              </w:rPr>
              <w:t>שמירת איסורים וסמכויות</w:t>
            </w:r>
          </w:p>
        </w:tc>
        <w:tc>
          <w:tcPr>
            <w:tcW w:w="567" w:type="dxa"/>
          </w:tcPr>
          <w:p w14:paraId="092FF894" w14:textId="77777777" w:rsidR="008E10EE" w:rsidRPr="008E10EE" w:rsidRDefault="008E10EE" w:rsidP="008E10EE">
            <w:pPr>
              <w:spacing w:line="240" w:lineRule="auto"/>
              <w:jc w:val="left"/>
              <w:rPr>
                <w:rStyle w:val="Hyperlink"/>
                <w:rtl/>
              </w:rPr>
            </w:pPr>
            <w:hyperlink w:anchor="Seif6" w:tooltip="שמירת איסורים וסמכויות" w:history="1">
              <w:r w:rsidRPr="008E10EE">
                <w:rPr>
                  <w:rStyle w:val="Hyperlink"/>
                </w:rPr>
                <w:t>Go</w:t>
              </w:r>
            </w:hyperlink>
          </w:p>
        </w:tc>
        <w:tc>
          <w:tcPr>
            <w:tcW w:w="850" w:type="dxa"/>
          </w:tcPr>
          <w:p w14:paraId="1060010A" w14:textId="77777777" w:rsidR="008E10EE" w:rsidRPr="008E10EE" w:rsidRDefault="008E10EE" w:rsidP="008E10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E10EE" w:rsidRPr="008E10EE" w14:paraId="2558CF5E" w14:textId="77777777">
        <w:tblPrEx>
          <w:tblCellMar>
            <w:top w:w="0" w:type="dxa"/>
            <w:bottom w:w="0" w:type="dxa"/>
          </w:tblCellMar>
        </w:tblPrEx>
        <w:tc>
          <w:tcPr>
            <w:tcW w:w="1247" w:type="dxa"/>
          </w:tcPr>
          <w:p w14:paraId="040F0930" w14:textId="77777777" w:rsidR="008E10EE" w:rsidRPr="008E10EE" w:rsidRDefault="008E10EE" w:rsidP="008E10EE">
            <w:pPr>
              <w:spacing w:line="240" w:lineRule="auto"/>
              <w:jc w:val="left"/>
              <w:rPr>
                <w:rFonts w:cs="Frankruhel"/>
                <w:sz w:val="24"/>
                <w:rtl/>
              </w:rPr>
            </w:pPr>
            <w:r>
              <w:rPr>
                <w:sz w:val="24"/>
                <w:rtl/>
              </w:rPr>
              <w:t xml:space="preserve">סעיף 8 </w:t>
            </w:r>
          </w:p>
        </w:tc>
        <w:tc>
          <w:tcPr>
            <w:tcW w:w="5669" w:type="dxa"/>
          </w:tcPr>
          <w:p w14:paraId="4FE01EE6" w14:textId="77777777" w:rsidR="008E10EE" w:rsidRPr="008E10EE" w:rsidRDefault="008E10EE" w:rsidP="008E10EE">
            <w:pPr>
              <w:spacing w:line="240" w:lineRule="auto"/>
              <w:jc w:val="left"/>
              <w:rPr>
                <w:rFonts w:cs="Frankruhel"/>
                <w:sz w:val="24"/>
                <w:rtl/>
              </w:rPr>
            </w:pPr>
            <w:r>
              <w:rPr>
                <w:sz w:val="24"/>
                <w:rtl/>
              </w:rPr>
              <w:t>עונשין</w:t>
            </w:r>
          </w:p>
        </w:tc>
        <w:tc>
          <w:tcPr>
            <w:tcW w:w="567" w:type="dxa"/>
          </w:tcPr>
          <w:p w14:paraId="640E3AB0" w14:textId="77777777" w:rsidR="008E10EE" w:rsidRPr="008E10EE" w:rsidRDefault="008E10EE" w:rsidP="008E10EE">
            <w:pPr>
              <w:spacing w:line="240" w:lineRule="auto"/>
              <w:jc w:val="left"/>
              <w:rPr>
                <w:rStyle w:val="Hyperlink"/>
                <w:rtl/>
              </w:rPr>
            </w:pPr>
            <w:hyperlink w:anchor="Seif7" w:tooltip="עונשין" w:history="1">
              <w:r w:rsidRPr="008E10EE">
                <w:rPr>
                  <w:rStyle w:val="Hyperlink"/>
                </w:rPr>
                <w:t>Go</w:t>
              </w:r>
            </w:hyperlink>
          </w:p>
        </w:tc>
        <w:tc>
          <w:tcPr>
            <w:tcW w:w="850" w:type="dxa"/>
          </w:tcPr>
          <w:p w14:paraId="10EE69AD" w14:textId="77777777" w:rsidR="008E10EE" w:rsidRPr="008E10EE" w:rsidRDefault="008E10EE" w:rsidP="008E10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E10EE" w:rsidRPr="008E10EE" w14:paraId="38649C4F" w14:textId="77777777">
        <w:tblPrEx>
          <w:tblCellMar>
            <w:top w:w="0" w:type="dxa"/>
            <w:bottom w:w="0" w:type="dxa"/>
          </w:tblCellMar>
        </w:tblPrEx>
        <w:tc>
          <w:tcPr>
            <w:tcW w:w="1247" w:type="dxa"/>
          </w:tcPr>
          <w:p w14:paraId="5B18017E" w14:textId="77777777" w:rsidR="008E10EE" w:rsidRPr="008E10EE" w:rsidRDefault="008E10EE" w:rsidP="008E10EE">
            <w:pPr>
              <w:spacing w:line="240" w:lineRule="auto"/>
              <w:jc w:val="left"/>
              <w:rPr>
                <w:rFonts w:cs="Frankruhel"/>
                <w:sz w:val="24"/>
                <w:rtl/>
              </w:rPr>
            </w:pPr>
            <w:r>
              <w:rPr>
                <w:sz w:val="24"/>
                <w:rtl/>
              </w:rPr>
              <w:t xml:space="preserve">סעיף 9 </w:t>
            </w:r>
          </w:p>
        </w:tc>
        <w:tc>
          <w:tcPr>
            <w:tcW w:w="5669" w:type="dxa"/>
          </w:tcPr>
          <w:p w14:paraId="42FE2F64" w14:textId="77777777" w:rsidR="008E10EE" w:rsidRPr="008E10EE" w:rsidRDefault="008E10EE" w:rsidP="008E10EE">
            <w:pPr>
              <w:spacing w:line="240" w:lineRule="auto"/>
              <w:jc w:val="left"/>
              <w:rPr>
                <w:rFonts w:cs="Frankruhel"/>
                <w:sz w:val="24"/>
                <w:rtl/>
              </w:rPr>
            </w:pPr>
            <w:r>
              <w:rPr>
                <w:sz w:val="24"/>
                <w:rtl/>
              </w:rPr>
              <w:t>צו מניעה</w:t>
            </w:r>
          </w:p>
        </w:tc>
        <w:tc>
          <w:tcPr>
            <w:tcW w:w="567" w:type="dxa"/>
          </w:tcPr>
          <w:p w14:paraId="2C6CE965" w14:textId="77777777" w:rsidR="008E10EE" w:rsidRPr="008E10EE" w:rsidRDefault="008E10EE" w:rsidP="008E10EE">
            <w:pPr>
              <w:spacing w:line="240" w:lineRule="auto"/>
              <w:jc w:val="left"/>
              <w:rPr>
                <w:rStyle w:val="Hyperlink"/>
                <w:rtl/>
              </w:rPr>
            </w:pPr>
            <w:hyperlink w:anchor="Seif8" w:tooltip="צו מניעה" w:history="1">
              <w:r w:rsidRPr="008E10EE">
                <w:rPr>
                  <w:rStyle w:val="Hyperlink"/>
                </w:rPr>
                <w:t>Go</w:t>
              </w:r>
            </w:hyperlink>
          </w:p>
        </w:tc>
        <w:tc>
          <w:tcPr>
            <w:tcW w:w="850" w:type="dxa"/>
          </w:tcPr>
          <w:p w14:paraId="694287E7" w14:textId="77777777" w:rsidR="008E10EE" w:rsidRPr="008E10EE" w:rsidRDefault="008E10EE" w:rsidP="008E10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E10EE" w:rsidRPr="008E10EE" w14:paraId="748299B3" w14:textId="77777777">
        <w:tblPrEx>
          <w:tblCellMar>
            <w:top w:w="0" w:type="dxa"/>
            <w:bottom w:w="0" w:type="dxa"/>
          </w:tblCellMar>
        </w:tblPrEx>
        <w:tc>
          <w:tcPr>
            <w:tcW w:w="1247" w:type="dxa"/>
          </w:tcPr>
          <w:p w14:paraId="06CD520D" w14:textId="77777777" w:rsidR="008E10EE" w:rsidRPr="008E10EE" w:rsidRDefault="008E10EE" w:rsidP="008E10EE">
            <w:pPr>
              <w:spacing w:line="240" w:lineRule="auto"/>
              <w:jc w:val="left"/>
              <w:rPr>
                <w:rFonts w:cs="Frankruhel"/>
                <w:sz w:val="24"/>
                <w:rtl/>
              </w:rPr>
            </w:pPr>
            <w:r>
              <w:rPr>
                <w:sz w:val="24"/>
                <w:rtl/>
              </w:rPr>
              <w:t xml:space="preserve">סעיף 10 </w:t>
            </w:r>
          </w:p>
        </w:tc>
        <w:tc>
          <w:tcPr>
            <w:tcW w:w="5669" w:type="dxa"/>
          </w:tcPr>
          <w:p w14:paraId="0DD17DEA" w14:textId="77777777" w:rsidR="008E10EE" w:rsidRPr="008E10EE" w:rsidRDefault="008E10EE" w:rsidP="008E10EE">
            <w:pPr>
              <w:spacing w:line="240" w:lineRule="auto"/>
              <w:jc w:val="left"/>
              <w:rPr>
                <w:rFonts w:cs="Frankruhel"/>
                <w:sz w:val="24"/>
                <w:rtl/>
              </w:rPr>
            </w:pPr>
            <w:r>
              <w:rPr>
                <w:sz w:val="24"/>
                <w:rtl/>
              </w:rPr>
              <w:t>ביטול</w:t>
            </w:r>
          </w:p>
        </w:tc>
        <w:tc>
          <w:tcPr>
            <w:tcW w:w="567" w:type="dxa"/>
          </w:tcPr>
          <w:p w14:paraId="38D82E89" w14:textId="77777777" w:rsidR="008E10EE" w:rsidRPr="008E10EE" w:rsidRDefault="008E10EE" w:rsidP="008E10EE">
            <w:pPr>
              <w:spacing w:line="240" w:lineRule="auto"/>
              <w:jc w:val="left"/>
              <w:rPr>
                <w:rStyle w:val="Hyperlink"/>
                <w:rtl/>
              </w:rPr>
            </w:pPr>
            <w:hyperlink w:anchor="Seif9" w:tooltip="ביטול" w:history="1">
              <w:r w:rsidRPr="008E10EE">
                <w:rPr>
                  <w:rStyle w:val="Hyperlink"/>
                </w:rPr>
                <w:t>Go</w:t>
              </w:r>
            </w:hyperlink>
          </w:p>
        </w:tc>
        <w:tc>
          <w:tcPr>
            <w:tcW w:w="850" w:type="dxa"/>
          </w:tcPr>
          <w:p w14:paraId="587DFDE8" w14:textId="77777777" w:rsidR="008E10EE" w:rsidRPr="008E10EE" w:rsidRDefault="008E10EE" w:rsidP="008E10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E10EE" w:rsidRPr="008E10EE" w14:paraId="752F01A5" w14:textId="77777777">
        <w:tblPrEx>
          <w:tblCellMar>
            <w:top w:w="0" w:type="dxa"/>
            <w:bottom w:w="0" w:type="dxa"/>
          </w:tblCellMar>
        </w:tblPrEx>
        <w:tc>
          <w:tcPr>
            <w:tcW w:w="1247" w:type="dxa"/>
          </w:tcPr>
          <w:p w14:paraId="514F61DC" w14:textId="77777777" w:rsidR="008E10EE" w:rsidRPr="008E10EE" w:rsidRDefault="008E10EE" w:rsidP="008E10EE">
            <w:pPr>
              <w:spacing w:line="240" w:lineRule="auto"/>
              <w:jc w:val="left"/>
              <w:rPr>
                <w:rFonts w:cs="Frankruhel"/>
                <w:sz w:val="24"/>
                <w:rtl/>
              </w:rPr>
            </w:pPr>
            <w:r>
              <w:rPr>
                <w:sz w:val="24"/>
                <w:rtl/>
              </w:rPr>
              <w:t xml:space="preserve">סעיף 11 </w:t>
            </w:r>
          </w:p>
        </w:tc>
        <w:tc>
          <w:tcPr>
            <w:tcW w:w="5669" w:type="dxa"/>
          </w:tcPr>
          <w:p w14:paraId="6D6A1C3F" w14:textId="77777777" w:rsidR="008E10EE" w:rsidRPr="008E10EE" w:rsidRDefault="008E10EE" w:rsidP="008E10EE">
            <w:pPr>
              <w:spacing w:line="240" w:lineRule="auto"/>
              <w:jc w:val="left"/>
              <w:rPr>
                <w:rFonts w:cs="Frankruhel"/>
                <w:sz w:val="24"/>
                <w:rtl/>
              </w:rPr>
            </w:pPr>
            <w:r>
              <w:rPr>
                <w:sz w:val="24"/>
                <w:rtl/>
              </w:rPr>
              <w:t>ביצוע</w:t>
            </w:r>
          </w:p>
        </w:tc>
        <w:tc>
          <w:tcPr>
            <w:tcW w:w="567" w:type="dxa"/>
          </w:tcPr>
          <w:p w14:paraId="1ACA893C" w14:textId="77777777" w:rsidR="008E10EE" w:rsidRPr="008E10EE" w:rsidRDefault="008E10EE" w:rsidP="008E10EE">
            <w:pPr>
              <w:spacing w:line="240" w:lineRule="auto"/>
              <w:jc w:val="left"/>
              <w:rPr>
                <w:rStyle w:val="Hyperlink"/>
                <w:rtl/>
              </w:rPr>
            </w:pPr>
            <w:hyperlink w:anchor="Seif10" w:tooltip="ביצוע" w:history="1">
              <w:r w:rsidRPr="008E10EE">
                <w:rPr>
                  <w:rStyle w:val="Hyperlink"/>
                </w:rPr>
                <w:t>Go</w:t>
              </w:r>
            </w:hyperlink>
          </w:p>
        </w:tc>
        <w:tc>
          <w:tcPr>
            <w:tcW w:w="850" w:type="dxa"/>
          </w:tcPr>
          <w:p w14:paraId="66FF8F72" w14:textId="77777777" w:rsidR="008E10EE" w:rsidRPr="008E10EE" w:rsidRDefault="008E10EE" w:rsidP="008E10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E10EE" w:rsidRPr="008E10EE" w14:paraId="13C4F92F" w14:textId="77777777">
        <w:tblPrEx>
          <w:tblCellMar>
            <w:top w:w="0" w:type="dxa"/>
            <w:bottom w:w="0" w:type="dxa"/>
          </w:tblCellMar>
        </w:tblPrEx>
        <w:tc>
          <w:tcPr>
            <w:tcW w:w="1247" w:type="dxa"/>
          </w:tcPr>
          <w:p w14:paraId="275F1319" w14:textId="77777777" w:rsidR="008E10EE" w:rsidRPr="008E10EE" w:rsidRDefault="008E10EE" w:rsidP="008E10EE">
            <w:pPr>
              <w:spacing w:line="240" w:lineRule="auto"/>
              <w:jc w:val="left"/>
              <w:rPr>
                <w:rFonts w:cs="Frankruhel"/>
                <w:sz w:val="24"/>
                <w:rtl/>
              </w:rPr>
            </w:pPr>
            <w:r>
              <w:rPr>
                <w:sz w:val="24"/>
                <w:rtl/>
              </w:rPr>
              <w:t xml:space="preserve">סעיף 12 </w:t>
            </w:r>
          </w:p>
        </w:tc>
        <w:tc>
          <w:tcPr>
            <w:tcW w:w="5669" w:type="dxa"/>
          </w:tcPr>
          <w:p w14:paraId="056C7F2D" w14:textId="77777777" w:rsidR="008E10EE" w:rsidRPr="008E10EE" w:rsidRDefault="008E10EE" w:rsidP="008E10EE">
            <w:pPr>
              <w:spacing w:line="240" w:lineRule="auto"/>
              <w:jc w:val="left"/>
              <w:rPr>
                <w:rFonts w:cs="Frankruhel"/>
                <w:sz w:val="24"/>
                <w:rtl/>
              </w:rPr>
            </w:pPr>
            <w:r>
              <w:rPr>
                <w:sz w:val="24"/>
                <w:rtl/>
              </w:rPr>
              <w:t>הוראת מעבר</w:t>
            </w:r>
          </w:p>
        </w:tc>
        <w:tc>
          <w:tcPr>
            <w:tcW w:w="567" w:type="dxa"/>
          </w:tcPr>
          <w:p w14:paraId="2E5793B3" w14:textId="77777777" w:rsidR="008E10EE" w:rsidRPr="008E10EE" w:rsidRDefault="008E10EE" w:rsidP="008E10EE">
            <w:pPr>
              <w:spacing w:line="240" w:lineRule="auto"/>
              <w:jc w:val="left"/>
              <w:rPr>
                <w:rStyle w:val="Hyperlink"/>
                <w:rtl/>
              </w:rPr>
            </w:pPr>
            <w:hyperlink w:anchor="Seif11" w:tooltip="הוראת מעבר" w:history="1">
              <w:r w:rsidRPr="008E10EE">
                <w:rPr>
                  <w:rStyle w:val="Hyperlink"/>
                </w:rPr>
                <w:t>Go</w:t>
              </w:r>
            </w:hyperlink>
          </w:p>
        </w:tc>
        <w:tc>
          <w:tcPr>
            <w:tcW w:w="850" w:type="dxa"/>
          </w:tcPr>
          <w:p w14:paraId="70CA1643" w14:textId="77777777" w:rsidR="008E10EE" w:rsidRPr="008E10EE" w:rsidRDefault="008E10EE" w:rsidP="008E10E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069848D5" w14:textId="77777777" w:rsidR="00DE5D68" w:rsidRDefault="00DE5D68">
      <w:pPr>
        <w:pStyle w:val="big-header"/>
        <w:ind w:left="0" w:right="1134"/>
        <w:rPr>
          <w:rFonts w:cs="FrankRuehl"/>
          <w:sz w:val="32"/>
          <w:rtl/>
        </w:rPr>
      </w:pPr>
    </w:p>
    <w:p w14:paraId="1B2ED52B" w14:textId="77777777" w:rsidR="00DE5D68" w:rsidRDefault="00DE5D68" w:rsidP="006C374D">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הגנת סמלים, תשל"ה</w:t>
      </w:r>
      <w:r w:rsidR="008A0C59">
        <w:rPr>
          <w:rFonts w:cs="FrankRuehl" w:hint="cs"/>
          <w:sz w:val="32"/>
          <w:rtl/>
        </w:rPr>
        <w:t>-</w:t>
      </w:r>
      <w:r>
        <w:rPr>
          <w:rFonts w:cs="FrankRuehl"/>
          <w:sz w:val="32"/>
          <w:rtl/>
        </w:rPr>
        <w:t>1974</w:t>
      </w:r>
      <w:r w:rsidR="008A0C59">
        <w:rPr>
          <w:rStyle w:val="a6"/>
          <w:rFonts w:cs="FrankRuehl"/>
          <w:sz w:val="32"/>
          <w:rtl/>
        </w:rPr>
        <w:footnoteReference w:customMarkFollows="1" w:id="1"/>
        <w:t>*</w:t>
      </w:r>
    </w:p>
    <w:p w14:paraId="6EB49887" w14:textId="77777777" w:rsidR="00DE5D68" w:rsidRDefault="00DE5D68">
      <w:pPr>
        <w:pStyle w:val="P00"/>
        <w:spacing w:before="72"/>
        <w:ind w:left="0" w:right="1134"/>
        <w:rPr>
          <w:rStyle w:val="default"/>
          <w:rFonts w:cs="FrankRuehl" w:hint="cs"/>
          <w:rtl/>
        </w:rPr>
      </w:pPr>
      <w:bookmarkStart w:id="0" w:name="Seif1"/>
      <w:bookmarkEnd w:id="0"/>
      <w:r>
        <w:rPr>
          <w:lang w:val="he-IL"/>
        </w:rPr>
        <w:pict w14:anchorId="09EC39F1">
          <v:rect id="_x0000_s1026" style="position:absolute;left:0;text-align:left;margin-left:464.5pt;margin-top:8.05pt;width:75.05pt;height:12.8pt;z-index:251652096" o:allowincell="f" filled="f" stroked="f" strokecolor="lime" strokeweight=".25pt">
            <v:textbox inset="0,0,0,0">
              <w:txbxContent>
                <w:p w14:paraId="7056000D" w14:textId="77777777" w:rsidR="00DE5D68" w:rsidRDefault="00DE5D68">
                  <w:pPr>
                    <w:spacing w:line="160" w:lineRule="exact"/>
                    <w:jc w:val="left"/>
                    <w:rPr>
                      <w:rFonts w:cs="Miriam"/>
                      <w:noProof/>
                      <w:sz w:val="18"/>
                      <w:szCs w:val="18"/>
                      <w:rtl/>
                    </w:rPr>
                  </w:pPr>
                  <w:r>
                    <w:rPr>
                      <w:rFonts w:cs="Miriam"/>
                      <w:sz w:val="18"/>
                      <w:szCs w:val="18"/>
                      <w:rtl/>
                    </w:rPr>
                    <w:t>סמ</w:t>
                  </w:r>
                  <w:r>
                    <w:rPr>
                      <w:rFonts w:cs="Miriam" w:hint="cs"/>
                      <w:sz w:val="18"/>
                      <w:szCs w:val="18"/>
                      <w:rtl/>
                    </w:rPr>
                    <w:t>כות למתן הגנה</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הפנים רשאי בצו לקבוע כי תינתן הגנה לסמל או לדגל פלוני של </w:t>
      </w:r>
      <w:r w:rsidR="008A0C59">
        <w:rPr>
          <w:rStyle w:val="default"/>
          <w:rFonts w:cs="FrankRuehl"/>
          <w:rtl/>
        </w:rPr>
        <w:t>–</w:t>
      </w:r>
    </w:p>
    <w:p w14:paraId="214C5EF1" w14:textId="77777777" w:rsidR="00DE5D68" w:rsidRDefault="00DE5D68">
      <w:pPr>
        <w:pStyle w:val="P22"/>
        <w:spacing w:before="72"/>
        <w:ind w:left="1021" w:right="1134"/>
        <w:rPr>
          <w:rStyle w:val="default"/>
          <w:rFonts w:cs="FrankRuehl"/>
          <w:rtl/>
        </w:rPr>
      </w:pPr>
      <w:r>
        <w:rPr>
          <w:rStyle w:val="default"/>
          <w:rFonts w:cs="FrankRuehl"/>
          <w:rtl/>
        </w:rPr>
        <w:t>(1)</w:t>
      </w:r>
      <w:r>
        <w:rPr>
          <w:rStyle w:val="default"/>
          <w:rFonts w:cs="FrankRuehl"/>
          <w:rtl/>
        </w:rPr>
        <w:tab/>
        <w:t>ג</w:t>
      </w:r>
      <w:r>
        <w:rPr>
          <w:rStyle w:val="default"/>
          <w:rFonts w:cs="FrankRuehl" w:hint="cs"/>
          <w:rtl/>
        </w:rPr>
        <w:t>וף או שירות ממלכתי ישראלי;</w:t>
      </w:r>
    </w:p>
    <w:p w14:paraId="09E30C9C" w14:textId="77777777" w:rsidR="00DE5D68" w:rsidRDefault="00DE5D68" w:rsidP="008A0C59">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 xml:space="preserve">יריה, מועצה מקומית או איגוד ערים בישראל (בחוק זה </w:t>
      </w:r>
      <w:r w:rsidR="008A0C59">
        <w:rPr>
          <w:rStyle w:val="default"/>
          <w:rFonts w:cs="FrankRuehl" w:hint="cs"/>
          <w:rtl/>
        </w:rPr>
        <w:t>-</w:t>
      </w:r>
      <w:r>
        <w:rPr>
          <w:rStyle w:val="default"/>
          <w:rFonts w:cs="FrankRuehl"/>
          <w:rtl/>
        </w:rPr>
        <w:t xml:space="preserve"> </w:t>
      </w:r>
      <w:r>
        <w:rPr>
          <w:rStyle w:val="default"/>
          <w:rFonts w:cs="FrankRuehl" w:hint="cs"/>
          <w:rtl/>
        </w:rPr>
        <w:t>רשות מקומית);</w:t>
      </w:r>
    </w:p>
    <w:p w14:paraId="666773F8" w14:textId="77777777" w:rsidR="00DE5D68" w:rsidRDefault="00DE5D68">
      <w:pPr>
        <w:pStyle w:val="P22"/>
        <w:spacing w:before="72"/>
        <w:ind w:left="1021" w:right="1134"/>
        <w:rPr>
          <w:rStyle w:val="default"/>
          <w:rFonts w:cs="FrankRuehl"/>
          <w:rtl/>
        </w:rPr>
      </w:pPr>
      <w:r>
        <w:rPr>
          <w:rStyle w:val="default"/>
          <w:rFonts w:cs="FrankRuehl" w:hint="cs"/>
          <w:rtl/>
        </w:rPr>
        <w:t>(3)</w:t>
      </w:r>
      <w:r>
        <w:rPr>
          <w:rStyle w:val="default"/>
          <w:rFonts w:cs="FrankRuehl"/>
          <w:rtl/>
        </w:rPr>
        <w:tab/>
        <w:t>ג</w:t>
      </w:r>
      <w:r>
        <w:rPr>
          <w:rStyle w:val="default"/>
          <w:rFonts w:cs="FrankRuehl" w:hint="cs"/>
          <w:rtl/>
        </w:rPr>
        <w:t>וף ציבורי בין-לאומי.</w:t>
      </w:r>
    </w:p>
    <w:p w14:paraId="29D8CCE2" w14:textId="77777777" w:rsidR="00DE5D68" w:rsidRDefault="00DE5D68" w:rsidP="008A0C5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הפני</w:t>
      </w:r>
      <w:r>
        <w:rPr>
          <w:rStyle w:val="default"/>
          <w:rFonts w:cs="FrankRuehl"/>
          <w:rtl/>
        </w:rPr>
        <w:t xml:space="preserve">ם </w:t>
      </w:r>
      <w:r>
        <w:rPr>
          <w:rStyle w:val="default"/>
          <w:rFonts w:cs="FrankRuehl" w:hint="cs"/>
          <w:rtl/>
        </w:rPr>
        <w:t xml:space="preserve">לא יתן צו כאמור בסעיף קטן (א) (להלן </w:t>
      </w:r>
      <w:r w:rsidR="008A0C59">
        <w:rPr>
          <w:rStyle w:val="default"/>
          <w:rFonts w:cs="FrankRuehl" w:hint="cs"/>
          <w:rtl/>
        </w:rPr>
        <w:t>-</w:t>
      </w:r>
      <w:r>
        <w:rPr>
          <w:rStyle w:val="default"/>
          <w:rFonts w:cs="FrankRuehl"/>
          <w:rtl/>
        </w:rPr>
        <w:t xml:space="preserve"> </w:t>
      </w:r>
      <w:r>
        <w:rPr>
          <w:rStyle w:val="default"/>
          <w:rFonts w:cs="FrankRuehl" w:hint="cs"/>
          <w:rtl/>
        </w:rPr>
        <w:t>צו הגנה) לגבי גוף או שירות כאמור בסעיף קטן (א)(1) או (3) אלא לאחר התייעצות עם השר שפעולותיהם שייכו</w:t>
      </w:r>
      <w:r>
        <w:rPr>
          <w:rStyle w:val="default"/>
          <w:rFonts w:cs="FrankRuehl"/>
          <w:rtl/>
        </w:rPr>
        <w:t>ת</w:t>
      </w:r>
      <w:r>
        <w:rPr>
          <w:rStyle w:val="default"/>
          <w:rFonts w:cs="FrankRuehl" w:hint="cs"/>
          <w:rtl/>
        </w:rPr>
        <w:t xml:space="preserve"> לתחום פעולתו.</w:t>
      </w:r>
    </w:p>
    <w:p w14:paraId="7D38C121" w14:textId="77777777" w:rsidR="00DE5D68" w:rsidRDefault="00DE5D6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הפנים לא יתן צו הגנה לסמל של רשות מקומית אלא לאחר שמועצתה קבעה אותו כסמלה ברוב דעות של חבריה.</w:t>
      </w:r>
    </w:p>
    <w:p w14:paraId="055616B0" w14:textId="77777777" w:rsidR="00DE5D68" w:rsidRDefault="00DE5D68">
      <w:pPr>
        <w:pStyle w:val="P00"/>
        <w:spacing w:before="72"/>
        <w:ind w:left="0" w:right="1134"/>
        <w:rPr>
          <w:rStyle w:val="default"/>
          <w:rFonts w:cs="FrankRuehl" w:hint="cs"/>
          <w:rtl/>
        </w:rPr>
      </w:pPr>
      <w:bookmarkStart w:id="1" w:name="Seif2"/>
      <w:bookmarkEnd w:id="1"/>
      <w:r>
        <w:rPr>
          <w:lang w:val="he-IL"/>
        </w:rPr>
        <w:pict w14:anchorId="467777B7">
          <v:rect id="_x0000_s1027" style="position:absolute;left:0;text-align:left;margin-left:464.5pt;margin-top:8.05pt;width:75.05pt;height:23.8pt;z-index:251653120" o:allowincell="f" filled="f" stroked="f" strokecolor="lime" strokeweight=".25pt">
            <v:textbox inset="0,0,0,0">
              <w:txbxContent>
                <w:p w14:paraId="578C313A" w14:textId="77777777" w:rsidR="00DE5D68" w:rsidRDefault="00DE5D68">
                  <w:pPr>
                    <w:spacing w:line="160" w:lineRule="exact"/>
                    <w:jc w:val="left"/>
                    <w:rPr>
                      <w:rFonts w:cs="Miriam"/>
                      <w:noProof/>
                      <w:sz w:val="18"/>
                      <w:szCs w:val="18"/>
                      <w:rtl/>
                    </w:rPr>
                  </w:pPr>
                  <w:r>
                    <w:rPr>
                      <w:rFonts w:cs="Miriam"/>
                      <w:sz w:val="18"/>
                      <w:szCs w:val="18"/>
                      <w:rtl/>
                    </w:rPr>
                    <w:t>הו</w:t>
                  </w:r>
                  <w:r>
                    <w:rPr>
                      <w:rFonts w:cs="Miriam" w:hint="cs"/>
                      <w:sz w:val="18"/>
                      <w:szCs w:val="18"/>
                      <w:rtl/>
                    </w:rPr>
                    <w:t>דעה מוקדמת והתנגדות</w:t>
                  </w:r>
                </w:p>
              </w:txbxContent>
            </v:textbox>
            <w10:anchorlock/>
          </v:rect>
        </w:pict>
      </w:r>
      <w:r>
        <w:rPr>
          <w:rStyle w:val="big-number"/>
          <w:rFonts w:cs="Miriam"/>
          <w:rtl/>
        </w:rPr>
        <w:t>2.</w:t>
      </w:r>
      <w:r>
        <w:rPr>
          <w:rStyle w:val="big-number"/>
          <w:rFonts w:cs="Miriam"/>
          <w:rtl/>
        </w:rPr>
        <w:tab/>
      </w:r>
      <w:r>
        <w:rPr>
          <w:rStyle w:val="default"/>
          <w:rFonts w:cs="FrankRuehl"/>
          <w:rtl/>
        </w:rPr>
        <w:t>לפ</w:t>
      </w:r>
      <w:r>
        <w:rPr>
          <w:rStyle w:val="default"/>
          <w:rFonts w:cs="FrankRuehl" w:hint="cs"/>
          <w:rtl/>
        </w:rPr>
        <w:t xml:space="preserve">ני מתן צו הגנה יודיע שר הפנים ברשומות ובשני עתונים יומיים על כוונתו לעשות כן; ההודעה תכלול את הסמל או הדגל ויצויין בה כי תוך תשעים יום מיום הפרסום האחרון של ההודעה רשאי להגיש התנגדות לנתינתו </w:t>
      </w:r>
      <w:r w:rsidR="008A0C59">
        <w:rPr>
          <w:rStyle w:val="default"/>
          <w:rFonts w:cs="FrankRuehl"/>
          <w:rtl/>
        </w:rPr>
        <w:t>–</w:t>
      </w:r>
    </w:p>
    <w:p w14:paraId="52B10F9D" w14:textId="77777777" w:rsidR="00DE5D68" w:rsidRDefault="00DE5D68" w:rsidP="008A0C59">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סמל או דגל של רשות מקומית </w:t>
      </w:r>
      <w:r w:rsidR="008A0C59">
        <w:rPr>
          <w:rStyle w:val="default"/>
          <w:rFonts w:cs="FrankRuehl" w:hint="cs"/>
          <w:rtl/>
        </w:rPr>
        <w:t>-</w:t>
      </w:r>
      <w:r>
        <w:rPr>
          <w:rStyle w:val="default"/>
          <w:rFonts w:cs="FrankRuehl"/>
          <w:rtl/>
        </w:rPr>
        <w:t xml:space="preserve"> </w:t>
      </w:r>
      <w:r>
        <w:rPr>
          <w:rStyle w:val="default"/>
          <w:rFonts w:cs="FrankRuehl" w:hint="cs"/>
          <w:rtl/>
        </w:rPr>
        <w:t>כל מעונין;</w:t>
      </w:r>
    </w:p>
    <w:p w14:paraId="6DB0E448" w14:textId="77777777" w:rsidR="00DE5D68" w:rsidRDefault="00DE5D68" w:rsidP="008A0C59">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כל מקרה </w:t>
      </w:r>
      <w:r>
        <w:rPr>
          <w:rStyle w:val="default"/>
          <w:rFonts w:cs="FrankRuehl"/>
          <w:rtl/>
        </w:rPr>
        <w:t>אח</w:t>
      </w:r>
      <w:r>
        <w:rPr>
          <w:rStyle w:val="default"/>
          <w:rFonts w:cs="FrankRuehl" w:hint="cs"/>
          <w:rtl/>
        </w:rPr>
        <w:t xml:space="preserve">ר </w:t>
      </w:r>
      <w:r w:rsidR="008A0C59">
        <w:rPr>
          <w:rStyle w:val="default"/>
          <w:rFonts w:cs="FrankRuehl" w:hint="cs"/>
          <w:rtl/>
        </w:rPr>
        <w:t>-</w:t>
      </w:r>
      <w:r>
        <w:rPr>
          <w:rStyle w:val="default"/>
          <w:rFonts w:cs="FrankRuehl"/>
          <w:rtl/>
        </w:rPr>
        <w:t xml:space="preserve"> </w:t>
      </w:r>
      <w:r>
        <w:rPr>
          <w:rStyle w:val="default"/>
          <w:rFonts w:cs="FrankRuehl" w:hint="cs"/>
          <w:rtl/>
        </w:rPr>
        <w:t>כל הטוען כי הצו עשוי לפגוע בזכויותיו;</w:t>
      </w:r>
    </w:p>
    <w:p w14:paraId="36328DBA" w14:textId="77777777" w:rsidR="00DE5D68" w:rsidRDefault="00DE5D68" w:rsidP="008A0C59">
      <w:pPr>
        <w:pStyle w:val="P00"/>
        <w:spacing w:before="72"/>
        <w:ind w:left="0" w:right="1134"/>
        <w:rPr>
          <w:rFonts w:cs="FrankRuehl"/>
          <w:sz w:val="26"/>
          <w:rtl/>
        </w:rPr>
      </w:pPr>
      <w:r>
        <w:rPr>
          <w:rFonts w:cs="FrankRuehl"/>
          <w:sz w:val="26"/>
          <w:rtl/>
        </w:rPr>
        <w:t>שר</w:t>
      </w:r>
      <w:r>
        <w:rPr>
          <w:rFonts w:cs="FrankRuehl" w:hint="cs"/>
          <w:sz w:val="26"/>
          <w:rtl/>
        </w:rPr>
        <w:t xml:space="preserve"> הפנים לא יתן את הצו אלא לאחר תום המועד האמור, ואם הוגשה התנגדות </w:t>
      </w:r>
      <w:r w:rsidR="008A0C59">
        <w:rPr>
          <w:rFonts w:cs="FrankRuehl" w:hint="cs"/>
          <w:sz w:val="26"/>
          <w:rtl/>
        </w:rPr>
        <w:t>-</w:t>
      </w:r>
      <w:r>
        <w:rPr>
          <w:rFonts w:cs="FrankRuehl"/>
          <w:sz w:val="26"/>
          <w:rtl/>
        </w:rPr>
        <w:t xml:space="preserve"> </w:t>
      </w:r>
      <w:r>
        <w:rPr>
          <w:rFonts w:cs="FrankRuehl" w:hint="cs"/>
          <w:sz w:val="26"/>
          <w:rtl/>
        </w:rPr>
        <w:t>ל</w:t>
      </w:r>
      <w:r>
        <w:rPr>
          <w:rFonts w:cs="FrankRuehl"/>
          <w:sz w:val="26"/>
          <w:rtl/>
        </w:rPr>
        <w:t>א</w:t>
      </w:r>
      <w:r>
        <w:rPr>
          <w:rFonts w:cs="FrankRuehl" w:hint="cs"/>
          <w:sz w:val="26"/>
          <w:rtl/>
        </w:rPr>
        <w:t>חר שהחליט בה.</w:t>
      </w:r>
    </w:p>
    <w:p w14:paraId="4C73DDE1" w14:textId="77777777" w:rsidR="00DE5D68" w:rsidRDefault="00DE5D68">
      <w:pPr>
        <w:pStyle w:val="P00"/>
        <w:spacing w:before="72"/>
        <w:ind w:left="0" w:right="1134"/>
        <w:rPr>
          <w:rStyle w:val="default"/>
          <w:rFonts w:cs="FrankRuehl"/>
          <w:rtl/>
        </w:rPr>
      </w:pPr>
      <w:bookmarkStart w:id="2" w:name="Seif3"/>
      <w:bookmarkEnd w:id="2"/>
      <w:r>
        <w:rPr>
          <w:lang w:val="he-IL"/>
        </w:rPr>
        <w:pict w14:anchorId="703884EA">
          <v:rect id="_x0000_s1028" style="position:absolute;left:0;text-align:left;margin-left:464.5pt;margin-top:8.05pt;width:75.05pt;height:13.75pt;z-index:251654144" o:allowincell="f" filled="f" stroked="f" strokecolor="lime" strokeweight=".25pt">
            <v:textbox inset="0,0,0,0">
              <w:txbxContent>
                <w:p w14:paraId="738FD6DA" w14:textId="77777777" w:rsidR="00DE5D68" w:rsidRDefault="00DE5D68">
                  <w:pPr>
                    <w:spacing w:line="160" w:lineRule="exact"/>
                    <w:jc w:val="left"/>
                    <w:rPr>
                      <w:rFonts w:cs="Miriam"/>
                      <w:noProof/>
                      <w:sz w:val="18"/>
                      <w:szCs w:val="18"/>
                      <w:rtl/>
                    </w:rPr>
                  </w:pPr>
                  <w:r>
                    <w:rPr>
                      <w:rFonts w:cs="Miriam"/>
                      <w:sz w:val="18"/>
                      <w:szCs w:val="18"/>
                      <w:rtl/>
                    </w:rPr>
                    <w:t>ער</w:t>
                  </w:r>
                  <w:r>
                    <w:rPr>
                      <w:rFonts w:cs="Miriam" w:hint="cs"/>
                      <w:sz w:val="18"/>
                      <w:szCs w:val="18"/>
                      <w:rtl/>
                    </w:rPr>
                    <w:t>עור</w:t>
                  </w:r>
                </w:p>
              </w:txbxContent>
            </v:textbox>
            <w10:anchorlock/>
          </v:rect>
        </w:pict>
      </w:r>
      <w:r>
        <w:rPr>
          <w:rStyle w:val="big-number"/>
          <w:rFonts w:cs="Miriam"/>
          <w:rtl/>
        </w:rPr>
        <w:t>3.</w:t>
      </w:r>
      <w:r>
        <w:rPr>
          <w:rStyle w:val="big-number"/>
          <w:rFonts w:cs="Miriam"/>
          <w:rtl/>
        </w:rPr>
        <w:tab/>
      </w:r>
      <w:r>
        <w:rPr>
          <w:rStyle w:val="default"/>
          <w:rFonts w:cs="FrankRuehl"/>
          <w:rtl/>
        </w:rPr>
        <w:t>נד</w:t>
      </w:r>
      <w:r>
        <w:rPr>
          <w:rStyle w:val="default"/>
          <w:rFonts w:cs="FrankRuehl" w:hint="cs"/>
          <w:rtl/>
        </w:rPr>
        <w:t xml:space="preserve">חתה התנגדות למתן צו הגנה שהוגשה בנימוק שהצו עשוי לפגוע בזכויות המתנגד, רשאי המתנגד, תוך שלושים יום מיום שנמסרה לו ההודעה </w:t>
      </w:r>
      <w:r>
        <w:rPr>
          <w:rStyle w:val="default"/>
          <w:rFonts w:cs="FrankRuehl"/>
          <w:rtl/>
        </w:rPr>
        <w:t>על</w:t>
      </w:r>
      <w:r>
        <w:rPr>
          <w:rStyle w:val="default"/>
          <w:rFonts w:cs="FrankRuehl" w:hint="cs"/>
          <w:rtl/>
        </w:rPr>
        <w:t xml:space="preserve"> הדחיה, לערער עליה לפני בית המשפט המחוזי בירושלים, אולם אין בהגשת ערעור כדי לעכב מתן צו הגנה.</w:t>
      </w:r>
    </w:p>
    <w:p w14:paraId="1413DB41" w14:textId="77777777" w:rsidR="00DE5D68" w:rsidRDefault="00DE5D68" w:rsidP="008A0C59">
      <w:pPr>
        <w:pStyle w:val="P00"/>
        <w:spacing w:before="72"/>
        <w:ind w:left="0" w:right="1134"/>
        <w:rPr>
          <w:rStyle w:val="default"/>
          <w:rFonts w:cs="FrankRuehl"/>
          <w:rtl/>
        </w:rPr>
      </w:pPr>
      <w:bookmarkStart w:id="3" w:name="Seif4"/>
      <w:bookmarkEnd w:id="3"/>
      <w:r>
        <w:rPr>
          <w:lang w:val="he-IL"/>
        </w:rPr>
        <w:pict w14:anchorId="434FF241">
          <v:rect id="_x0000_s1029" style="position:absolute;left:0;text-align:left;margin-left:464.5pt;margin-top:8.05pt;width:75.05pt;height:12.6pt;z-index:251655168" o:allowincell="f" filled="f" stroked="f" strokecolor="lime" strokeweight=".25pt">
            <v:textbox inset="0,0,0,0">
              <w:txbxContent>
                <w:p w14:paraId="59279E0B" w14:textId="77777777" w:rsidR="00DE5D68" w:rsidRDefault="00DE5D68">
                  <w:pPr>
                    <w:spacing w:line="160" w:lineRule="exact"/>
                    <w:jc w:val="left"/>
                    <w:rPr>
                      <w:rFonts w:cs="Miriam"/>
                      <w:noProof/>
                      <w:sz w:val="18"/>
                      <w:szCs w:val="18"/>
                      <w:rtl/>
                    </w:rPr>
                  </w:pPr>
                  <w:r>
                    <w:rPr>
                      <w:rFonts w:cs="Miriam"/>
                      <w:sz w:val="18"/>
                      <w:szCs w:val="18"/>
                      <w:rtl/>
                    </w:rPr>
                    <w:t>פע</w:t>
                  </w:r>
                  <w:r>
                    <w:rPr>
                      <w:rFonts w:cs="Miriam" w:hint="cs"/>
                      <w:sz w:val="18"/>
                      <w:szCs w:val="18"/>
                      <w:rtl/>
                    </w:rPr>
                    <w:t>ולת הצו</w:t>
                  </w:r>
                </w:p>
              </w:txbxContent>
            </v:textbox>
            <w10:anchorlock/>
          </v:rect>
        </w:pict>
      </w:r>
      <w:r>
        <w:rPr>
          <w:rStyle w:val="big-number"/>
          <w:rFonts w:cs="Miriam"/>
          <w:rtl/>
        </w:rPr>
        <w:t>4.</w:t>
      </w:r>
      <w:r>
        <w:rPr>
          <w:rStyle w:val="big-number"/>
          <w:rFonts w:cs="Miriam"/>
          <w:rtl/>
        </w:rPr>
        <w:tab/>
      </w:r>
      <w:r>
        <w:rPr>
          <w:rStyle w:val="default"/>
          <w:rFonts w:cs="FrankRuehl"/>
          <w:rtl/>
        </w:rPr>
        <w:t>מש</w:t>
      </w:r>
      <w:r>
        <w:rPr>
          <w:rStyle w:val="default"/>
          <w:rFonts w:cs="FrankRuehl" w:hint="cs"/>
          <w:rtl/>
        </w:rPr>
        <w:t>ניתן צו הגנה לסמל או לדגל, לא ייצר אדם דבר הכולל אותם או כל דבר הדומה להם עד להטעות, לא יסחור בהם, ולא ישתמש בהם למטרות מסחר, פרסומת או הסברה, אלא בהיתר מ</w:t>
      </w:r>
      <w:r>
        <w:rPr>
          <w:rStyle w:val="default"/>
          <w:rFonts w:cs="FrankRuehl"/>
          <w:rtl/>
        </w:rPr>
        <w:t>טע</w:t>
      </w:r>
      <w:r>
        <w:rPr>
          <w:rStyle w:val="default"/>
          <w:rFonts w:cs="FrankRuehl" w:hint="cs"/>
          <w:rtl/>
        </w:rPr>
        <w:t xml:space="preserve">ם שר הפנים ולפי תנאי ההיתר וסייגיו, ובסמל של רשות מקומית </w:t>
      </w:r>
      <w:r w:rsidR="008A0C59">
        <w:rPr>
          <w:rStyle w:val="default"/>
          <w:rFonts w:cs="FrankRuehl" w:hint="cs"/>
          <w:rtl/>
        </w:rPr>
        <w:t>-</w:t>
      </w:r>
      <w:r>
        <w:rPr>
          <w:rStyle w:val="default"/>
          <w:rFonts w:cs="FrankRuehl"/>
          <w:rtl/>
        </w:rPr>
        <w:t xml:space="preserve"> </w:t>
      </w:r>
      <w:r>
        <w:rPr>
          <w:rStyle w:val="default"/>
          <w:rFonts w:cs="FrankRuehl" w:hint="cs"/>
          <w:rtl/>
        </w:rPr>
        <w:t xml:space="preserve">בהיתר מטעם הרשות ולפי תנאי ההיתר </w:t>
      </w:r>
      <w:r>
        <w:rPr>
          <w:rStyle w:val="default"/>
          <w:rFonts w:cs="FrankRuehl"/>
          <w:rtl/>
        </w:rPr>
        <w:t>ו</w:t>
      </w:r>
      <w:r>
        <w:rPr>
          <w:rStyle w:val="default"/>
          <w:rFonts w:cs="FrankRuehl" w:hint="cs"/>
          <w:rtl/>
        </w:rPr>
        <w:t>סייגיו.</w:t>
      </w:r>
    </w:p>
    <w:p w14:paraId="58CF1046" w14:textId="77777777" w:rsidR="00DE5D68" w:rsidRDefault="00DE5D68">
      <w:pPr>
        <w:pStyle w:val="P00"/>
        <w:spacing w:before="72"/>
        <w:ind w:left="0" w:right="1134"/>
        <w:rPr>
          <w:rStyle w:val="default"/>
          <w:rFonts w:cs="FrankRuehl"/>
          <w:rtl/>
        </w:rPr>
      </w:pPr>
      <w:bookmarkStart w:id="4" w:name="Seif5"/>
      <w:bookmarkEnd w:id="4"/>
      <w:r>
        <w:rPr>
          <w:lang w:val="he-IL"/>
        </w:rPr>
        <w:pict w14:anchorId="6D0D7B28">
          <v:rect id="_x0000_s1030" style="position:absolute;left:0;text-align:left;margin-left:464.5pt;margin-top:8.05pt;width:75.05pt;height:18.95pt;z-index:251656192" o:allowincell="f" filled="f" stroked="f" strokecolor="lime" strokeweight=".25pt">
            <v:textbox inset="0,0,0,0">
              <w:txbxContent>
                <w:p w14:paraId="3B75ED19" w14:textId="77777777" w:rsidR="00DE5D68" w:rsidRDefault="00DE5D68">
                  <w:pPr>
                    <w:spacing w:line="160" w:lineRule="exact"/>
                    <w:jc w:val="left"/>
                    <w:rPr>
                      <w:rFonts w:cs="Miriam"/>
                      <w:noProof/>
                      <w:sz w:val="18"/>
                      <w:szCs w:val="18"/>
                      <w:rtl/>
                    </w:rPr>
                  </w:pPr>
                  <w:r>
                    <w:rPr>
                      <w:rFonts w:cs="Miriam"/>
                      <w:sz w:val="18"/>
                      <w:szCs w:val="18"/>
                      <w:rtl/>
                    </w:rPr>
                    <w:t>שי</w:t>
                  </w:r>
                  <w:r>
                    <w:rPr>
                      <w:rFonts w:cs="Miriam" w:hint="cs"/>
                      <w:sz w:val="18"/>
                      <w:szCs w:val="18"/>
                      <w:rtl/>
                    </w:rPr>
                    <w:t>מוש אסור בשמות ובסמלים בכלל</w:t>
                  </w:r>
                </w:p>
              </w:txbxContent>
            </v:textbox>
            <w10:anchorlock/>
          </v:rect>
        </w:pict>
      </w:r>
      <w:r>
        <w:rPr>
          <w:rStyle w:val="big-number"/>
          <w:rFonts w:cs="Miriam"/>
          <w:rtl/>
        </w:rPr>
        <w:t>5.</w:t>
      </w:r>
      <w:r>
        <w:rPr>
          <w:rStyle w:val="big-number"/>
          <w:rFonts w:cs="Miriam"/>
          <w:rtl/>
        </w:rPr>
        <w:tab/>
      </w:r>
      <w:r>
        <w:rPr>
          <w:rStyle w:val="default"/>
          <w:rFonts w:cs="FrankRuehl"/>
          <w:rtl/>
        </w:rPr>
        <w:t>לא</w:t>
      </w:r>
      <w:r>
        <w:rPr>
          <w:rStyle w:val="default"/>
          <w:rFonts w:cs="FrankRuehl" w:hint="cs"/>
          <w:rtl/>
        </w:rPr>
        <w:t xml:space="preserve"> ישתמש אדם בכל שם, או בכל סמל או דגל אף אם אין עליהם צו הגנה, למטרות מסחר, פרסומת או הסברה, בדרך שיש בה כדי להביא את הזולת לחשוב שאותו אדם פועל מטע</w:t>
      </w:r>
      <w:r>
        <w:rPr>
          <w:rStyle w:val="default"/>
          <w:rFonts w:cs="FrankRuehl"/>
          <w:rtl/>
        </w:rPr>
        <w:t xml:space="preserve">ם </w:t>
      </w:r>
      <w:r>
        <w:rPr>
          <w:rStyle w:val="default"/>
          <w:rFonts w:cs="FrankRuehl" w:hint="cs"/>
          <w:rtl/>
        </w:rPr>
        <w:t>המדינה, רשות מרשויותיה או רשות מקומית, או שיש בה כדי לפגוע ב</w:t>
      </w:r>
      <w:r>
        <w:rPr>
          <w:rStyle w:val="default"/>
          <w:rFonts w:cs="FrankRuehl"/>
          <w:rtl/>
        </w:rPr>
        <w:t>ת</w:t>
      </w:r>
      <w:r>
        <w:rPr>
          <w:rStyle w:val="default"/>
          <w:rFonts w:cs="FrankRuehl" w:hint="cs"/>
          <w:rtl/>
        </w:rPr>
        <w:t>קנת הציבור או ברגשותיו.</w:t>
      </w:r>
    </w:p>
    <w:p w14:paraId="1AB02818" w14:textId="77777777" w:rsidR="00DE5D68" w:rsidRDefault="008A0C59">
      <w:pPr>
        <w:pStyle w:val="P00"/>
        <w:spacing w:before="72"/>
        <w:ind w:left="0" w:right="1134"/>
        <w:rPr>
          <w:rStyle w:val="default"/>
          <w:rFonts w:cs="FrankRuehl"/>
          <w:rtl/>
        </w:rPr>
      </w:pPr>
      <w:bookmarkStart w:id="5" w:name="Seif12"/>
      <w:bookmarkEnd w:id="5"/>
      <w:r>
        <w:rPr>
          <w:rFonts w:cs="Miriam"/>
          <w:sz w:val="32"/>
          <w:szCs w:val="32"/>
          <w:rtl/>
          <w:lang w:eastAsia="en-US"/>
        </w:rPr>
        <w:pict w14:anchorId="393A9BAD">
          <v:shapetype id="_x0000_t202" coordsize="21600,21600" o:spt="202" path="m,l,21600r21600,l21600,xe">
            <v:stroke joinstyle="miter"/>
            <v:path gradientshapeok="t" o:connecttype="rect"/>
          </v:shapetype>
          <v:shape id="_x0000_s1037" type="#_x0000_t202" style="position:absolute;left:0;text-align:left;margin-left:470.25pt;margin-top:7.1pt;width:1in;height:16pt;z-index:251663360" filled="f" stroked="f">
            <v:textbox inset="1mm,0,1mm,0">
              <w:txbxContent>
                <w:p w14:paraId="0C6302B0" w14:textId="77777777" w:rsidR="008A0C59" w:rsidRDefault="008A0C59" w:rsidP="008A0C59">
                  <w:pPr>
                    <w:spacing w:line="160" w:lineRule="exact"/>
                    <w:jc w:val="left"/>
                    <w:rPr>
                      <w:rFonts w:cs="Miriam" w:hint="cs"/>
                      <w:noProof/>
                      <w:sz w:val="18"/>
                      <w:szCs w:val="18"/>
                      <w:rtl/>
                    </w:rPr>
                  </w:pPr>
                  <w:r>
                    <w:rPr>
                      <w:rFonts w:cs="Miriam" w:hint="cs"/>
                      <w:sz w:val="18"/>
                      <w:szCs w:val="18"/>
                      <w:rtl/>
                    </w:rPr>
                    <w:t>תעודת הכשר</w:t>
                  </w:r>
                </w:p>
              </w:txbxContent>
            </v:textbox>
            <w10:anchorlock/>
          </v:shape>
        </w:pict>
      </w:r>
      <w:r w:rsidR="00DE5D68">
        <w:rPr>
          <w:rStyle w:val="big-number"/>
          <w:rFonts w:cs="Miriam"/>
          <w:rtl/>
        </w:rPr>
        <w:t>6.</w:t>
      </w:r>
      <w:r w:rsidR="00DE5D68">
        <w:rPr>
          <w:rStyle w:val="big-number"/>
          <w:rFonts w:cs="Miriam"/>
          <w:rtl/>
        </w:rPr>
        <w:tab/>
      </w:r>
      <w:r w:rsidR="00DE5D68">
        <w:rPr>
          <w:rStyle w:val="default"/>
          <w:rFonts w:cs="FrankRuehl"/>
          <w:rtl/>
        </w:rPr>
        <w:t>(א</w:t>
      </w:r>
      <w:r w:rsidR="00DE5D68">
        <w:rPr>
          <w:rStyle w:val="default"/>
          <w:rFonts w:cs="FrankRuehl" w:hint="cs"/>
          <w:rtl/>
        </w:rPr>
        <w:t>)</w:t>
      </w:r>
      <w:r w:rsidR="00DE5D68">
        <w:rPr>
          <w:rStyle w:val="default"/>
          <w:rFonts w:cs="FrankRuehl"/>
          <w:rtl/>
        </w:rPr>
        <w:tab/>
        <w:t>ו</w:t>
      </w:r>
      <w:r w:rsidR="00DE5D68">
        <w:rPr>
          <w:rStyle w:val="default"/>
          <w:rFonts w:cs="FrankRuehl" w:hint="cs"/>
          <w:rtl/>
        </w:rPr>
        <w:t>עדה של שלושה שמינה שר הפנים בהודעה ברשומות רשאית לתת לאדם, על פי בקשתו, תעודה כי אין בשימוש פלוני של המבקש בשם, בסמל או בדגל כדי להביא את הזולת לחשוב שהמבקש פועל מטעם המדינה, רשות מרשויותיה או רשות מקומית או כדי לפגוע בתקנת הציבור או</w:t>
      </w:r>
      <w:r w:rsidR="00DE5D68">
        <w:rPr>
          <w:rFonts w:cs="FrankRuehl"/>
        </w:rPr>
        <w:t> </w:t>
      </w:r>
      <w:r w:rsidR="00DE5D68">
        <w:rPr>
          <w:rStyle w:val="default"/>
          <w:rFonts w:cs="FrankRuehl"/>
          <w:rtl/>
        </w:rPr>
        <w:t xml:space="preserve"> ב</w:t>
      </w:r>
      <w:r w:rsidR="00DE5D68">
        <w:rPr>
          <w:rStyle w:val="default"/>
          <w:rFonts w:cs="FrankRuehl" w:hint="cs"/>
          <w:rtl/>
        </w:rPr>
        <w:t>רגשותיו.</w:t>
      </w:r>
    </w:p>
    <w:p w14:paraId="72FEF250" w14:textId="77777777" w:rsidR="00DE5D68" w:rsidRDefault="00DE5D6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t>ת</w:t>
      </w:r>
      <w:r>
        <w:rPr>
          <w:rStyle w:val="default"/>
          <w:rFonts w:cs="FrankRuehl" w:hint="cs"/>
          <w:rtl/>
        </w:rPr>
        <w:t>עודה כאמור יכול שתקפה יהא מוגבל או בלתי מוגבל בזמן, כפי שת</w:t>
      </w:r>
      <w:r>
        <w:rPr>
          <w:rStyle w:val="default"/>
          <w:rFonts w:cs="FrankRuehl"/>
          <w:rtl/>
        </w:rPr>
        <w:t>ק</w:t>
      </w:r>
      <w:r>
        <w:rPr>
          <w:rStyle w:val="default"/>
          <w:rFonts w:cs="FrankRuehl" w:hint="cs"/>
          <w:rtl/>
        </w:rPr>
        <w:t>בע הועדה; תעודה לפי סעיף זה תהא הגנה באישום לפי סעיף 5 על השימוש שעליו ניתנה, אך לא יהא בה כדי לפטור מאחריות אזרחית לפי כל דין.</w:t>
      </w:r>
    </w:p>
    <w:p w14:paraId="39A2DFD9" w14:textId="77777777" w:rsidR="00DE5D68" w:rsidRDefault="00DE5D6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וגש כתב אישום לפי סעיף 5, לא תתן הועדה תעודה בדבר השימוש שה</w:t>
      </w:r>
      <w:r>
        <w:rPr>
          <w:rStyle w:val="default"/>
          <w:rFonts w:cs="FrankRuehl"/>
          <w:rtl/>
        </w:rPr>
        <w:t>וא</w:t>
      </w:r>
      <w:r>
        <w:rPr>
          <w:rStyle w:val="default"/>
          <w:rFonts w:cs="FrankRuehl" w:hint="cs"/>
          <w:rtl/>
        </w:rPr>
        <w:t xml:space="preserve"> נושא כתב האישום, כל עוד לא ציווה היועץ המשפטי לממשלה על הפס</w:t>
      </w:r>
      <w:r>
        <w:rPr>
          <w:rStyle w:val="default"/>
          <w:rFonts w:cs="FrankRuehl"/>
          <w:rtl/>
        </w:rPr>
        <w:t>ק</w:t>
      </w:r>
      <w:r>
        <w:rPr>
          <w:rStyle w:val="default"/>
          <w:rFonts w:cs="FrankRuehl" w:hint="cs"/>
          <w:rtl/>
        </w:rPr>
        <w:t>ת ההליכים.</w:t>
      </w:r>
    </w:p>
    <w:p w14:paraId="38725A2E" w14:textId="77777777" w:rsidR="00DE5D68" w:rsidRDefault="00DE5D68">
      <w:pPr>
        <w:pStyle w:val="P00"/>
        <w:spacing w:before="72"/>
        <w:ind w:left="0" w:right="1134"/>
        <w:rPr>
          <w:rStyle w:val="default"/>
          <w:rFonts w:cs="FrankRuehl"/>
          <w:rtl/>
        </w:rPr>
      </w:pPr>
      <w:bookmarkStart w:id="6" w:name="Seif6"/>
      <w:bookmarkEnd w:id="6"/>
      <w:r>
        <w:rPr>
          <w:lang w:val="he-IL"/>
        </w:rPr>
        <w:pict w14:anchorId="1873164A">
          <v:rect id="_x0000_s1031" style="position:absolute;left:0;text-align:left;margin-left:464.5pt;margin-top:8.05pt;width:75.05pt;height:22.2pt;z-index:251657216" o:allowincell="f" filled="f" stroked="f" strokecolor="lime" strokeweight=".25pt">
            <v:textbox inset="0,0,0,0">
              <w:txbxContent>
                <w:p w14:paraId="7B40266B" w14:textId="77777777" w:rsidR="00DE5D68" w:rsidRDefault="00DE5D68">
                  <w:pPr>
                    <w:spacing w:line="160" w:lineRule="exact"/>
                    <w:jc w:val="left"/>
                    <w:rPr>
                      <w:rFonts w:cs="Miriam"/>
                      <w:noProof/>
                      <w:sz w:val="18"/>
                      <w:szCs w:val="18"/>
                      <w:rtl/>
                    </w:rPr>
                  </w:pPr>
                  <w:r>
                    <w:rPr>
                      <w:rFonts w:cs="Miriam"/>
                      <w:sz w:val="18"/>
                      <w:szCs w:val="18"/>
                      <w:rtl/>
                    </w:rPr>
                    <w:t>שמ</w:t>
                  </w:r>
                  <w:r>
                    <w:rPr>
                      <w:rFonts w:cs="Miriam" w:hint="cs"/>
                      <w:sz w:val="18"/>
                      <w:szCs w:val="18"/>
                      <w:rtl/>
                    </w:rPr>
                    <w:t>ירת איסורים וסמכויות</w:t>
                  </w:r>
                </w:p>
              </w:txbxContent>
            </v:textbox>
            <w10:anchorlock/>
          </v:rect>
        </w:pict>
      </w:r>
      <w:r>
        <w:rPr>
          <w:rStyle w:val="big-number"/>
          <w:rFonts w:cs="Miriam"/>
          <w:rtl/>
        </w:rPr>
        <w:t>7.</w:t>
      </w:r>
      <w:r>
        <w:rPr>
          <w:rStyle w:val="big-number"/>
          <w:rFonts w:cs="Miriam"/>
          <w:rtl/>
        </w:rPr>
        <w:tab/>
      </w:r>
      <w:r>
        <w:rPr>
          <w:rStyle w:val="default"/>
          <w:rFonts w:cs="FrankRuehl"/>
          <w:rtl/>
        </w:rPr>
        <w:t>הא</w:t>
      </w:r>
      <w:r>
        <w:rPr>
          <w:rStyle w:val="default"/>
          <w:rFonts w:cs="FrankRuehl" w:hint="cs"/>
          <w:rtl/>
        </w:rPr>
        <w:t>יסורים שבחוק זה באים להוסיף על איסורים בדבר סמלים, דגלים ושמות לפי דינים אחרים ולא לגרוע מהם; מתן היתר, רשיון, פטור וכיוצא באלה על פי דינים אחרים לא יהא בו כדי לפטור מאיסורים ש</w:t>
      </w:r>
      <w:r>
        <w:rPr>
          <w:rStyle w:val="default"/>
          <w:rFonts w:cs="FrankRuehl"/>
          <w:rtl/>
        </w:rPr>
        <w:t>בח</w:t>
      </w:r>
      <w:r>
        <w:rPr>
          <w:rStyle w:val="default"/>
          <w:rFonts w:cs="FrankRuehl" w:hint="cs"/>
          <w:rtl/>
        </w:rPr>
        <w:t>וק זה.</w:t>
      </w:r>
    </w:p>
    <w:p w14:paraId="15FA6217" w14:textId="77777777" w:rsidR="00DE5D68" w:rsidRDefault="00DE5D68" w:rsidP="008A0C59">
      <w:pPr>
        <w:pStyle w:val="P00"/>
        <w:spacing w:before="72"/>
        <w:ind w:left="0" w:right="1134"/>
        <w:rPr>
          <w:rStyle w:val="default"/>
          <w:rFonts w:cs="FrankRuehl"/>
          <w:rtl/>
        </w:rPr>
      </w:pPr>
      <w:bookmarkStart w:id="7" w:name="Seif7"/>
      <w:bookmarkEnd w:id="7"/>
      <w:r>
        <w:rPr>
          <w:lang w:val="he-IL"/>
        </w:rPr>
        <w:pict w14:anchorId="122AD194">
          <v:rect id="_x0000_s1032" style="position:absolute;left:0;text-align:left;margin-left:464.5pt;margin-top:8.05pt;width:75.05pt;height:13.5pt;z-index:251658240" o:allowincell="f" filled="f" stroked="f" strokecolor="lime" strokeweight=".25pt">
            <v:textbox inset="0,0,0,0">
              <w:txbxContent>
                <w:p w14:paraId="3DCB57C1" w14:textId="77777777" w:rsidR="00DE5D68" w:rsidRDefault="00DE5D68">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txbxContent>
            </v:textbox>
            <w10:anchorlock/>
          </v:rect>
        </w:pict>
      </w:r>
      <w:r>
        <w:rPr>
          <w:rStyle w:val="big-number"/>
          <w:rFonts w:cs="Miriam"/>
          <w:rtl/>
        </w:rPr>
        <w:t>8.</w:t>
      </w:r>
      <w:r>
        <w:rPr>
          <w:rStyle w:val="big-number"/>
          <w:rFonts w:cs="Miriam"/>
          <w:rtl/>
        </w:rPr>
        <w:tab/>
      </w:r>
      <w:r>
        <w:rPr>
          <w:rStyle w:val="default"/>
          <w:rFonts w:cs="FrankRuehl"/>
          <w:rtl/>
        </w:rPr>
        <w:t>הע</w:t>
      </w:r>
      <w:r>
        <w:rPr>
          <w:rStyle w:val="default"/>
          <w:rFonts w:cs="FrankRuehl" w:hint="cs"/>
          <w:rtl/>
        </w:rPr>
        <w:t>ובר על הוראות</w:t>
      </w:r>
      <w:r>
        <w:rPr>
          <w:rStyle w:val="default"/>
          <w:rFonts w:cs="FrankRuehl"/>
          <w:rtl/>
        </w:rPr>
        <w:t xml:space="preserve"> </w:t>
      </w:r>
      <w:r>
        <w:rPr>
          <w:rStyle w:val="default"/>
          <w:rFonts w:cs="FrankRuehl" w:hint="cs"/>
          <w:rtl/>
        </w:rPr>
        <w:t xml:space="preserve">סעיפים 4 או 5, דינו </w:t>
      </w:r>
      <w:r w:rsidR="008A0C59">
        <w:rPr>
          <w:rStyle w:val="default"/>
          <w:rFonts w:cs="FrankRuehl" w:hint="cs"/>
          <w:rtl/>
        </w:rPr>
        <w:t>-</w:t>
      </w:r>
      <w:r>
        <w:rPr>
          <w:rStyle w:val="default"/>
          <w:rFonts w:cs="FrankRuehl"/>
          <w:rtl/>
        </w:rPr>
        <w:t xml:space="preserve"> </w:t>
      </w:r>
      <w:r>
        <w:rPr>
          <w:rStyle w:val="default"/>
          <w:rFonts w:cs="FrankRuehl" w:hint="cs"/>
          <w:rtl/>
        </w:rPr>
        <w:t>קנס 15,000 לירות.</w:t>
      </w:r>
    </w:p>
    <w:p w14:paraId="4191DBDB" w14:textId="77777777" w:rsidR="00DE5D68" w:rsidRDefault="00DE5D68">
      <w:pPr>
        <w:pStyle w:val="P00"/>
        <w:spacing w:before="72"/>
        <w:ind w:left="0" w:right="1134"/>
        <w:rPr>
          <w:rStyle w:val="default"/>
          <w:rFonts w:cs="FrankRuehl"/>
          <w:rtl/>
        </w:rPr>
      </w:pPr>
      <w:bookmarkStart w:id="8" w:name="Seif8"/>
      <w:bookmarkEnd w:id="8"/>
      <w:r>
        <w:rPr>
          <w:lang w:val="he-IL"/>
        </w:rPr>
        <w:lastRenderedPageBreak/>
        <w:pict w14:anchorId="0FB6D331">
          <v:rect id="_x0000_s1033" style="position:absolute;left:0;text-align:left;margin-left:464.5pt;margin-top:8.05pt;width:75.05pt;height:10.35pt;z-index:251659264" o:allowincell="f" filled="f" stroked="f" strokecolor="lime" strokeweight=".25pt">
            <v:textbox inset="0,0,0,0">
              <w:txbxContent>
                <w:p w14:paraId="3AB1D47A" w14:textId="77777777" w:rsidR="00DE5D68" w:rsidRDefault="00DE5D68">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מניעה</w:t>
                  </w:r>
                </w:p>
              </w:txbxContent>
            </v:textbox>
            <w10:anchorlock/>
          </v:rect>
        </w:pict>
      </w:r>
      <w:r>
        <w:rPr>
          <w:rStyle w:val="big-number"/>
          <w:rFonts w:cs="Miriam"/>
          <w:rtl/>
        </w:rPr>
        <w:t>9.</w:t>
      </w:r>
      <w:r>
        <w:rPr>
          <w:rStyle w:val="big-number"/>
          <w:rFonts w:cs="Miriam"/>
          <w:rtl/>
        </w:rPr>
        <w:tab/>
      </w:r>
      <w:r>
        <w:rPr>
          <w:rStyle w:val="default"/>
          <w:rFonts w:cs="FrankRuehl"/>
          <w:rtl/>
        </w:rPr>
        <w:t>הו</w:t>
      </w:r>
      <w:r>
        <w:rPr>
          <w:rStyle w:val="default"/>
          <w:rFonts w:cs="FrankRuehl" w:hint="cs"/>
          <w:rtl/>
        </w:rPr>
        <w:t>רשע אדם בעבירה לפי סעיף 8, רשאי בית המשפט, בנוסף לכל עונש שיטיל, לצוות על הנשפט להימנע מפעולה האסורה לפי סעיפים 4 או 5, כפי שפירט בית המשפט בצו.</w:t>
      </w:r>
    </w:p>
    <w:p w14:paraId="13AC2FB0" w14:textId="77777777" w:rsidR="00DE5D68" w:rsidRDefault="00DE5D68" w:rsidP="008A0C59">
      <w:pPr>
        <w:pStyle w:val="P00"/>
        <w:spacing w:before="72"/>
        <w:ind w:left="0" w:right="1134"/>
        <w:rPr>
          <w:rStyle w:val="default"/>
          <w:rFonts w:cs="FrankRuehl"/>
          <w:rtl/>
        </w:rPr>
      </w:pPr>
      <w:bookmarkStart w:id="9" w:name="Seif9"/>
      <w:bookmarkEnd w:id="9"/>
      <w:r>
        <w:rPr>
          <w:lang w:val="he-IL"/>
        </w:rPr>
        <w:pict w14:anchorId="73D0A9A8">
          <v:rect id="_x0000_s1034" style="position:absolute;left:0;text-align:left;margin-left:464.5pt;margin-top:8.05pt;width:75.05pt;height:11.05pt;z-index:251660288" o:allowincell="f" filled="f" stroked="f" strokecolor="lime" strokeweight=".25pt">
            <v:textbox inset="0,0,0,0">
              <w:txbxContent>
                <w:p w14:paraId="1CA94610" w14:textId="77777777" w:rsidR="00DE5D68" w:rsidRDefault="00DE5D68">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10.</w:t>
      </w:r>
      <w:r>
        <w:rPr>
          <w:rStyle w:val="big-number"/>
          <w:rFonts w:cs="Miriam"/>
          <w:rtl/>
        </w:rPr>
        <w:tab/>
      </w:r>
      <w:r>
        <w:rPr>
          <w:rStyle w:val="default"/>
          <w:rFonts w:cs="FrankRuehl"/>
          <w:rtl/>
        </w:rPr>
        <w:t>חו</w:t>
      </w:r>
      <w:r>
        <w:rPr>
          <w:rStyle w:val="default"/>
          <w:rFonts w:cs="FrankRuehl" w:hint="cs"/>
          <w:rtl/>
        </w:rPr>
        <w:t>ק הרשויות המקומיות (סמלים), ת</w:t>
      </w:r>
      <w:r>
        <w:rPr>
          <w:rStyle w:val="default"/>
          <w:rFonts w:cs="FrankRuehl"/>
          <w:rtl/>
        </w:rPr>
        <w:t>שי</w:t>
      </w:r>
      <w:r>
        <w:rPr>
          <w:rStyle w:val="default"/>
          <w:rFonts w:cs="FrankRuehl" w:hint="cs"/>
          <w:rtl/>
        </w:rPr>
        <w:t>"ח</w:t>
      </w:r>
      <w:r w:rsidR="008A0C59">
        <w:rPr>
          <w:rStyle w:val="default"/>
          <w:rFonts w:cs="FrankRuehl" w:hint="cs"/>
          <w:rtl/>
        </w:rPr>
        <w:t>-</w:t>
      </w:r>
      <w:r>
        <w:rPr>
          <w:rStyle w:val="default"/>
          <w:rFonts w:cs="FrankRuehl"/>
          <w:rtl/>
        </w:rPr>
        <w:t xml:space="preserve">1958 </w:t>
      </w:r>
      <w:r w:rsidR="008A0C59">
        <w:rPr>
          <w:rStyle w:val="default"/>
          <w:rFonts w:cs="FrankRuehl" w:hint="cs"/>
          <w:rtl/>
        </w:rPr>
        <w:t>-</w:t>
      </w:r>
      <w:r>
        <w:rPr>
          <w:rStyle w:val="default"/>
          <w:rFonts w:cs="FrankRuehl"/>
          <w:rtl/>
        </w:rPr>
        <w:t xml:space="preserve"> </w:t>
      </w:r>
      <w:r>
        <w:rPr>
          <w:rStyle w:val="default"/>
          <w:rFonts w:cs="FrankRuehl" w:hint="cs"/>
          <w:rtl/>
        </w:rPr>
        <w:t>בטל.</w:t>
      </w:r>
    </w:p>
    <w:p w14:paraId="4FAE1F38" w14:textId="77777777" w:rsidR="00DE5D68" w:rsidRDefault="00DE5D68">
      <w:pPr>
        <w:pStyle w:val="P00"/>
        <w:spacing w:before="72"/>
        <w:ind w:left="0" w:right="1134"/>
        <w:rPr>
          <w:rStyle w:val="default"/>
          <w:rFonts w:cs="FrankRuehl"/>
          <w:rtl/>
        </w:rPr>
      </w:pPr>
      <w:bookmarkStart w:id="10" w:name="Seif10"/>
      <w:bookmarkEnd w:id="10"/>
      <w:r>
        <w:rPr>
          <w:lang w:val="he-IL"/>
        </w:rPr>
        <w:pict w14:anchorId="27098E57">
          <v:rect id="_x0000_s1035" style="position:absolute;left:0;text-align:left;margin-left:464.5pt;margin-top:8.05pt;width:75.05pt;height:13.5pt;z-index:251661312" o:allowincell="f" filled="f" stroked="f" strokecolor="lime" strokeweight=".25pt">
            <v:textbox inset="0,0,0,0">
              <w:txbxContent>
                <w:p w14:paraId="6588DDE2" w14:textId="77777777" w:rsidR="00DE5D68" w:rsidRDefault="00DE5D68">
                  <w:pPr>
                    <w:spacing w:line="160" w:lineRule="exact"/>
                    <w:jc w:val="left"/>
                    <w:rPr>
                      <w:rFonts w:cs="Miriam"/>
                      <w:noProof/>
                      <w:sz w:val="18"/>
                      <w:szCs w:val="18"/>
                      <w:rtl/>
                    </w:rPr>
                  </w:pPr>
                  <w:r>
                    <w:rPr>
                      <w:rFonts w:cs="Miriam"/>
                      <w:sz w:val="18"/>
                      <w:szCs w:val="18"/>
                      <w:rtl/>
                    </w:rPr>
                    <w:t>בי</w:t>
                  </w:r>
                  <w:r>
                    <w:rPr>
                      <w:rFonts w:cs="Miriam" w:hint="cs"/>
                      <w:sz w:val="18"/>
                      <w:szCs w:val="18"/>
                      <w:rtl/>
                    </w:rPr>
                    <w:t>צוע</w:t>
                  </w:r>
                </w:p>
              </w:txbxContent>
            </v:textbox>
            <w10:anchorlock/>
          </v:rect>
        </w:pict>
      </w:r>
      <w:r>
        <w:rPr>
          <w:rStyle w:val="big-number"/>
          <w:rFonts w:cs="Miriam"/>
          <w:rtl/>
        </w:rPr>
        <w:t>11.</w:t>
      </w:r>
      <w:r>
        <w:rPr>
          <w:rStyle w:val="big-number"/>
          <w:rFonts w:cs="Miriam"/>
          <w:rtl/>
        </w:rPr>
        <w:tab/>
      </w:r>
      <w:r>
        <w:rPr>
          <w:rStyle w:val="default"/>
          <w:rFonts w:cs="FrankRuehl"/>
          <w:rtl/>
        </w:rPr>
        <w:t>שר</w:t>
      </w:r>
      <w:r>
        <w:rPr>
          <w:rStyle w:val="default"/>
          <w:rFonts w:cs="FrankRuehl" w:hint="cs"/>
          <w:rtl/>
        </w:rPr>
        <w:t xml:space="preserve"> הפנים ממונה על ביצוע חוק זה.</w:t>
      </w:r>
    </w:p>
    <w:p w14:paraId="65F08E98" w14:textId="77777777" w:rsidR="00DE5D68" w:rsidRDefault="00DE5D68" w:rsidP="008A0C59">
      <w:pPr>
        <w:pStyle w:val="P00"/>
        <w:spacing w:before="72"/>
        <w:ind w:left="0" w:right="1134"/>
        <w:rPr>
          <w:rStyle w:val="default"/>
          <w:rFonts w:cs="FrankRuehl"/>
          <w:rtl/>
        </w:rPr>
      </w:pPr>
      <w:bookmarkStart w:id="11" w:name="Seif11"/>
      <w:bookmarkEnd w:id="11"/>
      <w:r>
        <w:rPr>
          <w:lang w:val="he-IL"/>
        </w:rPr>
        <w:pict w14:anchorId="34A66045">
          <v:rect id="_x0000_s1036" style="position:absolute;left:0;text-align:left;margin-left:464.5pt;margin-top:8.05pt;width:75.05pt;height:10.4pt;z-index:251662336" o:allowincell="f" filled="f" stroked="f" strokecolor="lime" strokeweight=".25pt">
            <v:textbox inset="0,0,0,0">
              <w:txbxContent>
                <w:p w14:paraId="134AB432" w14:textId="77777777" w:rsidR="00DE5D68" w:rsidRDefault="00DE5D68">
                  <w:pPr>
                    <w:spacing w:line="160" w:lineRule="exact"/>
                    <w:jc w:val="left"/>
                    <w:rPr>
                      <w:rFonts w:cs="Miriam"/>
                      <w:noProof/>
                      <w:sz w:val="18"/>
                      <w:szCs w:val="18"/>
                      <w:rtl/>
                    </w:rPr>
                  </w:pPr>
                  <w:r>
                    <w:rPr>
                      <w:rFonts w:cs="Miriam"/>
                      <w:sz w:val="18"/>
                      <w:szCs w:val="18"/>
                      <w:rtl/>
                    </w:rPr>
                    <w:t>הו</w:t>
                  </w:r>
                  <w:r>
                    <w:rPr>
                      <w:rFonts w:cs="Miriam" w:hint="cs"/>
                      <w:sz w:val="18"/>
                      <w:szCs w:val="18"/>
                      <w:rtl/>
                    </w:rPr>
                    <w:t>ראת מעבר</w:t>
                  </w:r>
                </w:p>
              </w:txbxContent>
            </v:textbox>
            <w10:anchorlock/>
          </v:rect>
        </w:pict>
      </w:r>
      <w:r>
        <w:rPr>
          <w:rStyle w:val="big-number"/>
          <w:rFonts w:cs="Miriam"/>
          <w:rtl/>
        </w:rPr>
        <w:t>12.</w:t>
      </w:r>
      <w:r>
        <w:rPr>
          <w:rStyle w:val="big-number"/>
          <w:rFonts w:cs="Miriam"/>
          <w:rtl/>
        </w:rPr>
        <w:tab/>
      </w:r>
      <w:r>
        <w:rPr>
          <w:rStyle w:val="default"/>
          <w:rFonts w:cs="FrankRuehl"/>
          <w:rtl/>
        </w:rPr>
        <w:t>סמ</w:t>
      </w:r>
      <w:r>
        <w:rPr>
          <w:rStyle w:val="default"/>
          <w:rFonts w:cs="FrankRuehl" w:hint="cs"/>
          <w:rtl/>
        </w:rPr>
        <w:t>ל שנקבע לרשות מקומית לפי חוק הרשויות המקומיות (סמלים), תשי"ח</w:t>
      </w:r>
      <w:r w:rsidR="008A0C59">
        <w:rPr>
          <w:rStyle w:val="default"/>
          <w:rFonts w:cs="FrankRuehl" w:hint="cs"/>
          <w:rtl/>
        </w:rPr>
        <w:t>-</w:t>
      </w:r>
      <w:r>
        <w:rPr>
          <w:rStyle w:val="default"/>
          <w:rFonts w:cs="FrankRuehl"/>
          <w:rtl/>
        </w:rPr>
        <w:t xml:space="preserve">1958, </w:t>
      </w:r>
      <w:r>
        <w:rPr>
          <w:rStyle w:val="default"/>
          <w:rFonts w:cs="FrankRuehl" w:hint="cs"/>
          <w:rtl/>
        </w:rPr>
        <w:t>דינו כדין סמל שניתן עליו צו הגנה לפי חוק זה, שאין עליו ערעור עוד.</w:t>
      </w:r>
    </w:p>
    <w:p w14:paraId="589B4298" w14:textId="77777777" w:rsidR="00DE5D68" w:rsidRDefault="00DE5D68">
      <w:pPr>
        <w:pStyle w:val="P00"/>
        <w:spacing w:before="72"/>
        <w:ind w:left="0" w:right="1134"/>
        <w:rPr>
          <w:rStyle w:val="default"/>
          <w:rFonts w:cs="FrankRuehl" w:hint="cs"/>
          <w:rtl/>
        </w:rPr>
      </w:pPr>
    </w:p>
    <w:p w14:paraId="5756B834" w14:textId="77777777" w:rsidR="008A0C59" w:rsidRDefault="008A0C59">
      <w:pPr>
        <w:pStyle w:val="P00"/>
        <w:spacing w:before="72"/>
        <w:ind w:left="0" w:right="1134"/>
        <w:rPr>
          <w:rStyle w:val="default"/>
          <w:rFonts w:cs="FrankRuehl" w:hint="cs"/>
          <w:rtl/>
        </w:rPr>
      </w:pPr>
    </w:p>
    <w:p w14:paraId="34E58DD0" w14:textId="77777777" w:rsidR="008A0C59" w:rsidRPr="008A0C59" w:rsidRDefault="008A0C59" w:rsidP="008A0C59">
      <w:pPr>
        <w:pStyle w:val="sig-1"/>
        <w:widowControl/>
        <w:spacing w:before="72"/>
        <w:ind w:left="0" w:right="1134"/>
        <w:rPr>
          <w:rFonts w:cs="FrankRuehl"/>
          <w:sz w:val="26"/>
          <w:szCs w:val="26"/>
          <w:rtl/>
        </w:rPr>
      </w:pPr>
      <w:r w:rsidRPr="008A0C59">
        <w:rPr>
          <w:rFonts w:cs="FrankRuehl"/>
          <w:sz w:val="26"/>
          <w:szCs w:val="26"/>
          <w:rtl/>
        </w:rPr>
        <w:tab/>
      </w:r>
      <w:r w:rsidRPr="008A0C59">
        <w:rPr>
          <w:rFonts w:cs="FrankRuehl"/>
          <w:sz w:val="26"/>
          <w:szCs w:val="26"/>
          <w:rtl/>
        </w:rPr>
        <w:tab/>
        <w:t>י</w:t>
      </w:r>
      <w:r w:rsidRPr="008A0C59">
        <w:rPr>
          <w:rFonts w:cs="FrankRuehl" w:hint="cs"/>
          <w:sz w:val="26"/>
          <w:szCs w:val="26"/>
          <w:rtl/>
        </w:rPr>
        <w:t>צחק רבין</w:t>
      </w:r>
      <w:r w:rsidRPr="008A0C59">
        <w:rPr>
          <w:rFonts w:cs="FrankRuehl"/>
          <w:sz w:val="26"/>
          <w:szCs w:val="26"/>
          <w:rtl/>
        </w:rPr>
        <w:tab/>
        <w:t>י</w:t>
      </w:r>
      <w:r w:rsidRPr="008A0C59">
        <w:rPr>
          <w:rFonts w:cs="FrankRuehl" w:hint="cs"/>
          <w:sz w:val="26"/>
          <w:szCs w:val="26"/>
          <w:rtl/>
        </w:rPr>
        <w:t>וסף בורג</w:t>
      </w:r>
    </w:p>
    <w:p w14:paraId="657E461E" w14:textId="77777777" w:rsidR="008A0C59" w:rsidRDefault="008A0C59" w:rsidP="008A0C59">
      <w:pPr>
        <w:pStyle w:val="sig-1"/>
        <w:widowControl/>
        <w:ind w:left="0" w:right="1134"/>
        <w:rPr>
          <w:rFonts w:cs="FrankRuehl"/>
          <w:sz w:val="22"/>
          <w:rtl/>
        </w:rPr>
      </w:pPr>
      <w:r>
        <w:rPr>
          <w:rFonts w:cs="FrankRuehl"/>
          <w:sz w:val="22"/>
          <w:rtl/>
        </w:rPr>
        <w:tab/>
      </w:r>
      <w:r>
        <w:rPr>
          <w:rFonts w:cs="FrankRuehl"/>
          <w:sz w:val="22"/>
          <w:rtl/>
        </w:rPr>
        <w:tab/>
        <w:t>ר</w:t>
      </w:r>
      <w:r>
        <w:rPr>
          <w:rFonts w:cs="FrankRuehl" w:hint="cs"/>
          <w:sz w:val="22"/>
          <w:rtl/>
        </w:rPr>
        <w:t xml:space="preserve">אש </w:t>
      </w:r>
      <w:r>
        <w:rPr>
          <w:rFonts w:cs="FrankRuehl"/>
          <w:sz w:val="22"/>
          <w:rtl/>
        </w:rPr>
        <w:t>ה</w:t>
      </w:r>
      <w:r>
        <w:rPr>
          <w:rFonts w:cs="FrankRuehl" w:hint="cs"/>
          <w:sz w:val="22"/>
          <w:rtl/>
        </w:rPr>
        <w:t>ממשלה</w:t>
      </w:r>
      <w:r>
        <w:rPr>
          <w:rFonts w:cs="FrankRuehl"/>
          <w:sz w:val="22"/>
          <w:rtl/>
        </w:rPr>
        <w:tab/>
        <w:t>ש</w:t>
      </w:r>
      <w:r>
        <w:rPr>
          <w:rFonts w:cs="FrankRuehl" w:hint="cs"/>
          <w:sz w:val="22"/>
          <w:rtl/>
        </w:rPr>
        <w:t>ר הפ</w:t>
      </w:r>
      <w:r>
        <w:rPr>
          <w:rFonts w:cs="FrankRuehl"/>
          <w:sz w:val="22"/>
          <w:rtl/>
        </w:rPr>
        <w:t>ני</w:t>
      </w:r>
      <w:r>
        <w:rPr>
          <w:rFonts w:cs="FrankRuehl" w:hint="cs"/>
          <w:sz w:val="22"/>
          <w:rtl/>
        </w:rPr>
        <w:t>ם</w:t>
      </w:r>
    </w:p>
    <w:p w14:paraId="3854D9C5" w14:textId="77777777" w:rsidR="00DE5D68" w:rsidRPr="008A0C59" w:rsidRDefault="00DE5D68" w:rsidP="008A0C59">
      <w:pPr>
        <w:pStyle w:val="sig-1"/>
        <w:widowControl/>
        <w:spacing w:before="72"/>
        <w:ind w:left="0" w:right="1134"/>
        <w:rPr>
          <w:rFonts w:cs="FrankRuehl"/>
          <w:sz w:val="26"/>
          <w:szCs w:val="26"/>
          <w:rtl/>
        </w:rPr>
      </w:pPr>
      <w:r w:rsidRPr="008A0C59">
        <w:rPr>
          <w:rFonts w:cs="FrankRuehl"/>
          <w:sz w:val="26"/>
          <w:szCs w:val="26"/>
          <w:rtl/>
        </w:rPr>
        <w:tab/>
        <w:t>א</w:t>
      </w:r>
      <w:r w:rsidRPr="008A0C59">
        <w:rPr>
          <w:rFonts w:cs="FrankRuehl" w:hint="cs"/>
          <w:sz w:val="26"/>
          <w:szCs w:val="26"/>
          <w:rtl/>
        </w:rPr>
        <w:t>פרים קציר</w:t>
      </w:r>
    </w:p>
    <w:p w14:paraId="2A33317C" w14:textId="77777777" w:rsidR="00DE5D68" w:rsidRDefault="00DE5D68" w:rsidP="008A0C59">
      <w:pPr>
        <w:pStyle w:val="sig-1"/>
        <w:widowControl/>
        <w:ind w:left="0" w:right="1134"/>
        <w:rPr>
          <w:rFonts w:cs="FrankRuehl"/>
          <w:sz w:val="22"/>
          <w:rtl/>
        </w:rPr>
      </w:pPr>
      <w:r>
        <w:rPr>
          <w:rFonts w:cs="FrankRuehl"/>
          <w:sz w:val="22"/>
          <w:rtl/>
        </w:rPr>
        <w:tab/>
        <w:t>נ</w:t>
      </w:r>
      <w:r>
        <w:rPr>
          <w:rFonts w:cs="FrankRuehl" w:hint="cs"/>
          <w:sz w:val="22"/>
          <w:rtl/>
        </w:rPr>
        <w:t>שיא המדינה</w:t>
      </w:r>
    </w:p>
    <w:p w14:paraId="08FE3080" w14:textId="77777777" w:rsidR="00DE5D68" w:rsidRPr="008A0C59" w:rsidRDefault="00DE5D68" w:rsidP="008A0C59">
      <w:pPr>
        <w:pStyle w:val="P00"/>
        <w:spacing w:before="72"/>
        <w:ind w:left="0" w:right="1134"/>
        <w:rPr>
          <w:rStyle w:val="default"/>
          <w:rFonts w:cs="FrankRuehl" w:hint="cs"/>
          <w:rtl/>
        </w:rPr>
      </w:pPr>
    </w:p>
    <w:p w14:paraId="1A9758CC" w14:textId="77777777" w:rsidR="008A0C59" w:rsidRPr="008A0C59" w:rsidRDefault="008A0C59" w:rsidP="008A0C59">
      <w:pPr>
        <w:pStyle w:val="P00"/>
        <w:spacing w:before="72"/>
        <w:ind w:left="0" w:right="1134"/>
        <w:rPr>
          <w:rStyle w:val="default"/>
          <w:rFonts w:cs="FrankRuehl"/>
          <w:rtl/>
        </w:rPr>
      </w:pPr>
    </w:p>
    <w:p w14:paraId="3B3649B9" w14:textId="77777777" w:rsidR="008E10EE" w:rsidRDefault="008E10EE" w:rsidP="008A0C59">
      <w:pPr>
        <w:pStyle w:val="P00"/>
        <w:spacing w:before="72"/>
        <w:ind w:left="0" w:right="1134"/>
        <w:rPr>
          <w:rStyle w:val="default"/>
          <w:rFonts w:cs="FrankRuehl"/>
          <w:rtl/>
        </w:rPr>
      </w:pPr>
    </w:p>
    <w:p w14:paraId="2CB72037" w14:textId="77777777" w:rsidR="008E10EE" w:rsidRDefault="008E10EE" w:rsidP="008A0C59">
      <w:pPr>
        <w:pStyle w:val="P00"/>
        <w:spacing w:before="72"/>
        <w:ind w:left="0" w:right="1134"/>
        <w:rPr>
          <w:rStyle w:val="default"/>
          <w:rFonts w:cs="FrankRuehl"/>
          <w:rtl/>
        </w:rPr>
      </w:pPr>
    </w:p>
    <w:p w14:paraId="085BA7F0" w14:textId="77777777" w:rsidR="008E10EE" w:rsidRDefault="008E10EE" w:rsidP="008E10EE">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3F466061" w14:textId="77777777" w:rsidR="00DE5D68" w:rsidRPr="008E10EE" w:rsidRDefault="00DE5D68" w:rsidP="008E10EE">
      <w:pPr>
        <w:pStyle w:val="P00"/>
        <w:spacing w:before="72"/>
        <w:ind w:left="0" w:right="1134"/>
        <w:jc w:val="center"/>
        <w:rPr>
          <w:rStyle w:val="default"/>
          <w:rFonts w:cs="David"/>
          <w:color w:val="0000FF"/>
          <w:szCs w:val="24"/>
          <w:u w:val="single"/>
          <w:rtl/>
        </w:rPr>
      </w:pPr>
    </w:p>
    <w:sectPr w:rsidR="00DE5D68" w:rsidRPr="008E10E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4B4DF" w14:textId="77777777" w:rsidR="00677188" w:rsidRDefault="00677188">
      <w:pPr>
        <w:spacing w:line="240" w:lineRule="auto"/>
      </w:pPr>
      <w:r>
        <w:separator/>
      </w:r>
    </w:p>
  </w:endnote>
  <w:endnote w:type="continuationSeparator" w:id="0">
    <w:p w14:paraId="082312D7" w14:textId="77777777" w:rsidR="00677188" w:rsidRDefault="006771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CAC9" w14:textId="77777777" w:rsidR="00DE5D68" w:rsidRDefault="00DE5D6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0625AFA" w14:textId="77777777" w:rsidR="00DE5D68" w:rsidRDefault="00DE5D6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848CB70" w14:textId="77777777" w:rsidR="00DE5D68" w:rsidRDefault="00DE5D6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E10EE">
      <w:rPr>
        <w:rFonts w:cs="TopType Jerushalmi"/>
        <w:noProof/>
        <w:color w:val="000000"/>
        <w:sz w:val="14"/>
        <w:szCs w:val="14"/>
      </w:rPr>
      <w:t>Y:\000000000000-law\yael\revadim\10-01-13\tav\P170K1_001.doc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E9D88" w14:textId="77777777" w:rsidR="00DE5D68" w:rsidRDefault="00DE5D6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C374D">
      <w:rPr>
        <w:rFonts w:hAnsi="FrankRuehl" w:cs="FrankRuehl"/>
        <w:noProof/>
        <w:sz w:val="24"/>
        <w:szCs w:val="24"/>
        <w:rtl/>
      </w:rPr>
      <w:t>2</w:t>
    </w:r>
    <w:r>
      <w:rPr>
        <w:rFonts w:hAnsi="FrankRuehl" w:cs="FrankRuehl"/>
        <w:sz w:val="24"/>
        <w:szCs w:val="24"/>
        <w:rtl/>
      </w:rPr>
      <w:fldChar w:fldCharType="end"/>
    </w:r>
  </w:p>
  <w:p w14:paraId="3A6E52A2" w14:textId="77777777" w:rsidR="00DE5D68" w:rsidRDefault="00DE5D6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564DDBB" w14:textId="77777777" w:rsidR="00DE5D68" w:rsidRDefault="00DE5D6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E10EE">
      <w:rPr>
        <w:rFonts w:cs="TopType Jerushalmi"/>
        <w:noProof/>
        <w:color w:val="000000"/>
        <w:sz w:val="14"/>
        <w:szCs w:val="14"/>
      </w:rPr>
      <w:t>Y:\000000000000-law\yael\revadim\10-01-13\tav\P170K1_001.doc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80789" w14:textId="77777777" w:rsidR="00677188" w:rsidRDefault="00677188" w:rsidP="008A0C59">
      <w:pPr>
        <w:spacing w:before="60" w:line="240" w:lineRule="auto"/>
        <w:ind w:right="1134"/>
      </w:pPr>
      <w:r>
        <w:separator/>
      </w:r>
    </w:p>
  </w:footnote>
  <w:footnote w:type="continuationSeparator" w:id="0">
    <w:p w14:paraId="091B66C7" w14:textId="77777777" w:rsidR="00677188" w:rsidRDefault="00677188">
      <w:pPr>
        <w:spacing w:line="240" w:lineRule="auto"/>
      </w:pPr>
      <w:r>
        <w:continuationSeparator/>
      </w:r>
    </w:p>
  </w:footnote>
  <w:footnote w:id="1">
    <w:p w14:paraId="39D0E5FB" w14:textId="77777777" w:rsidR="008A0C59" w:rsidRPr="008A0C59" w:rsidRDefault="008A0C59" w:rsidP="008A0C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8A0C59">
        <w:rPr>
          <w:rFonts w:cs="FrankRuehl"/>
          <w:rtl/>
        </w:rPr>
        <w:t xml:space="preserve">* </w:t>
      </w:r>
      <w:r>
        <w:rPr>
          <w:rFonts w:cs="FrankRuehl"/>
          <w:rtl/>
        </w:rPr>
        <w:t>פו</w:t>
      </w:r>
      <w:r>
        <w:rPr>
          <w:rFonts w:cs="FrankRuehl" w:hint="cs"/>
          <w:rtl/>
        </w:rPr>
        <w:t xml:space="preserve">רסם </w:t>
      </w:r>
      <w:hyperlink r:id="rId1" w:history="1">
        <w:r w:rsidRPr="00792396">
          <w:rPr>
            <w:rStyle w:val="Hyperlink"/>
            <w:rFonts w:cs="FrankRuehl" w:hint="cs"/>
            <w:rtl/>
          </w:rPr>
          <w:t>ס"ח תשל"ח מס' 751</w:t>
        </w:r>
      </w:hyperlink>
      <w:r>
        <w:rPr>
          <w:rFonts w:cs="FrankRuehl" w:hint="cs"/>
          <w:rtl/>
        </w:rPr>
        <w:t xml:space="preserve"> מיום 19.12.1974 עמ' 22 (</w:t>
      </w:r>
      <w:hyperlink r:id="rId2" w:history="1">
        <w:r w:rsidRPr="004D5692">
          <w:rPr>
            <w:rStyle w:val="Hyperlink"/>
            <w:rFonts w:cs="FrankRuehl" w:hint="cs"/>
            <w:rtl/>
          </w:rPr>
          <w:t>ה"ח תשל"ב מס' 982</w:t>
        </w:r>
      </w:hyperlink>
      <w:r>
        <w:rPr>
          <w:rFonts w:cs="FrankRuehl" w:hint="cs"/>
          <w:rtl/>
        </w:rPr>
        <w:t xml:space="preserve"> עמ' 162).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3C1B3" w14:textId="77777777" w:rsidR="00DE5D68" w:rsidRDefault="00DE5D6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הגנת סמלים, תשל"ה–1974</w:t>
    </w:r>
  </w:p>
  <w:p w14:paraId="4EBAD69B" w14:textId="77777777" w:rsidR="00DE5D68" w:rsidRDefault="00DE5D6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0C7C555" w14:textId="77777777" w:rsidR="00DE5D68" w:rsidRDefault="00DE5D6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FDF7B" w14:textId="77777777" w:rsidR="00DE5D68" w:rsidRDefault="00DE5D68" w:rsidP="008A0C5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הגנת סמלים, תשל"ה</w:t>
    </w:r>
    <w:r w:rsidR="008A0C59">
      <w:rPr>
        <w:rFonts w:hAnsi="FrankRuehl" w:cs="FrankRuehl" w:hint="cs"/>
        <w:color w:val="000000"/>
        <w:sz w:val="28"/>
        <w:szCs w:val="28"/>
        <w:rtl/>
      </w:rPr>
      <w:t>-</w:t>
    </w:r>
    <w:r>
      <w:rPr>
        <w:rFonts w:hAnsi="FrankRuehl" w:cs="FrankRuehl"/>
        <w:color w:val="000000"/>
        <w:sz w:val="28"/>
        <w:szCs w:val="28"/>
        <w:rtl/>
      </w:rPr>
      <w:t>1974</w:t>
    </w:r>
  </w:p>
  <w:p w14:paraId="6F9D538A" w14:textId="77777777" w:rsidR="00DE5D68" w:rsidRDefault="00DE5D6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19AB785" w14:textId="77777777" w:rsidR="00DE5D68" w:rsidRDefault="00DE5D6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468F"/>
    <w:rsid w:val="001373C5"/>
    <w:rsid w:val="002751F6"/>
    <w:rsid w:val="003F468F"/>
    <w:rsid w:val="004D5692"/>
    <w:rsid w:val="00677188"/>
    <w:rsid w:val="006C374D"/>
    <w:rsid w:val="00792396"/>
    <w:rsid w:val="008A0C59"/>
    <w:rsid w:val="008E10EE"/>
    <w:rsid w:val="009467C7"/>
    <w:rsid w:val="009D4DDA"/>
    <w:rsid w:val="00DE5D6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35FCD1C"/>
  <w15:chartTrackingRefBased/>
  <w15:docId w15:val="{47735248-110B-4AD2-AFF6-A7F577F98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8A0C59"/>
    <w:rPr>
      <w:sz w:val="20"/>
      <w:szCs w:val="20"/>
    </w:rPr>
  </w:style>
  <w:style w:type="character" w:styleId="a6">
    <w:name w:val="footnote reference"/>
    <w:basedOn w:val="a0"/>
    <w:semiHidden/>
    <w:rsid w:val="008A0C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7/PROP-0982.pdf" TargetMode="External"/><Relationship Id="rId1" Type="http://schemas.openxmlformats.org/officeDocument/2006/relationships/hyperlink" Target="http://www.nevo.co.il/Law_word/law14/LAW-07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פרק 170א</vt:lpstr>
    </vt:vector>
  </TitlesOfParts>
  <Company/>
  <LinksUpToDate>false</LinksUpToDate>
  <CharactersWithSpaces>4278</CharactersWithSpaces>
  <SharedDoc>false</SharedDoc>
  <HLinks>
    <vt:vector size="90" baseType="variant">
      <vt:variant>
        <vt:i4>393283</vt:i4>
      </vt:variant>
      <vt:variant>
        <vt:i4>72</vt:i4>
      </vt:variant>
      <vt:variant>
        <vt:i4>0</vt:i4>
      </vt:variant>
      <vt:variant>
        <vt:i4>5</vt:i4>
      </vt:variant>
      <vt:variant>
        <vt:lpwstr>http://www.nevo.co.il/advertisements/nevo-100.doc</vt:lpwstr>
      </vt:variant>
      <vt:variant>
        <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3211307</vt:i4>
      </vt:variant>
      <vt:variant>
        <vt:i4>30</vt:i4>
      </vt:variant>
      <vt:variant>
        <vt:i4>0</vt:i4>
      </vt:variant>
      <vt:variant>
        <vt:i4>5</vt:i4>
      </vt:variant>
      <vt:variant>
        <vt:lpwstr/>
      </vt:variant>
      <vt:variant>
        <vt:lpwstr>Seif12</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131189</vt:i4>
      </vt:variant>
      <vt:variant>
        <vt:i4>3</vt:i4>
      </vt:variant>
      <vt:variant>
        <vt:i4>0</vt:i4>
      </vt:variant>
      <vt:variant>
        <vt:i4>5</vt:i4>
      </vt:variant>
      <vt:variant>
        <vt:lpwstr>http://www.nevo.co.il/Law_word/law17/PROP-0982.pdf</vt:lpwstr>
      </vt:variant>
      <vt:variant>
        <vt:lpwstr/>
      </vt:variant>
      <vt:variant>
        <vt:i4>7995407</vt:i4>
      </vt:variant>
      <vt:variant>
        <vt:i4>0</vt:i4>
      </vt:variant>
      <vt:variant>
        <vt:i4>0</vt:i4>
      </vt:variant>
      <vt:variant>
        <vt:i4>5</vt:i4>
      </vt:variant>
      <vt:variant>
        <vt:lpwstr>http://www.nevo.co.il/Law_word/law14/LAW-0751.pdf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170א</dc:title>
  <dc:subject/>
  <dc:creator>Shimon Doodkin</dc:creator>
  <cp:keywords/>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P170K1</vt:lpwstr>
  </property>
  <property fmtid="{D5CDD505-2E9C-101B-9397-08002B2CF9AE}" pid="3" name="CHNAME">
    <vt:lpwstr>סמלים</vt:lpwstr>
  </property>
  <property fmtid="{D5CDD505-2E9C-101B-9397-08002B2CF9AE}" pid="4" name="LAWNAME">
    <vt:lpwstr>חוק הגנת סמלים, תשל"ה-1974</vt:lpwstr>
  </property>
  <property fmtid="{D5CDD505-2E9C-101B-9397-08002B2CF9AE}" pid="5" name="LAWNUMBER">
    <vt:lpwstr>0001</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דגל סמל והמנון מדינה</vt:lpwstr>
  </property>
  <property fmtid="{D5CDD505-2E9C-101B-9397-08002B2CF9AE}" pid="9" name="NOSE31">
    <vt:lpwstr>הגנת סמלים</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רשויות מקומיות</vt:lpwstr>
  </property>
  <property fmtid="{D5CDD505-2E9C-101B-9397-08002B2CF9AE}" pid="13" name="NOSE32">
    <vt:lpwstr>סמלים ודגלים</vt:lpwstr>
  </property>
  <property fmtid="{D5CDD505-2E9C-101B-9397-08002B2CF9AE}" pid="14" name="NOSE42">
    <vt:lpwstr>הגנת סמלים</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