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24E2" w:rsidRDefault="00852F43" w:rsidP="008713AF">
      <w:pPr>
        <w:pStyle w:val="big-header"/>
        <w:ind w:left="0" w:right="1134"/>
        <w:rPr>
          <w:rFonts w:cs="FrankRuehl" w:hint="cs"/>
          <w:sz w:val="32"/>
          <w:rtl/>
        </w:rPr>
      </w:pPr>
      <w:r>
        <w:rPr>
          <w:rFonts w:cs="FrankRuehl" w:hint="cs"/>
          <w:sz w:val="32"/>
          <w:rtl/>
        </w:rPr>
        <w:t>חוק ההסדרים במשק המדינה (תיקוני חקיקה להשגת יעדי התקציב והמדיניות הכלכלית לשנת הכספים 2003), תשס"ג-2002</w:t>
      </w:r>
    </w:p>
    <w:p w:rsidR="00EC5222" w:rsidRPr="00EC5222" w:rsidRDefault="00EC5222" w:rsidP="00EC5222">
      <w:pPr>
        <w:spacing w:line="320" w:lineRule="auto"/>
        <w:rPr>
          <w:rFonts w:cs="FrankRuehl"/>
          <w:szCs w:val="26"/>
          <w:rtl/>
        </w:rPr>
      </w:pPr>
    </w:p>
    <w:p w:rsidR="00EC5222" w:rsidRPr="00EC5222" w:rsidRDefault="00EC5222" w:rsidP="00EC5222">
      <w:pPr>
        <w:spacing w:line="320" w:lineRule="auto"/>
        <w:rPr>
          <w:rFonts w:cs="Miriam" w:hint="cs"/>
          <w:szCs w:val="22"/>
          <w:rtl/>
        </w:rPr>
      </w:pPr>
      <w:r w:rsidRPr="00EC5222">
        <w:rPr>
          <w:rFonts w:cs="Miriam"/>
          <w:szCs w:val="22"/>
          <w:rtl/>
        </w:rPr>
        <w:t>משפט פרטי וכלכלה</w:t>
      </w:r>
      <w:r w:rsidRPr="00EC5222">
        <w:rPr>
          <w:rFonts w:cs="FrankRuehl"/>
          <w:szCs w:val="26"/>
          <w:rtl/>
        </w:rPr>
        <w:t xml:space="preserve"> – כספים – תקציב ומשק המדינה – השגת יעדי תקציב</w:t>
      </w:r>
    </w:p>
    <w:p w:rsidR="002A24E2" w:rsidRDefault="002A24E2">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11262" w:rsidRPr="00A11262">
        <w:tblPrEx>
          <w:tblCellMar>
            <w:top w:w="0" w:type="dxa"/>
            <w:bottom w:w="0" w:type="dxa"/>
          </w:tblCellMar>
        </w:tblPrEx>
        <w:tc>
          <w:tcPr>
            <w:tcW w:w="1247" w:type="dxa"/>
          </w:tcPr>
          <w:p w:rsidR="00A11262" w:rsidRPr="00A11262" w:rsidRDefault="00A11262" w:rsidP="00A11262">
            <w:pPr>
              <w:rPr>
                <w:rFonts w:cs="Frankruhel" w:hint="cs"/>
                <w:rtl/>
              </w:rPr>
            </w:pPr>
          </w:p>
        </w:tc>
        <w:tc>
          <w:tcPr>
            <w:tcW w:w="5669" w:type="dxa"/>
          </w:tcPr>
          <w:p w:rsidR="00A11262" w:rsidRPr="00A11262" w:rsidRDefault="00A11262" w:rsidP="00A11262">
            <w:pPr>
              <w:rPr>
                <w:rFonts w:cs="Frankruhel" w:hint="cs"/>
                <w:rtl/>
              </w:rPr>
            </w:pPr>
            <w:r>
              <w:rPr>
                <w:rtl/>
              </w:rPr>
              <w:t>תוכן</w:t>
            </w:r>
          </w:p>
        </w:tc>
        <w:tc>
          <w:tcPr>
            <w:tcW w:w="567" w:type="dxa"/>
          </w:tcPr>
          <w:p w:rsidR="00A11262" w:rsidRPr="00A11262" w:rsidRDefault="00A11262" w:rsidP="00A11262">
            <w:pPr>
              <w:rPr>
                <w:rStyle w:val="Hyperlink"/>
                <w:rFonts w:hint="cs"/>
                <w:rtl/>
              </w:rPr>
            </w:pPr>
            <w:hyperlink w:anchor="med0" w:tooltip="תוכן" w:history="1">
              <w:r w:rsidRPr="00A11262">
                <w:rPr>
                  <w:rStyle w:val="Hyperlink"/>
                </w:rPr>
                <w:t>Go</w:t>
              </w:r>
            </w:hyperlink>
          </w:p>
        </w:tc>
        <w:tc>
          <w:tcPr>
            <w:tcW w:w="850" w:type="dxa"/>
          </w:tcPr>
          <w:p w:rsidR="00A11262" w:rsidRPr="00A11262" w:rsidRDefault="00A11262" w:rsidP="00A1126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r w:rsidR="00A11262" w:rsidRPr="00A11262">
        <w:tblPrEx>
          <w:tblCellMar>
            <w:top w:w="0" w:type="dxa"/>
            <w:bottom w:w="0" w:type="dxa"/>
          </w:tblCellMar>
        </w:tblPrEx>
        <w:tc>
          <w:tcPr>
            <w:tcW w:w="1247" w:type="dxa"/>
          </w:tcPr>
          <w:p w:rsidR="00A11262" w:rsidRPr="00A11262" w:rsidRDefault="00A11262" w:rsidP="00A11262">
            <w:pPr>
              <w:rPr>
                <w:rFonts w:cs="Frankruhel" w:hint="cs"/>
                <w:rtl/>
              </w:rPr>
            </w:pPr>
          </w:p>
        </w:tc>
        <w:tc>
          <w:tcPr>
            <w:tcW w:w="5669" w:type="dxa"/>
          </w:tcPr>
          <w:p w:rsidR="00A11262" w:rsidRPr="00A11262" w:rsidRDefault="00A11262" w:rsidP="00A11262">
            <w:pPr>
              <w:rPr>
                <w:rFonts w:cs="Frankruhel" w:hint="cs"/>
                <w:rtl/>
              </w:rPr>
            </w:pPr>
            <w:r>
              <w:rPr>
                <w:rtl/>
              </w:rPr>
              <w:t>פרק א': מטרת החוק</w:t>
            </w:r>
          </w:p>
        </w:tc>
        <w:tc>
          <w:tcPr>
            <w:tcW w:w="567" w:type="dxa"/>
          </w:tcPr>
          <w:p w:rsidR="00A11262" w:rsidRPr="00A11262" w:rsidRDefault="00A11262" w:rsidP="00A11262">
            <w:pPr>
              <w:rPr>
                <w:rStyle w:val="Hyperlink"/>
                <w:rFonts w:hint="cs"/>
                <w:rtl/>
              </w:rPr>
            </w:pPr>
            <w:hyperlink w:anchor="med1" w:tooltip="פרק א: מטרת החוק" w:history="1">
              <w:r w:rsidRPr="00A11262">
                <w:rPr>
                  <w:rStyle w:val="Hyperlink"/>
                </w:rPr>
                <w:t>Go</w:t>
              </w:r>
            </w:hyperlink>
          </w:p>
        </w:tc>
        <w:tc>
          <w:tcPr>
            <w:tcW w:w="850" w:type="dxa"/>
          </w:tcPr>
          <w:p w:rsidR="00A11262" w:rsidRPr="00A11262" w:rsidRDefault="00A11262" w:rsidP="00A1126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3</w:t>
            </w:r>
            <w:r>
              <w:rPr>
                <w:rFonts w:cs="Frankruhel"/>
                <w:rtl/>
              </w:rPr>
              <w:fldChar w:fldCharType="end"/>
            </w:r>
          </w:p>
        </w:tc>
      </w:tr>
      <w:tr w:rsidR="00A11262" w:rsidRPr="00A11262">
        <w:tblPrEx>
          <w:tblCellMar>
            <w:top w:w="0" w:type="dxa"/>
            <w:bottom w:w="0" w:type="dxa"/>
          </w:tblCellMar>
        </w:tblPrEx>
        <w:tc>
          <w:tcPr>
            <w:tcW w:w="1247" w:type="dxa"/>
          </w:tcPr>
          <w:p w:rsidR="00A11262" w:rsidRPr="00A11262" w:rsidRDefault="00A11262" w:rsidP="00A11262">
            <w:pPr>
              <w:rPr>
                <w:rFonts w:cs="Frankruhel" w:hint="cs"/>
                <w:rtl/>
              </w:rPr>
            </w:pPr>
            <w:r>
              <w:rPr>
                <w:rtl/>
              </w:rPr>
              <w:t xml:space="preserve">סעיף 1 </w:t>
            </w:r>
          </w:p>
        </w:tc>
        <w:tc>
          <w:tcPr>
            <w:tcW w:w="5669" w:type="dxa"/>
          </w:tcPr>
          <w:p w:rsidR="00A11262" w:rsidRPr="00A11262" w:rsidRDefault="00A11262" w:rsidP="00A11262">
            <w:pPr>
              <w:rPr>
                <w:rFonts w:cs="Frankruhel" w:hint="cs"/>
                <w:rtl/>
              </w:rPr>
            </w:pPr>
            <w:r>
              <w:rPr>
                <w:rtl/>
              </w:rPr>
              <w:t>מטרת החוק</w:t>
            </w:r>
          </w:p>
        </w:tc>
        <w:tc>
          <w:tcPr>
            <w:tcW w:w="567" w:type="dxa"/>
          </w:tcPr>
          <w:p w:rsidR="00A11262" w:rsidRPr="00A11262" w:rsidRDefault="00A11262" w:rsidP="00A11262">
            <w:pPr>
              <w:rPr>
                <w:rStyle w:val="Hyperlink"/>
                <w:rFonts w:hint="cs"/>
                <w:rtl/>
              </w:rPr>
            </w:pPr>
            <w:hyperlink w:anchor="Seif1" w:tooltip="מטרת החוק" w:history="1">
              <w:r w:rsidRPr="00A11262">
                <w:rPr>
                  <w:rStyle w:val="Hyperlink"/>
                </w:rPr>
                <w:t>Go</w:t>
              </w:r>
            </w:hyperlink>
          </w:p>
        </w:tc>
        <w:tc>
          <w:tcPr>
            <w:tcW w:w="850" w:type="dxa"/>
          </w:tcPr>
          <w:p w:rsidR="00A11262" w:rsidRPr="00A11262" w:rsidRDefault="00A11262" w:rsidP="00A1126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A11262" w:rsidRPr="00A11262">
        <w:tblPrEx>
          <w:tblCellMar>
            <w:top w:w="0" w:type="dxa"/>
            <w:bottom w:w="0" w:type="dxa"/>
          </w:tblCellMar>
        </w:tblPrEx>
        <w:tc>
          <w:tcPr>
            <w:tcW w:w="1247" w:type="dxa"/>
          </w:tcPr>
          <w:p w:rsidR="00A11262" w:rsidRPr="00A11262" w:rsidRDefault="00A11262" w:rsidP="00A11262">
            <w:pPr>
              <w:rPr>
                <w:rFonts w:cs="Frankruhel" w:hint="cs"/>
                <w:rtl/>
              </w:rPr>
            </w:pPr>
          </w:p>
        </w:tc>
        <w:tc>
          <w:tcPr>
            <w:tcW w:w="5669" w:type="dxa"/>
          </w:tcPr>
          <w:p w:rsidR="00A11262" w:rsidRPr="00A11262" w:rsidRDefault="00A11262" w:rsidP="00A11262">
            <w:pPr>
              <w:rPr>
                <w:rFonts w:cs="Frankruhel" w:hint="cs"/>
                <w:rtl/>
              </w:rPr>
            </w:pPr>
            <w:r>
              <w:rPr>
                <w:rtl/>
              </w:rPr>
              <w:t>פרק ח': העברת הלוואות שלהבטחת פירעונן ניתנה בטוחה בקשר למקרקעין</w:t>
            </w:r>
          </w:p>
        </w:tc>
        <w:tc>
          <w:tcPr>
            <w:tcW w:w="567" w:type="dxa"/>
          </w:tcPr>
          <w:p w:rsidR="00A11262" w:rsidRPr="00A11262" w:rsidRDefault="00A11262" w:rsidP="00A11262">
            <w:pPr>
              <w:rPr>
                <w:rStyle w:val="Hyperlink"/>
                <w:rFonts w:hint="cs"/>
                <w:rtl/>
              </w:rPr>
            </w:pPr>
            <w:hyperlink w:anchor="med2" w:tooltip="פרק ח: העברת הלוואות שלהבטחת פירעונן ניתנה בטוחה בקשר למקרקעין" w:history="1">
              <w:r w:rsidRPr="00A11262">
                <w:rPr>
                  <w:rStyle w:val="Hyperlink"/>
                </w:rPr>
                <w:t>Go</w:t>
              </w:r>
            </w:hyperlink>
          </w:p>
        </w:tc>
        <w:tc>
          <w:tcPr>
            <w:tcW w:w="850" w:type="dxa"/>
          </w:tcPr>
          <w:p w:rsidR="00A11262" w:rsidRPr="00A11262" w:rsidRDefault="00A11262" w:rsidP="00A1126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3</w:t>
            </w:r>
            <w:r>
              <w:rPr>
                <w:rFonts w:cs="Frankruhel"/>
                <w:rtl/>
              </w:rPr>
              <w:fldChar w:fldCharType="end"/>
            </w:r>
          </w:p>
        </w:tc>
      </w:tr>
      <w:tr w:rsidR="00A11262" w:rsidRPr="00A11262">
        <w:tblPrEx>
          <w:tblCellMar>
            <w:top w:w="0" w:type="dxa"/>
            <w:bottom w:w="0" w:type="dxa"/>
          </w:tblCellMar>
        </w:tblPrEx>
        <w:tc>
          <w:tcPr>
            <w:tcW w:w="1247" w:type="dxa"/>
          </w:tcPr>
          <w:p w:rsidR="00A11262" w:rsidRPr="00A11262" w:rsidRDefault="00A11262" w:rsidP="00A11262">
            <w:pPr>
              <w:rPr>
                <w:rFonts w:cs="Frankruhel" w:hint="cs"/>
                <w:rtl/>
              </w:rPr>
            </w:pPr>
            <w:r>
              <w:rPr>
                <w:rtl/>
              </w:rPr>
              <w:t xml:space="preserve">סעיף 43 </w:t>
            </w:r>
          </w:p>
        </w:tc>
        <w:tc>
          <w:tcPr>
            <w:tcW w:w="5669" w:type="dxa"/>
          </w:tcPr>
          <w:p w:rsidR="00A11262" w:rsidRPr="00A11262" w:rsidRDefault="00A11262" w:rsidP="00A11262">
            <w:pPr>
              <w:rPr>
                <w:rFonts w:cs="Frankruhel" w:hint="cs"/>
                <w:rtl/>
              </w:rPr>
            </w:pPr>
            <w:r>
              <w:rPr>
                <w:rtl/>
              </w:rPr>
              <w:t>הגדרות</w:t>
            </w:r>
          </w:p>
        </w:tc>
        <w:tc>
          <w:tcPr>
            <w:tcW w:w="567" w:type="dxa"/>
          </w:tcPr>
          <w:p w:rsidR="00A11262" w:rsidRPr="00A11262" w:rsidRDefault="00A11262" w:rsidP="00A11262">
            <w:pPr>
              <w:rPr>
                <w:rStyle w:val="Hyperlink"/>
                <w:rFonts w:hint="cs"/>
                <w:rtl/>
              </w:rPr>
            </w:pPr>
            <w:hyperlink w:anchor="Seif2" w:tooltip="הגדרות" w:history="1">
              <w:r w:rsidRPr="00A11262">
                <w:rPr>
                  <w:rStyle w:val="Hyperlink"/>
                </w:rPr>
                <w:t>Go</w:t>
              </w:r>
            </w:hyperlink>
          </w:p>
        </w:tc>
        <w:tc>
          <w:tcPr>
            <w:tcW w:w="850" w:type="dxa"/>
          </w:tcPr>
          <w:p w:rsidR="00A11262" w:rsidRPr="00A11262" w:rsidRDefault="00A11262" w:rsidP="00A1126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A11262" w:rsidRPr="00A11262">
        <w:tblPrEx>
          <w:tblCellMar>
            <w:top w:w="0" w:type="dxa"/>
            <w:bottom w:w="0" w:type="dxa"/>
          </w:tblCellMar>
        </w:tblPrEx>
        <w:tc>
          <w:tcPr>
            <w:tcW w:w="1247" w:type="dxa"/>
          </w:tcPr>
          <w:p w:rsidR="00A11262" w:rsidRPr="00A11262" w:rsidRDefault="00A11262" w:rsidP="00A11262">
            <w:pPr>
              <w:rPr>
                <w:rFonts w:cs="Frankruhel" w:hint="cs"/>
                <w:rtl/>
              </w:rPr>
            </w:pPr>
            <w:r>
              <w:rPr>
                <w:rtl/>
              </w:rPr>
              <w:t xml:space="preserve">סעיף 44 </w:t>
            </w:r>
          </w:p>
        </w:tc>
        <w:tc>
          <w:tcPr>
            <w:tcW w:w="5669" w:type="dxa"/>
          </w:tcPr>
          <w:p w:rsidR="00A11262" w:rsidRPr="00A11262" w:rsidRDefault="00A11262" w:rsidP="00A11262">
            <w:pPr>
              <w:rPr>
                <w:rFonts w:cs="Frankruhel" w:hint="cs"/>
                <w:rtl/>
              </w:rPr>
            </w:pPr>
            <w:r>
              <w:rPr>
                <w:rtl/>
              </w:rPr>
              <w:t>הגנה על זכויות</w:t>
            </w:r>
          </w:p>
        </w:tc>
        <w:tc>
          <w:tcPr>
            <w:tcW w:w="567" w:type="dxa"/>
          </w:tcPr>
          <w:p w:rsidR="00A11262" w:rsidRPr="00A11262" w:rsidRDefault="00A11262" w:rsidP="00A11262">
            <w:pPr>
              <w:rPr>
                <w:rStyle w:val="Hyperlink"/>
                <w:rFonts w:hint="cs"/>
                <w:rtl/>
              </w:rPr>
            </w:pPr>
            <w:hyperlink w:anchor="Seif3" w:tooltip="הגנה על זכויות" w:history="1">
              <w:r w:rsidRPr="00A11262">
                <w:rPr>
                  <w:rStyle w:val="Hyperlink"/>
                </w:rPr>
                <w:t>Go</w:t>
              </w:r>
            </w:hyperlink>
          </w:p>
        </w:tc>
        <w:tc>
          <w:tcPr>
            <w:tcW w:w="850" w:type="dxa"/>
          </w:tcPr>
          <w:p w:rsidR="00A11262" w:rsidRPr="00A11262" w:rsidRDefault="00A11262" w:rsidP="00A1126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A11262" w:rsidRPr="00A11262">
        <w:tblPrEx>
          <w:tblCellMar>
            <w:top w:w="0" w:type="dxa"/>
            <w:bottom w:w="0" w:type="dxa"/>
          </w:tblCellMar>
        </w:tblPrEx>
        <w:tc>
          <w:tcPr>
            <w:tcW w:w="1247" w:type="dxa"/>
          </w:tcPr>
          <w:p w:rsidR="00A11262" w:rsidRPr="00A11262" w:rsidRDefault="00A11262" w:rsidP="00A11262">
            <w:pPr>
              <w:rPr>
                <w:rFonts w:cs="Frankruhel" w:hint="cs"/>
                <w:rtl/>
              </w:rPr>
            </w:pPr>
            <w:r>
              <w:rPr>
                <w:rtl/>
              </w:rPr>
              <w:t xml:space="preserve">סעיף 45 </w:t>
            </w:r>
          </w:p>
        </w:tc>
        <w:tc>
          <w:tcPr>
            <w:tcW w:w="5669" w:type="dxa"/>
          </w:tcPr>
          <w:p w:rsidR="00A11262" w:rsidRPr="00A11262" w:rsidRDefault="00A11262" w:rsidP="00A11262">
            <w:pPr>
              <w:rPr>
                <w:rFonts w:cs="Frankruhel" w:hint="cs"/>
                <w:rtl/>
              </w:rPr>
            </w:pPr>
            <w:r>
              <w:rPr>
                <w:rtl/>
              </w:rPr>
              <w:t>ניהול גביה ומימוש</w:t>
            </w:r>
          </w:p>
        </w:tc>
        <w:tc>
          <w:tcPr>
            <w:tcW w:w="567" w:type="dxa"/>
          </w:tcPr>
          <w:p w:rsidR="00A11262" w:rsidRPr="00A11262" w:rsidRDefault="00A11262" w:rsidP="00A11262">
            <w:pPr>
              <w:rPr>
                <w:rStyle w:val="Hyperlink"/>
                <w:rFonts w:hint="cs"/>
                <w:rtl/>
              </w:rPr>
            </w:pPr>
            <w:hyperlink w:anchor="Seif4" w:tooltip="ניהול גביה ומימוש" w:history="1">
              <w:r w:rsidRPr="00A11262">
                <w:rPr>
                  <w:rStyle w:val="Hyperlink"/>
                </w:rPr>
                <w:t>Go</w:t>
              </w:r>
            </w:hyperlink>
          </w:p>
        </w:tc>
        <w:tc>
          <w:tcPr>
            <w:tcW w:w="850" w:type="dxa"/>
          </w:tcPr>
          <w:p w:rsidR="00A11262" w:rsidRPr="00A11262" w:rsidRDefault="00A11262" w:rsidP="00A1126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A11262" w:rsidRPr="00A11262">
        <w:tblPrEx>
          <w:tblCellMar>
            <w:top w:w="0" w:type="dxa"/>
            <w:bottom w:w="0" w:type="dxa"/>
          </w:tblCellMar>
        </w:tblPrEx>
        <w:tc>
          <w:tcPr>
            <w:tcW w:w="1247" w:type="dxa"/>
          </w:tcPr>
          <w:p w:rsidR="00A11262" w:rsidRPr="00A11262" w:rsidRDefault="00A11262" w:rsidP="00A11262">
            <w:pPr>
              <w:rPr>
                <w:rFonts w:cs="Frankruhel" w:hint="cs"/>
                <w:rtl/>
              </w:rPr>
            </w:pPr>
            <w:r>
              <w:rPr>
                <w:rtl/>
              </w:rPr>
              <w:t xml:space="preserve">סעיף 46 </w:t>
            </w:r>
          </w:p>
        </w:tc>
        <w:tc>
          <w:tcPr>
            <w:tcW w:w="5669" w:type="dxa"/>
          </w:tcPr>
          <w:p w:rsidR="00A11262" w:rsidRPr="00A11262" w:rsidRDefault="00A11262" w:rsidP="00A11262">
            <w:pPr>
              <w:rPr>
                <w:rFonts w:cs="Frankruhel" w:hint="cs"/>
                <w:rtl/>
              </w:rPr>
            </w:pPr>
            <w:r>
              <w:rPr>
                <w:rtl/>
              </w:rPr>
              <w:t>העברת משכנתה</w:t>
            </w:r>
          </w:p>
        </w:tc>
        <w:tc>
          <w:tcPr>
            <w:tcW w:w="567" w:type="dxa"/>
          </w:tcPr>
          <w:p w:rsidR="00A11262" w:rsidRPr="00A11262" w:rsidRDefault="00A11262" w:rsidP="00A11262">
            <w:pPr>
              <w:rPr>
                <w:rStyle w:val="Hyperlink"/>
                <w:rFonts w:hint="cs"/>
                <w:rtl/>
              </w:rPr>
            </w:pPr>
            <w:hyperlink w:anchor="Seif5" w:tooltip="העברת משכנתה" w:history="1">
              <w:r w:rsidRPr="00A11262">
                <w:rPr>
                  <w:rStyle w:val="Hyperlink"/>
                </w:rPr>
                <w:t>Go</w:t>
              </w:r>
            </w:hyperlink>
          </w:p>
        </w:tc>
        <w:tc>
          <w:tcPr>
            <w:tcW w:w="850" w:type="dxa"/>
          </w:tcPr>
          <w:p w:rsidR="00A11262" w:rsidRPr="00A11262" w:rsidRDefault="00A11262" w:rsidP="00A1126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A11262" w:rsidRPr="00A11262">
        <w:tblPrEx>
          <w:tblCellMar>
            <w:top w:w="0" w:type="dxa"/>
            <w:bottom w:w="0" w:type="dxa"/>
          </w:tblCellMar>
        </w:tblPrEx>
        <w:tc>
          <w:tcPr>
            <w:tcW w:w="1247" w:type="dxa"/>
          </w:tcPr>
          <w:p w:rsidR="00A11262" w:rsidRPr="00A11262" w:rsidRDefault="00A11262" w:rsidP="00A11262">
            <w:pPr>
              <w:rPr>
                <w:rFonts w:cs="Frankruhel" w:hint="cs"/>
                <w:rtl/>
              </w:rPr>
            </w:pPr>
            <w:r>
              <w:rPr>
                <w:rtl/>
              </w:rPr>
              <w:t xml:space="preserve">סעיף 47 </w:t>
            </w:r>
          </w:p>
        </w:tc>
        <w:tc>
          <w:tcPr>
            <w:tcW w:w="5669" w:type="dxa"/>
          </w:tcPr>
          <w:p w:rsidR="00A11262" w:rsidRPr="00A11262" w:rsidRDefault="00A11262" w:rsidP="00A11262">
            <w:pPr>
              <w:rPr>
                <w:rFonts w:cs="Frankruhel" w:hint="cs"/>
                <w:rtl/>
              </w:rPr>
            </w:pPr>
            <w:r>
              <w:rPr>
                <w:rtl/>
              </w:rPr>
              <w:t>העברת הערת אזהרה</w:t>
            </w:r>
          </w:p>
        </w:tc>
        <w:tc>
          <w:tcPr>
            <w:tcW w:w="567" w:type="dxa"/>
          </w:tcPr>
          <w:p w:rsidR="00A11262" w:rsidRPr="00A11262" w:rsidRDefault="00A11262" w:rsidP="00A11262">
            <w:pPr>
              <w:rPr>
                <w:rStyle w:val="Hyperlink"/>
                <w:rFonts w:hint="cs"/>
                <w:rtl/>
              </w:rPr>
            </w:pPr>
            <w:hyperlink w:anchor="Seif6" w:tooltip="העברת הערת אזהרה" w:history="1">
              <w:r w:rsidRPr="00A11262">
                <w:rPr>
                  <w:rStyle w:val="Hyperlink"/>
                </w:rPr>
                <w:t>Go</w:t>
              </w:r>
            </w:hyperlink>
          </w:p>
        </w:tc>
        <w:tc>
          <w:tcPr>
            <w:tcW w:w="850" w:type="dxa"/>
          </w:tcPr>
          <w:p w:rsidR="00A11262" w:rsidRPr="00A11262" w:rsidRDefault="00A11262" w:rsidP="00A1126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A11262" w:rsidRPr="00A11262">
        <w:tblPrEx>
          <w:tblCellMar>
            <w:top w:w="0" w:type="dxa"/>
            <w:bottom w:w="0" w:type="dxa"/>
          </w:tblCellMar>
        </w:tblPrEx>
        <w:tc>
          <w:tcPr>
            <w:tcW w:w="1247" w:type="dxa"/>
          </w:tcPr>
          <w:p w:rsidR="00A11262" w:rsidRPr="00A11262" w:rsidRDefault="00A11262" w:rsidP="00A11262">
            <w:pPr>
              <w:rPr>
                <w:rFonts w:cs="Frankruhel" w:hint="cs"/>
                <w:rtl/>
              </w:rPr>
            </w:pPr>
            <w:r>
              <w:rPr>
                <w:rtl/>
              </w:rPr>
              <w:t xml:space="preserve">סעיף 48 </w:t>
            </w:r>
          </w:p>
        </w:tc>
        <w:tc>
          <w:tcPr>
            <w:tcW w:w="5669" w:type="dxa"/>
          </w:tcPr>
          <w:p w:rsidR="00A11262" w:rsidRPr="00A11262" w:rsidRDefault="00A11262" w:rsidP="00A11262">
            <w:pPr>
              <w:rPr>
                <w:rFonts w:cs="Frankruhel" w:hint="cs"/>
                <w:rtl/>
              </w:rPr>
            </w:pPr>
            <w:r>
              <w:rPr>
                <w:rtl/>
              </w:rPr>
              <w:t>ביצוע ותקנות</w:t>
            </w:r>
          </w:p>
        </w:tc>
        <w:tc>
          <w:tcPr>
            <w:tcW w:w="567" w:type="dxa"/>
          </w:tcPr>
          <w:p w:rsidR="00A11262" w:rsidRPr="00A11262" w:rsidRDefault="00A11262" w:rsidP="00A11262">
            <w:pPr>
              <w:rPr>
                <w:rStyle w:val="Hyperlink"/>
                <w:rFonts w:hint="cs"/>
                <w:rtl/>
              </w:rPr>
            </w:pPr>
            <w:hyperlink w:anchor="Seif7" w:tooltip="ביצוע ותקנות" w:history="1">
              <w:r w:rsidRPr="00A11262">
                <w:rPr>
                  <w:rStyle w:val="Hyperlink"/>
                </w:rPr>
                <w:t>Go</w:t>
              </w:r>
            </w:hyperlink>
          </w:p>
        </w:tc>
        <w:tc>
          <w:tcPr>
            <w:tcW w:w="850" w:type="dxa"/>
          </w:tcPr>
          <w:p w:rsidR="00A11262" w:rsidRPr="00A11262" w:rsidRDefault="00A11262" w:rsidP="00A1126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A11262" w:rsidRPr="00A11262">
        <w:tblPrEx>
          <w:tblCellMar>
            <w:top w:w="0" w:type="dxa"/>
            <w:bottom w:w="0" w:type="dxa"/>
          </w:tblCellMar>
        </w:tblPrEx>
        <w:tc>
          <w:tcPr>
            <w:tcW w:w="1247" w:type="dxa"/>
          </w:tcPr>
          <w:p w:rsidR="00A11262" w:rsidRPr="00A11262" w:rsidRDefault="00A11262" w:rsidP="00A11262">
            <w:pPr>
              <w:rPr>
                <w:rFonts w:cs="Frankruhel" w:hint="cs"/>
                <w:rtl/>
              </w:rPr>
            </w:pPr>
            <w:r>
              <w:rPr>
                <w:rtl/>
              </w:rPr>
              <w:t xml:space="preserve">סעיף 49 </w:t>
            </w:r>
          </w:p>
        </w:tc>
        <w:tc>
          <w:tcPr>
            <w:tcW w:w="5669" w:type="dxa"/>
          </w:tcPr>
          <w:p w:rsidR="00A11262" w:rsidRPr="00A11262" w:rsidRDefault="00A11262" w:rsidP="00A11262">
            <w:pPr>
              <w:rPr>
                <w:rFonts w:cs="Frankruhel" w:hint="cs"/>
                <w:rtl/>
              </w:rPr>
            </w:pPr>
            <w:r>
              <w:rPr>
                <w:rtl/>
              </w:rPr>
              <w:t>תחולה ותחילה</w:t>
            </w:r>
          </w:p>
        </w:tc>
        <w:tc>
          <w:tcPr>
            <w:tcW w:w="567" w:type="dxa"/>
          </w:tcPr>
          <w:p w:rsidR="00A11262" w:rsidRPr="00A11262" w:rsidRDefault="00A11262" w:rsidP="00A11262">
            <w:pPr>
              <w:rPr>
                <w:rStyle w:val="Hyperlink"/>
                <w:rFonts w:hint="cs"/>
                <w:rtl/>
              </w:rPr>
            </w:pPr>
            <w:hyperlink w:anchor="Seif8" w:tooltip="תחולה ותחילה" w:history="1">
              <w:r w:rsidRPr="00A11262">
                <w:rPr>
                  <w:rStyle w:val="Hyperlink"/>
                </w:rPr>
                <w:t>Go</w:t>
              </w:r>
            </w:hyperlink>
          </w:p>
        </w:tc>
        <w:tc>
          <w:tcPr>
            <w:tcW w:w="850" w:type="dxa"/>
          </w:tcPr>
          <w:p w:rsidR="00A11262" w:rsidRPr="00A11262" w:rsidRDefault="00A11262" w:rsidP="00A11262">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bl>
    <w:p w:rsidR="002A24E2" w:rsidRDefault="002A24E2">
      <w:pPr>
        <w:pStyle w:val="big-header"/>
        <w:ind w:left="0" w:right="1134"/>
        <w:rPr>
          <w:rFonts w:cs="FrankRuehl" w:hint="cs"/>
          <w:sz w:val="32"/>
          <w:rtl/>
        </w:rPr>
      </w:pPr>
    </w:p>
    <w:p w:rsidR="002A24E2" w:rsidRPr="00EC5222" w:rsidRDefault="002A24E2" w:rsidP="00EC5222">
      <w:pPr>
        <w:pStyle w:val="big-header"/>
        <w:ind w:left="0" w:right="1134"/>
        <w:rPr>
          <w:rStyle w:val="default"/>
          <w:rFonts w:cs="FrankRuehl" w:hint="cs"/>
          <w:sz w:val="32"/>
          <w:szCs w:val="32"/>
          <w:rtl/>
        </w:rPr>
      </w:pPr>
      <w:r>
        <w:rPr>
          <w:rFonts w:cs="FrankRuehl"/>
          <w:sz w:val="32"/>
          <w:rtl/>
        </w:rPr>
        <w:br w:type="page"/>
      </w:r>
      <w:r w:rsidR="00852F43">
        <w:rPr>
          <w:rFonts w:cs="FrankRuehl" w:hint="cs"/>
          <w:sz w:val="32"/>
          <w:rtl/>
        </w:rPr>
        <w:lastRenderedPageBreak/>
        <w:t>חוק ההסדרים במשק המדינה (תיקוני חקיקה להשגת יעדי התקציב והמדיניות הכלכלית לשנת הכספים 2003), תשס"ג-2002</w:t>
      </w:r>
      <w:r>
        <w:rPr>
          <w:rStyle w:val="default"/>
          <w:sz w:val="22"/>
          <w:szCs w:val="22"/>
          <w:rtl/>
        </w:rPr>
        <w:footnoteReference w:customMarkFollows="1" w:id="1"/>
        <w:t>*</w:t>
      </w:r>
    </w:p>
    <w:p w:rsidR="00852F43" w:rsidRDefault="00852F43" w:rsidP="00852F43">
      <w:pPr>
        <w:pStyle w:val="medium2-header"/>
        <w:keepLines w:val="0"/>
        <w:spacing w:before="72"/>
        <w:ind w:left="0" w:right="1134"/>
        <w:outlineLvl w:val="0"/>
        <w:rPr>
          <w:rFonts w:cs="FrankRuehl" w:hint="cs"/>
          <w:noProof/>
          <w:rtl/>
        </w:rPr>
      </w:pPr>
      <w:bookmarkStart w:id="0" w:name="med0"/>
      <w:bookmarkEnd w:id="0"/>
      <w:r>
        <w:rPr>
          <w:rFonts w:cs="FrankRuehl" w:hint="cs"/>
          <w:noProof/>
          <w:rtl/>
        </w:rPr>
        <w:t>תוכן</w:t>
      </w:r>
    </w:p>
    <w:p w:rsidR="00852F43" w:rsidRDefault="00852F43" w:rsidP="00852F4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p>
    <w:p w:rsidR="00852F43" w:rsidRDefault="00852F43" w:rsidP="00852F4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א':</w:t>
      </w:r>
      <w:r>
        <w:rPr>
          <w:rStyle w:val="default"/>
          <w:rFonts w:cs="FrankRuehl" w:hint="cs"/>
          <w:rtl/>
        </w:rPr>
        <w:tab/>
        <w:t>מטרת החוק (סעיף 1)</w:t>
      </w:r>
    </w:p>
    <w:p w:rsidR="00852F43" w:rsidRDefault="00852F43" w:rsidP="00852F4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ב':</w:t>
      </w:r>
      <w:r>
        <w:rPr>
          <w:rStyle w:val="default"/>
          <w:rFonts w:cs="FrankRuehl" w:hint="cs"/>
          <w:rtl/>
        </w:rPr>
        <w:tab/>
        <w:t>רשויות מקומיות (סעיפים 7-2)</w:t>
      </w:r>
    </w:p>
    <w:p w:rsidR="00852F43" w:rsidRDefault="00852F43" w:rsidP="00852F4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ג':</w:t>
      </w:r>
      <w:r>
        <w:rPr>
          <w:rStyle w:val="default"/>
          <w:rFonts w:cs="FrankRuehl" w:hint="cs"/>
          <w:rtl/>
        </w:rPr>
        <w:tab/>
        <w:t>חקלאות (סעיפים 16-8)</w:t>
      </w:r>
    </w:p>
    <w:p w:rsidR="00852F43" w:rsidRDefault="00852F43" w:rsidP="00852F4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ד':</w:t>
      </w:r>
      <w:r>
        <w:rPr>
          <w:rStyle w:val="default"/>
          <w:rFonts w:cs="FrankRuehl" w:hint="cs"/>
          <w:rtl/>
        </w:rPr>
        <w:tab/>
        <w:t>ביטוח לאומי ובריאות (סעיפים 29-17)</w:t>
      </w:r>
    </w:p>
    <w:p w:rsidR="00852F43" w:rsidRDefault="00852F43" w:rsidP="00852F4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ה':</w:t>
      </w:r>
      <w:r>
        <w:rPr>
          <w:rStyle w:val="default"/>
          <w:rFonts w:cs="FrankRuehl" w:hint="cs"/>
          <w:rtl/>
        </w:rPr>
        <w:tab/>
        <w:t>עובדים זרים (סעיפים 38-30)</w:t>
      </w:r>
    </w:p>
    <w:p w:rsidR="00852F43" w:rsidRDefault="00852F43" w:rsidP="00852F4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ו':</w:t>
      </w:r>
      <w:r>
        <w:rPr>
          <w:rStyle w:val="default"/>
          <w:rFonts w:cs="FrankRuehl" w:hint="cs"/>
          <w:rtl/>
        </w:rPr>
        <w:tab/>
        <w:t>מס הכנסה (סעיפים 40-39)</w:t>
      </w:r>
    </w:p>
    <w:p w:rsidR="00852F43" w:rsidRDefault="00852F43" w:rsidP="00852F4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ז':</w:t>
      </w:r>
      <w:r>
        <w:rPr>
          <w:rStyle w:val="default"/>
          <w:rFonts w:cs="FrankRuehl" w:hint="cs"/>
          <w:rtl/>
        </w:rPr>
        <w:tab/>
        <w:t>תכנון ובניה (סעיפים 42-41)</w:t>
      </w:r>
    </w:p>
    <w:p w:rsidR="00852F43" w:rsidRDefault="00852F43" w:rsidP="00852F4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ח':</w:t>
      </w:r>
      <w:r>
        <w:rPr>
          <w:rStyle w:val="default"/>
          <w:rFonts w:cs="FrankRuehl" w:hint="cs"/>
          <w:rtl/>
        </w:rPr>
        <w:tab/>
        <w:t>העברת הלוואות שלהבטחת פירעונן ניתנה בטוחה בקשר למקרקעין (סעיפים 49-43)</w:t>
      </w:r>
    </w:p>
    <w:p w:rsidR="00852F43" w:rsidRDefault="00852F43" w:rsidP="00852F4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ט':</w:t>
      </w:r>
      <w:r>
        <w:rPr>
          <w:rStyle w:val="default"/>
          <w:rFonts w:cs="FrankRuehl" w:hint="cs"/>
          <w:rtl/>
        </w:rPr>
        <w:tab/>
        <w:t>שונות (סעיפים 58-50)</w:t>
      </w:r>
    </w:p>
    <w:p w:rsidR="00852F43" w:rsidRDefault="00852F43" w:rsidP="00852F43">
      <w:pPr>
        <w:pStyle w:val="P00"/>
        <w:tabs>
          <w:tab w:val="clear" w:pos="624"/>
          <w:tab w:val="clear" w:pos="1021"/>
          <w:tab w:val="clear" w:pos="1474"/>
          <w:tab w:val="clear" w:pos="1928"/>
          <w:tab w:val="clear" w:pos="2381"/>
          <w:tab w:val="clear" w:pos="2835"/>
          <w:tab w:val="clear" w:pos="6259"/>
          <w:tab w:val="left" w:pos="851"/>
        </w:tabs>
        <w:spacing w:before="72"/>
        <w:ind w:left="0" w:right="1134"/>
        <w:rPr>
          <w:rStyle w:val="default"/>
          <w:rFonts w:cs="FrankRuehl" w:hint="cs"/>
          <w:rtl/>
        </w:rPr>
      </w:pPr>
      <w:r>
        <w:rPr>
          <w:rStyle w:val="default"/>
          <w:rFonts w:cs="FrankRuehl" w:hint="cs"/>
          <w:rtl/>
        </w:rPr>
        <w:t>פרק י"ד:</w:t>
      </w:r>
      <w:r>
        <w:rPr>
          <w:rStyle w:val="default"/>
          <w:rFonts w:cs="FrankRuehl" w:hint="cs"/>
          <w:rtl/>
        </w:rPr>
        <w:tab/>
        <w:t>תחילה (סעיף 59)</w:t>
      </w:r>
    </w:p>
    <w:p w:rsidR="00852F43" w:rsidRDefault="00852F43" w:rsidP="00852F43">
      <w:pPr>
        <w:pStyle w:val="P00"/>
        <w:spacing w:before="72"/>
        <w:ind w:left="0" w:right="1134"/>
        <w:rPr>
          <w:rStyle w:val="default"/>
          <w:rFonts w:cs="FrankRuehl" w:hint="cs"/>
          <w:rtl/>
        </w:rPr>
      </w:pPr>
    </w:p>
    <w:p w:rsidR="00852F43" w:rsidRDefault="00852F43" w:rsidP="00852F43">
      <w:pPr>
        <w:pStyle w:val="P00"/>
        <w:spacing w:before="72"/>
        <w:ind w:left="0" w:right="1134"/>
        <w:rPr>
          <w:rStyle w:val="default"/>
          <w:rFonts w:cs="FrankRuehl" w:hint="cs"/>
          <w:rtl/>
        </w:rPr>
      </w:pPr>
      <w:r>
        <w:rPr>
          <w:rStyle w:val="default"/>
          <w:rFonts w:cs="FrankRuehl"/>
          <w:rtl/>
        </w:rPr>
        <w:br w:type="page"/>
      </w:r>
    </w:p>
    <w:p w:rsidR="00852F43" w:rsidRDefault="00852F43" w:rsidP="00852F43">
      <w:pPr>
        <w:pStyle w:val="medium2-header"/>
        <w:keepLines w:val="0"/>
        <w:spacing w:before="72"/>
        <w:ind w:left="0" w:right="1134"/>
        <w:outlineLvl w:val="0"/>
        <w:rPr>
          <w:rFonts w:cs="FrankRuehl" w:hint="cs"/>
          <w:noProof/>
          <w:rtl/>
        </w:rPr>
      </w:pPr>
      <w:bookmarkStart w:id="1" w:name="med1"/>
      <w:bookmarkEnd w:id="1"/>
      <w:r>
        <w:rPr>
          <w:rFonts w:cs="FrankRuehl" w:hint="cs"/>
          <w:noProof/>
          <w:rtl/>
        </w:rPr>
        <w:t>פרק א': מטרת החוק</w:t>
      </w:r>
    </w:p>
    <w:p w:rsidR="00852F43" w:rsidRDefault="00852F43" w:rsidP="00852F43">
      <w:pPr>
        <w:pStyle w:val="P00"/>
        <w:spacing w:before="72"/>
        <w:ind w:left="0" w:right="1134"/>
        <w:rPr>
          <w:rStyle w:val="default"/>
          <w:rFonts w:cs="FrankRuehl" w:hint="cs"/>
          <w:rtl/>
        </w:rPr>
      </w:pPr>
      <w:bookmarkStart w:id="2" w:name="Seif1"/>
      <w:bookmarkEnd w:id="2"/>
      <w:r>
        <w:rPr>
          <w:rFonts w:cs="Miriam"/>
          <w:lang w:val="he-IL"/>
        </w:rPr>
        <w:pict>
          <v:rect id="_x0000_s1708" style="position:absolute;left:0;text-align:left;margin-left:463.5pt;margin-top:8.05pt;width:75.05pt;height:10pt;z-index:251654144" filled="f" stroked="f" strokecolor="lime" strokeweight=".25pt">
            <v:textbox style="mso-next-textbox:#_x0000_s1708" inset="1mm,0,1mm,0">
              <w:txbxContent>
                <w:p w:rsidR="00852F43" w:rsidRDefault="00852F43" w:rsidP="00852F43">
                  <w:pPr>
                    <w:spacing w:line="160" w:lineRule="exact"/>
                    <w:rPr>
                      <w:rFonts w:cs="Miriam" w:hint="cs"/>
                      <w:noProof/>
                      <w:sz w:val="18"/>
                      <w:szCs w:val="18"/>
                      <w:rtl/>
                    </w:rPr>
                  </w:pPr>
                  <w:r>
                    <w:rPr>
                      <w:rFonts w:cs="Miriam" w:hint="cs"/>
                      <w:sz w:val="18"/>
                      <w:szCs w:val="18"/>
                      <w:rtl/>
                    </w:rPr>
                    <w:t>מטרת החוק</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חוק זה בא לתקן חוקים שונים, לדחות את תחילתם של חוקים ולקבוע הוראות נוספות במטרה לאפשר הגברת הצמיחה והתעסוקה, השגת יעדי התקציב, עמידה ביעד הגירעון לשנת הכספים 2003 והשגת יעדי המדיניות הכלכלית.</w:t>
      </w:r>
    </w:p>
    <w:p w:rsidR="00852F43" w:rsidRDefault="00852F43" w:rsidP="00852F43">
      <w:pPr>
        <w:pStyle w:val="P00"/>
        <w:spacing w:before="72"/>
        <w:ind w:left="0" w:right="1134"/>
        <w:rPr>
          <w:rStyle w:val="default"/>
          <w:rFonts w:cs="FrankRuehl" w:hint="cs"/>
          <w:rtl/>
        </w:rPr>
      </w:pPr>
    </w:p>
    <w:p w:rsidR="00852F43" w:rsidRDefault="00852F43" w:rsidP="00852F43">
      <w:pPr>
        <w:pStyle w:val="P00"/>
        <w:spacing w:before="72"/>
        <w:ind w:left="0" w:right="1134"/>
        <w:rPr>
          <w:rStyle w:val="default"/>
          <w:rFonts w:cs="FrankRuehl" w:hint="cs"/>
          <w:b/>
          <w:bCs/>
          <w:rtl/>
        </w:rPr>
      </w:pPr>
      <w:r>
        <w:rPr>
          <w:rStyle w:val="default"/>
          <w:rFonts w:cs="FrankRuehl" w:hint="cs"/>
          <w:b/>
          <w:bCs/>
          <w:rtl/>
        </w:rPr>
        <w:t xml:space="preserve">* בפרקים ב' עד ז' וט' תיקוני חקיקה עקיפים. ניתן לראות את הנוסח המלא באתר תחת "רשומות </w:t>
      </w:r>
      <w:r>
        <w:rPr>
          <w:rStyle w:val="default"/>
          <w:rFonts w:cs="FrankRuehl"/>
          <w:b/>
          <w:bCs/>
          <w:rtl/>
        </w:rPr>
        <w:t>–</w:t>
      </w:r>
      <w:r>
        <w:rPr>
          <w:rStyle w:val="default"/>
          <w:rFonts w:cs="FrankRuehl" w:hint="cs"/>
          <w:b/>
          <w:bCs/>
          <w:rtl/>
        </w:rPr>
        <w:t xml:space="preserve"> ספר החוקים". יש לשים לב לתיקונים מאוחרים שנעשו בחלק מסעיפים אלה.</w:t>
      </w:r>
    </w:p>
    <w:p w:rsidR="00852F43" w:rsidRDefault="00852F43" w:rsidP="00852F43">
      <w:pPr>
        <w:pStyle w:val="P00"/>
        <w:spacing w:before="72"/>
        <w:ind w:left="0" w:right="1134"/>
        <w:rPr>
          <w:rStyle w:val="default"/>
          <w:rFonts w:cs="FrankRuehl" w:hint="cs"/>
          <w:rtl/>
        </w:rPr>
      </w:pPr>
    </w:p>
    <w:p w:rsidR="00852F43" w:rsidRDefault="00852F43" w:rsidP="00852F43">
      <w:pPr>
        <w:pStyle w:val="medium2-header"/>
        <w:keepLines w:val="0"/>
        <w:spacing w:before="72"/>
        <w:ind w:left="0" w:right="1134"/>
        <w:outlineLvl w:val="0"/>
        <w:rPr>
          <w:rFonts w:cs="FrankRuehl" w:hint="cs"/>
          <w:noProof/>
          <w:rtl/>
        </w:rPr>
      </w:pPr>
      <w:bookmarkStart w:id="3" w:name="med2"/>
      <w:bookmarkEnd w:id="3"/>
      <w:r>
        <w:rPr>
          <w:rFonts w:cs="FrankRuehl" w:hint="cs"/>
          <w:noProof/>
          <w:rtl/>
        </w:rPr>
        <w:t xml:space="preserve">פרק ח': </w:t>
      </w:r>
      <w:r w:rsidR="008D2E6D">
        <w:rPr>
          <w:rFonts w:cs="FrankRuehl" w:hint="cs"/>
          <w:noProof/>
          <w:rtl/>
        </w:rPr>
        <w:t>העברת הלוואות שלהבטחת פירעונן ניתנה בטוחה בקשר למקרקעין</w:t>
      </w:r>
    </w:p>
    <w:p w:rsidR="008D2E6D" w:rsidRDefault="008D2E6D" w:rsidP="008D2E6D">
      <w:pPr>
        <w:pStyle w:val="P00"/>
        <w:spacing w:before="72"/>
        <w:ind w:left="0" w:right="1134"/>
        <w:rPr>
          <w:rStyle w:val="default"/>
          <w:rFonts w:cs="FrankRuehl" w:hint="cs"/>
          <w:rtl/>
        </w:rPr>
      </w:pPr>
      <w:bookmarkStart w:id="4" w:name="Seif2"/>
      <w:bookmarkEnd w:id="4"/>
      <w:r>
        <w:rPr>
          <w:rFonts w:cs="Miriam"/>
          <w:lang w:val="he-IL"/>
        </w:rPr>
        <w:pict>
          <v:rect id="_x0000_s1709" style="position:absolute;left:0;text-align:left;margin-left:463.5pt;margin-top:8.05pt;width:75.05pt;height:10pt;z-index:251655168" filled="f" stroked="f" strokecolor="lime" strokeweight=".25pt">
            <v:textbox style="mso-next-textbox:#_x0000_s1709" inset="1mm,0,1mm,0">
              <w:txbxContent>
                <w:p w:rsidR="008D2E6D" w:rsidRDefault="008D2E6D" w:rsidP="008D2E6D">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43</w:t>
      </w:r>
      <w:r>
        <w:rPr>
          <w:rStyle w:val="big-number"/>
          <w:rFonts w:cs="FrankRuehl"/>
          <w:sz w:val="26"/>
          <w:szCs w:val="26"/>
          <w:rtl/>
        </w:rPr>
        <w:t>.</w:t>
      </w:r>
      <w:r>
        <w:rPr>
          <w:rStyle w:val="big-number"/>
          <w:rFonts w:cs="FrankRuehl"/>
          <w:sz w:val="26"/>
          <w:szCs w:val="26"/>
          <w:rtl/>
        </w:rPr>
        <w:tab/>
      </w:r>
      <w:r>
        <w:rPr>
          <w:rStyle w:val="default"/>
          <w:rFonts w:cs="FrankRuehl" w:hint="cs"/>
          <w:rtl/>
        </w:rPr>
        <w:t xml:space="preserve">בפרק זה </w:t>
      </w:r>
      <w:r>
        <w:rPr>
          <w:rStyle w:val="default"/>
          <w:rFonts w:cs="FrankRuehl"/>
          <w:rtl/>
        </w:rPr>
        <w:t>–</w:t>
      </w:r>
    </w:p>
    <w:p w:rsidR="008D2E6D" w:rsidRDefault="008D2E6D" w:rsidP="008D2E6D">
      <w:pPr>
        <w:pStyle w:val="P00"/>
        <w:spacing w:before="72"/>
        <w:ind w:left="0" w:right="1134"/>
        <w:rPr>
          <w:rStyle w:val="default"/>
          <w:rFonts w:cs="FrankRuehl" w:hint="cs"/>
          <w:rtl/>
        </w:rPr>
      </w:pPr>
      <w:r>
        <w:rPr>
          <w:rStyle w:val="default"/>
          <w:rFonts w:cs="FrankRuehl" w:hint="cs"/>
          <w:rtl/>
        </w:rPr>
        <w:tab/>
        <w:t xml:space="preserve">"בטוחה" </w:t>
      </w:r>
      <w:r w:rsidR="001612F5">
        <w:rPr>
          <w:rStyle w:val="default"/>
          <w:rFonts w:cs="FrankRuehl"/>
          <w:rtl/>
        </w:rPr>
        <w:t>–</w:t>
      </w:r>
      <w:r>
        <w:rPr>
          <w:rStyle w:val="default"/>
          <w:rFonts w:cs="FrankRuehl" w:hint="cs"/>
          <w:rtl/>
        </w:rPr>
        <w:t xml:space="preserve"> </w:t>
      </w:r>
      <w:r w:rsidR="001612F5">
        <w:rPr>
          <w:rStyle w:val="default"/>
          <w:rFonts w:cs="FrankRuehl" w:hint="cs"/>
          <w:rtl/>
        </w:rPr>
        <w:t>משכנתה, התחייבות לרישום משכנתה שבשלה נרשמה הערת אזהרה, או משכון על זכויות לגבי מקרקעין, הרשום לפי חוק המשכן, התשכ"ז-1967;</w:t>
      </w:r>
    </w:p>
    <w:p w:rsidR="001612F5" w:rsidRDefault="001612F5" w:rsidP="008D2E6D">
      <w:pPr>
        <w:pStyle w:val="P00"/>
        <w:spacing w:before="72"/>
        <w:ind w:left="0" w:right="1134"/>
        <w:rPr>
          <w:rStyle w:val="default"/>
          <w:rFonts w:cs="FrankRuehl" w:hint="cs"/>
          <w:rtl/>
        </w:rPr>
      </w:pPr>
      <w:r>
        <w:rPr>
          <w:rStyle w:val="default"/>
          <w:rFonts w:cs="FrankRuehl" w:hint="cs"/>
          <w:rtl/>
        </w:rPr>
        <w:tab/>
        <w:t xml:space="preserve">"הלוואה מובטחת" </w:t>
      </w:r>
      <w:r>
        <w:rPr>
          <w:rStyle w:val="default"/>
          <w:rFonts w:cs="FrankRuehl"/>
          <w:rtl/>
        </w:rPr>
        <w:t>–</w:t>
      </w:r>
      <w:r>
        <w:rPr>
          <w:rStyle w:val="default"/>
          <w:rFonts w:cs="FrankRuehl" w:hint="cs"/>
          <w:rtl/>
        </w:rPr>
        <w:t xml:space="preserve"> הלוואה שלהבטחת פירעונה ניתנה בטוחה;</w:t>
      </w:r>
    </w:p>
    <w:p w:rsidR="001612F5" w:rsidRDefault="001612F5" w:rsidP="008D2E6D">
      <w:pPr>
        <w:pStyle w:val="P00"/>
        <w:spacing w:before="72"/>
        <w:ind w:left="0" w:right="1134"/>
        <w:rPr>
          <w:rStyle w:val="default"/>
          <w:rFonts w:cs="FrankRuehl" w:hint="cs"/>
          <w:rtl/>
        </w:rPr>
      </w:pPr>
      <w:r>
        <w:rPr>
          <w:rStyle w:val="default"/>
          <w:rFonts w:cs="FrankRuehl" w:hint="cs"/>
          <w:rtl/>
        </w:rPr>
        <w:tab/>
        <w:t xml:space="preserve">"הערת אזהרה", "משכנתה", "רשם" </w:t>
      </w:r>
      <w:r>
        <w:rPr>
          <w:rStyle w:val="default"/>
          <w:rFonts w:cs="FrankRuehl"/>
          <w:rtl/>
        </w:rPr>
        <w:t>–</w:t>
      </w:r>
      <w:r>
        <w:rPr>
          <w:rStyle w:val="default"/>
          <w:rFonts w:cs="FrankRuehl" w:hint="cs"/>
          <w:rtl/>
        </w:rPr>
        <w:t xml:space="preserve"> כמשמעותם בחוק המקרקעין;</w:t>
      </w:r>
    </w:p>
    <w:p w:rsidR="001612F5" w:rsidRDefault="001612F5" w:rsidP="008D2E6D">
      <w:pPr>
        <w:pStyle w:val="P00"/>
        <w:spacing w:before="72"/>
        <w:ind w:left="0" w:right="1134"/>
        <w:rPr>
          <w:rStyle w:val="default"/>
          <w:rFonts w:cs="FrankRuehl" w:hint="cs"/>
          <w:rtl/>
        </w:rPr>
      </w:pPr>
      <w:r>
        <w:rPr>
          <w:rStyle w:val="default"/>
          <w:rFonts w:cs="FrankRuehl" w:hint="cs"/>
          <w:rtl/>
        </w:rPr>
        <w:tab/>
        <w:t xml:space="preserve">"חוזה" </w:t>
      </w:r>
      <w:r>
        <w:rPr>
          <w:rStyle w:val="default"/>
          <w:rFonts w:cs="FrankRuehl"/>
          <w:rtl/>
        </w:rPr>
        <w:t>–</w:t>
      </w:r>
      <w:r>
        <w:rPr>
          <w:rStyle w:val="default"/>
          <w:rFonts w:cs="FrankRuehl" w:hint="cs"/>
          <w:rtl/>
        </w:rPr>
        <w:t xml:space="preserve"> חוזה בין תאגיד מעביר לתאגיד נעבר, שעל פיו מעביר התאגיד המעביר לתאגיד הנעבר את זכויותיו וחובותיו על פי הסכם למתן הלוואה מובטחת לרבות הבטוחות שניתנו בקשר להסכם כאמור;</w:t>
      </w:r>
    </w:p>
    <w:p w:rsidR="001612F5" w:rsidRDefault="001612F5" w:rsidP="008D2E6D">
      <w:pPr>
        <w:pStyle w:val="P00"/>
        <w:spacing w:before="72"/>
        <w:ind w:left="0" w:right="1134"/>
        <w:rPr>
          <w:rStyle w:val="default"/>
          <w:rFonts w:cs="FrankRuehl" w:hint="cs"/>
          <w:rtl/>
        </w:rPr>
      </w:pPr>
      <w:r>
        <w:rPr>
          <w:rStyle w:val="default"/>
          <w:rFonts w:cs="FrankRuehl" w:hint="cs"/>
          <w:rtl/>
        </w:rPr>
        <w:tab/>
        <w:t xml:space="preserve">"חוק המקרקעין" </w:t>
      </w:r>
      <w:r>
        <w:rPr>
          <w:rStyle w:val="default"/>
          <w:rFonts w:cs="FrankRuehl"/>
          <w:rtl/>
        </w:rPr>
        <w:t>–</w:t>
      </w:r>
      <w:r>
        <w:rPr>
          <w:rStyle w:val="default"/>
          <w:rFonts w:cs="FrankRuehl" w:hint="cs"/>
          <w:rtl/>
        </w:rPr>
        <w:t xml:space="preserve"> חוק המקרקעין, התשכ"ט-1969;</w:t>
      </w:r>
    </w:p>
    <w:p w:rsidR="001612F5" w:rsidRDefault="001612F5" w:rsidP="008D2E6D">
      <w:pPr>
        <w:pStyle w:val="P00"/>
        <w:spacing w:before="72"/>
        <w:ind w:left="0" w:right="1134"/>
        <w:rPr>
          <w:rStyle w:val="default"/>
          <w:rFonts w:cs="FrankRuehl" w:hint="cs"/>
          <w:rtl/>
        </w:rPr>
      </w:pPr>
      <w:r>
        <w:rPr>
          <w:rStyle w:val="default"/>
          <w:rFonts w:cs="FrankRuehl" w:hint="cs"/>
          <w:rtl/>
        </w:rPr>
        <w:tab/>
        <w:t xml:space="preserve">"לווה" </w:t>
      </w:r>
      <w:r>
        <w:rPr>
          <w:rStyle w:val="default"/>
          <w:rFonts w:cs="FrankRuehl"/>
          <w:rtl/>
        </w:rPr>
        <w:t>–</w:t>
      </w:r>
      <w:r>
        <w:rPr>
          <w:rStyle w:val="default"/>
          <w:rFonts w:cs="FrankRuehl" w:hint="cs"/>
          <w:rtl/>
        </w:rPr>
        <w:t xml:space="preserve"> מי שנטל הלוואה מובטחת מתאגיד בנקאי או ממבטח;</w:t>
      </w:r>
    </w:p>
    <w:p w:rsidR="001612F5" w:rsidRDefault="001612F5" w:rsidP="008D2E6D">
      <w:pPr>
        <w:pStyle w:val="P00"/>
        <w:spacing w:before="72"/>
        <w:ind w:left="0" w:right="1134"/>
        <w:rPr>
          <w:rStyle w:val="default"/>
          <w:rFonts w:cs="FrankRuehl" w:hint="cs"/>
          <w:rtl/>
        </w:rPr>
      </w:pPr>
      <w:r>
        <w:rPr>
          <w:rStyle w:val="default"/>
          <w:rFonts w:cs="FrankRuehl" w:hint="cs"/>
          <w:rtl/>
        </w:rPr>
        <w:tab/>
        <w:t xml:space="preserve">"מבטח" </w:t>
      </w:r>
      <w:r>
        <w:rPr>
          <w:rStyle w:val="default"/>
          <w:rFonts w:cs="FrankRuehl"/>
          <w:rtl/>
        </w:rPr>
        <w:t>–</w:t>
      </w:r>
      <w:r>
        <w:rPr>
          <w:rStyle w:val="default"/>
          <w:rFonts w:cs="FrankRuehl" w:hint="cs"/>
          <w:rtl/>
        </w:rPr>
        <w:t xml:space="preserve"> כהגדרתו בחוק הפיקוח על עסקי ביטוח, התשמ"א-1981;</w:t>
      </w:r>
    </w:p>
    <w:p w:rsidR="001612F5" w:rsidRDefault="001612F5" w:rsidP="008D2E6D">
      <w:pPr>
        <w:pStyle w:val="P00"/>
        <w:spacing w:before="72"/>
        <w:ind w:left="0" w:right="1134"/>
        <w:rPr>
          <w:rStyle w:val="default"/>
          <w:rFonts w:cs="FrankRuehl" w:hint="cs"/>
          <w:rtl/>
        </w:rPr>
      </w:pPr>
      <w:r>
        <w:rPr>
          <w:rStyle w:val="default"/>
          <w:rFonts w:cs="FrankRuehl" w:hint="cs"/>
          <w:rtl/>
        </w:rPr>
        <w:tab/>
        <w:t xml:space="preserve">"תאגיד בנקאי" </w:t>
      </w:r>
      <w:r>
        <w:rPr>
          <w:rStyle w:val="default"/>
          <w:rFonts w:cs="FrankRuehl"/>
          <w:rtl/>
        </w:rPr>
        <w:t>–</w:t>
      </w:r>
      <w:r>
        <w:rPr>
          <w:rStyle w:val="default"/>
          <w:rFonts w:cs="FrankRuehl" w:hint="cs"/>
          <w:rtl/>
        </w:rPr>
        <w:t xml:space="preserve"> כהגדרתו בחוק הבנקאות (רישוי), התשמ"א-1981;</w:t>
      </w:r>
    </w:p>
    <w:p w:rsidR="001612F5" w:rsidRDefault="001612F5" w:rsidP="008D2E6D">
      <w:pPr>
        <w:pStyle w:val="P00"/>
        <w:spacing w:before="72"/>
        <w:ind w:left="0" w:right="1134"/>
        <w:rPr>
          <w:rStyle w:val="default"/>
          <w:rFonts w:cs="FrankRuehl" w:hint="cs"/>
          <w:rtl/>
        </w:rPr>
      </w:pPr>
      <w:r>
        <w:rPr>
          <w:rStyle w:val="default"/>
          <w:rFonts w:cs="FrankRuehl" w:hint="cs"/>
          <w:rtl/>
        </w:rPr>
        <w:tab/>
        <w:t xml:space="preserve">"תאגיד מעביר" </w:t>
      </w:r>
      <w:r>
        <w:rPr>
          <w:rStyle w:val="default"/>
          <w:rFonts w:cs="FrankRuehl"/>
          <w:rtl/>
        </w:rPr>
        <w:t>–</w:t>
      </w:r>
      <w:r>
        <w:rPr>
          <w:rStyle w:val="default"/>
          <w:rFonts w:cs="FrankRuehl" w:hint="cs"/>
          <w:rtl/>
        </w:rPr>
        <w:t xml:space="preserve"> מבטח, תאגיד בנקאי, או תאגיד אחר המעביר הלוואה מובטחת כאשר המלווה המקורי של ההלוואה האמורה הוא תאגיד בנקאי או מבטח;</w:t>
      </w:r>
    </w:p>
    <w:p w:rsidR="001612F5" w:rsidRDefault="001612F5" w:rsidP="008D2E6D">
      <w:pPr>
        <w:pStyle w:val="P00"/>
        <w:spacing w:before="72"/>
        <w:ind w:left="0" w:right="1134"/>
        <w:rPr>
          <w:rStyle w:val="default"/>
          <w:rFonts w:cs="FrankRuehl" w:hint="cs"/>
          <w:rtl/>
        </w:rPr>
      </w:pPr>
      <w:r>
        <w:rPr>
          <w:rStyle w:val="default"/>
          <w:rFonts w:cs="FrankRuehl" w:hint="cs"/>
          <w:rtl/>
        </w:rPr>
        <w:tab/>
        <w:t>"</w:t>
      </w:r>
      <w:r w:rsidR="002D7CDB">
        <w:rPr>
          <w:rStyle w:val="default"/>
          <w:rFonts w:cs="FrankRuehl" w:hint="cs"/>
          <w:rtl/>
        </w:rPr>
        <w:t xml:space="preserve">תאגיד נעבר" </w:t>
      </w:r>
      <w:r w:rsidR="002D7CDB">
        <w:rPr>
          <w:rStyle w:val="default"/>
          <w:rFonts w:cs="FrankRuehl"/>
          <w:rtl/>
        </w:rPr>
        <w:t>–</w:t>
      </w:r>
      <w:r w:rsidR="002D7CDB">
        <w:rPr>
          <w:rStyle w:val="default"/>
          <w:rFonts w:cs="FrankRuehl" w:hint="cs"/>
          <w:rtl/>
        </w:rPr>
        <w:t xml:space="preserve"> תאגיד אשר כרת חוזה עם תאגיד מעביר.</w:t>
      </w:r>
    </w:p>
    <w:p w:rsidR="008D2E6D" w:rsidRDefault="008D2E6D" w:rsidP="002D7CDB">
      <w:pPr>
        <w:pStyle w:val="P00"/>
        <w:spacing w:before="72"/>
        <w:ind w:left="0" w:right="1134"/>
        <w:rPr>
          <w:rStyle w:val="default"/>
          <w:rFonts w:cs="FrankRuehl" w:hint="cs"/>
          <w:rtl/>
        </w:rPr>
      </w:pPr>
      <w:bookmarkStart w:id="5" w:name="Seif3"/>
      <w:bookmarkEnd w:id="5"/>
      <w:r>
        <w:rPr>
          <w:rFonts w:cs="Miriam"/>
          <w:lang w:val="he-IL"/>
        </w:rPr>
        <w:pict>
          <v:rect id="_x0000_s1710" style="position:absolute;left:0;text-align:left;margin-left:463.5pt;margin-top:8.05pt;width:75.05pt;height:10pt;z-index:251656192" filled="f" stroked="f" strokecolor="lime" strokeweight=".25pt">
            <v:textbox style="mso-next-textbox:#_x0000_s1710" inset="1mm,0,1mm,0">
              <w:txbxContent>
                <w:p w:rsidR="008D2E6D" w:rsidRDefault="002D7CDB" w:rsidP="008D2E6D">
                  <w:pPr>
                    <w:spacing w:line="160" w:lineRule="exact"/>
                    <w:rPr>
                      <w:rFonts w:cs="Miriam" w:hint="cs"/>
                      <w:noProof/>
                      <w:sz w:val="18"/>
                      <w:szCs w:val="18"/>
                      <w:rtl/>
                    </w:rPr>
                  </w:pPr>
                  <w:r>
                    <w:rPr>
                      <w:rFonts w:cs="Miriam" w:hint="cs"/>
                      <w:sz w:val="18"/>
                      <w:szCs w:val="18"/>
                      <w:rtl/>
                    </w:rPr>
                    <w:t>הגנה על זכויות</w:t>
                  </w:r>
                </w:p>
              </w:txbxContent>
            </v:textbox>
            <w10:anchorlock/>
          </v:rect>
        </w:pict>
      </w:r>
      <w:r>
        <w:rPr>
          <w:rStyle w:val="big-number"/>
          <w:rFonts w:cs="Miriam" w:hint="cs"/>
          <w:rtl/>
        </w:rPr>
        <w:t>4</w:t>
      </w:r>
      <w:r w:rsidR="002D7CDB">
        <w:rPr>
          <w:rStyle w:val="big-number"/>
          <w:rFonts w:cs="Miriam" w:hint="cs"/>
          <w:rtl/>
        </w:rPr>
        <w:t>4</w:t>
      </w:r>
      <w:r>
        <w:rPr>
          <w:rStyle w:val="big-number"/>
          <w:rFonts w:cs="FrankRuehl"/>
          <w:sz w:val="26"/>
          <w:szCs w:val="26"/>
          <w:rtl/>
        </w:rPr>
        <w:t>.</w:t>
      </w:r>
      <w:r>
        <w:rPr>
          <w:rStyle w:val="big-number"/>
          <w:rFonts w:cs="FrankRuehl"/>
          <w:sz w:val="26"/>
          <w:szCs w:val="26"/>
          <w:rtl/>
        </w:rPr>
        <w:tab/>
      </w:r>
      <w:r w:rsidR="002D7CDB">
        <w:rPr>
          <w:rStyle w:val="default"/>
          <w:rFonts w:cs="FrankRuehl" w:hint="cs"/>
          <w:rtl/>
        </w:rPr>
        <w:t>(א)</w:t>
      </w:r>
      <w:r w:rsidR="002D7CDB">
        <w:rPr>
          <w:rStyle w:val="default"/>
          <w:rFonts w:cs="FrankRuehl" w:hint="cs"/>
          <w:rtl/>
        </w:rPr>
        <w:tab/>
        <w:t>נחתם חוזה, לא ייפגעו בשל כך זכויות הלווה וזכויות בעל הנכס נושא הבטוחה, ויחולו על התאגיד הנעבר כל ההוראות שנקבעו לפי דין להגנת הלווה, וכל ההוראות שנקבעו בהסכם למתן ההלוואה המובטחת לטובת הלווה או לטובת בעל הנכס נושא הבטוחה, אשר היו חלות על התאגיד המעביר עד למועד העברת הזכויות והחובות לפי החוזה, לרבות הוראות לענין הסכמה להחלפת הבטוחה ולענין מתן בטוחות נוספות לגבי אותו נכס.</w:t>
      </w:r>
    </w:p>
    <w:p w:rsidR="002D7CDB" w:rsidRDefault="002D7CDB" w:rsidP="002D7CD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ביקש הלווה הלוואה נוספת מתאגיד בנקאי או ממבטח, והתאגיד הבנקאי או המבטח, לפי הענין, מוכן לתת הלוואה כאמור, לא יסרב התאגיד הנעבר לתת את הסכמתו לכך שתינתן בטוחה נוספת לגבי אותו נכס להבטחת ההלוואה הנוספת כאמור, הנמוכה בדרגה מהבטוחה שניתנה לזכותו, אלא אם כן קיימים נימוקים סבירים שיש בהם כדי להצדיק את הסירוב.</w:t>
      </w:r>
    </w:p>
    <w:p w:rsidR="008D2E6D" w:rsidRDefault="008D2E6D" w:rsidP="002D7CDB">
      <w:pPr>
        <w:pStyle w:val="P00"/>
        <w:spacing w:before="72"/>
        <w:ind w:left="0" w:right="1134"/>
        <w:rPr>
          <w:rStyle w:val="default"/>
          <w:rFonts w:cs="FrankRuehl" w:hint="cs"/>
          <w:rtl/>
        </w:rPr>
      </w:pPr>
      <w:bookmarkStart w:id="6" w:name="Seif4"/>
      <w:bookmarkEnd w:id="6"/>
      <w:r>
        <w:rPr>
          <w:rFonts w:cs="Miriam"/>
          <w:lang w:val="he-IL"/>
        </w:rPr>
        <w:pict>
          <v:rect id="_x0000_s1711" style="position:absolute;left:0;text-align:left;margin-left:463.5pt;margin-top:8.05pt;width:75.05pt;height:10pt;z-index:251657216" filled="f" stroked="f" strokecolor="lime" strokeweight=".25pt">
            <v:textbox style="mso-next-textbox:#_x0000_s1711" inset="1mm,0,1mm,0">
              <w:txbxContent>
                <w:p w:rsidR="008D2E6D" w:rsidRDefault="002D7CDB" w:rsidP="008D2E6D">
                  <w:pPr>
                    <w:spacing w:line="160" w:lineRule="exact"/>
                    <w:rPr>
                      <w:rFonts w:cs="Miriam" w:hint="cs"/>
                      <w:noProof/>
                      <w:sz w:val="18"/>
                      <w:szCs w:val="18"/>
                      <w:rtl/>
                    </w:rPr>
                  </w:pPr>
                  <w:r>
                    <w:rPr>
                      <w:rFonts w:cs="Miriam" w:hint="cs"/>
                      <w:sz w:val="18"/>
                      <w:szCs w:val="18"/>
                      <w:rtl/>
                    </w:rPr>
                    <w:t>ניהול גביה ומימוש</w:t>
                  </w:r>
                </w:p>
              </w:txbxContent>
            </v:textbox>
            <w10:anchorlock/>
          </v:rect>
        </w:pict>
      </w:r>
      <w:r>
        <w:rPr>
          <w:rStyle w:val="big-number"/>
          <w:rFonts w:cs="Miriam" w:hint="cs"/>
          <w:rtl/>
        </w:rPr>
        <w:t>4</w:t>
      </w:r>
      <w:r w:rsidR="002D7CDB">
        <w:rPr>
          <w:rStyle w:val="big-number"/>
          <w:rFonts w:cs="Miriam" w:hint="cs"/>
          <w:rtl/>
        </w:rPr>
        <w:t>5</w:t>
      </w:r>
      <w:r>
        <w:rPr>
          <w:rStyle w:val="big-number"/>
          <w:rFonts w:cs="FrankRuehl"/>
          <w:sz w:val="26"/>
          <w:szCs w:val="26"/>
          <w:rtl/>
        </w:rPr>
        <w:t>.</w:t>
      </w:r>
      <w:r>
        <w:rPr>
          <w:rStyle w:val="big-number"/>
          <w:rFonts w:cs="FrankRuehl"/>
          <w:sz w:val="26"/>
          <w:szCs w:val="26"/>
          <w:rtl/>
        </w:rPr>
        <w:tab/>
      </w:r>
      <w:r w:rsidR="002D7CDB">
        <w:rPr>
          <w:rStyle w:val="default"/>
          <w:rFonts w:cs="FrankRuehl" w:hint="cs"/>
          <w:rtl/>
        </w:rPr>
        <w:t>על אף האמור בכל דין, תאגיד נעבר אינו רשאי לבצע פעולה כלשהי לניהול ההלוואה המובטחת, לגביית החזר ההלוואה או למימוש הבטוחה, לרבות משלוח התראה בדבר נקיטת פעולות גביה או מימוש, אלא כמפורט להלן:</w:t>
      </w:r>
    </w:p>
    <w:p w:rsidR="002D7CDB" w:rsidRDefault="002D7CDB" w:rsidP="002D7CDB">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לגבי תאגיד נעבר שאינו תאגיד בנקאי ואינו מבטח </w:t>
      </w:r>
      <w:r>
        <w:rPr>
          <w:rStyle w:val="default"/>
          <w:rFonts w:cs="FrankRuehl"/>
          <w:rtl/>
        </w:rPr>
        <w:t>–</w:t>
      </w:r>
    </w:p>
    <w:p w:rsidR="002D7CDB" w:rsidRDefault="002D7CDB" w:rsidP="002D7CDB">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באמצעות תאגיד בנקאי </w:t>
      </w:r>
      <w:r>
        <w:rPr>
          <w:rStyle w:val="default"/>
          <w:rFonts w:cs="FrankRuehl"/>
          <w:rtl/>
        </w:rPr>
        <w:t>–</w:t>
      </w:r>
      <w:r>
        <w:rPr>
          <w:rStyle w:val="default"/>
          <w:rFonts w:cs="FrankRuehl" w:hint="cs"/>
          <w:rtl/>
        </w:rPr>
        <w:t xml:space="preserve"> כאשר התאגיד המעביר שלזכותו ניתנה הבטוחה לראשונה (בסעיף זה </w:t>
      </w:r>
      <w:r>
        <w:rPr>
          <w:rStyle w:val="default"/>
          <w:rFonts w:cs="FrankRuehl"/>
          <w:rtl/>
        </w:rPr>
        <w:t>–</w:t>
      </w:r>
      <w:r>
        <w:rPr>
          <w:rStyle w:val="default"/>
          <w:rFonts w:cs="FrankRuehl" w:hint="cs"/>
          <w:rtl/>
        </w:rPr>
        <w:t xml:space="preserve"> תאגיד מעביר) הוא תאגיד בנקאי;</w:t>
      </w:r>
    </w:p>
    <w:p w:rsidR="002D7CDB" w:rsidRDefault="002D7CDB" w:rsidP="002D7CD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באמצעות מבטח </w:t>
      </w:r>
      <w:r>
        <w:rPr>
          <w:rStyle w:val="default"/>
          <w:rFonts w:cs="FrankRuehl"/>
          <w:rtl/>
        </w:rPr>
        <w:t>–</w:t>
      </w:r>
      <w:r>
        <w:rPr>
          <w:rStyle w:val="default"/>
          <w:rFonts w:cs="FrankRuehl" w:hint="cs"/>
          <w:rtl/>
        </w:rPr>
        <w:t xml:space="preserve"> כאשר התאגיד המעביר הוא מבטח;</w:t>
      </w:r>
    </w:p>
    <w:p w:rsidR="002D7CDB" w:rsidRDefault="002D7CDB" w:rsidP="002D7CDB">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לגבי תאגיד נעבר שהוא תאגיד בנקאי </w:t>
      </w:r>
      <w:r>
        <w:rPr>
          <w:rStyle w:val="default"/>
          <w:rFonts w:cs="FrankRuehl"/>
          <w:rtl/>
        </w:rPr>
        <w:t>–</w:t>
      </w:r>
    </w:p>
    <w:p w:rsidR="002D7CDB" w:rsidRDefault="002D7CDB" w:rsidP="002D7CDB">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בעצמו או באמצעות תאגיד בנקאי אחר </w:t>
      </w:r>
      <w:r>
        <w:rPr>
          <w:rStyle w:val="default"/>
          <w:rFonts w:cs="FrankRuehl"/>
          <w:rtl/>
        </w:rPr>
        <w:t>–</w:t>
      </w:r>
      <w:r>
        <w:rPr>
          <w:rStyle w:val="default"/>
          <w:rFonts w:cs="FrankRuehl" w:hint="cs"/>
          <w:rtl/>
        </w:rPr>
        <w:t xml:space="preserve"> כאשר התאגיד המעביר הוא תאגיד בנקאי, או כאשר התאגיד המעביר הוא מבטח והמפקח כהגדרתו בחוק הפיקוח על עסקי ביטוח, התשמ"א-1981, נתן את אישורו לכך;</w:t>
      </w:r>
    </w:p>
    <w:p w:rsidR="002D7CDB" w:rsidRDefault="002D7CDB" w:rsidP="002D7CDB">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באמצעות מבטח </w:t>
      </w:r>
      <w:r>
        <w:rPr>
          <w:rStyle w:val="default"/>
          <w:rFonts w:cs="FrankRuehl"/>
          <w:rtl/>
        </w:rPr>
        <w:t>–</w:t>
      </w:r>
      <w:r>
        <w:rPr>
          <w:rStyle w:val="default"/>
          <w:rFonts w:cs="FrankRuehl" w:hint="cs"/>
          <w:rtl/>
        </w:rPr>
        <w:t xml:space="preserve"> כאשר התאגיד המעביר הוא מבטח;</w:t>
      </w:r>
    </w:p>
    <w:p w:rsidR="002D7CDB" w:rsidRDefault="002D7CDB" w:rsidP="00153E09">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לגבי תאגיד נעבר שהוא מבטח </w:t>
      </w:r>
      <w:r>
        <w:rPr>
          <w:rStyle w:val="default"/>
          <w:rFonts w:cs="FrankRuehl"/>
          <w:rtl/>
        </w:rPr>
        <w:t>–</w:t>
      </w:r>
    </w:p>
    <w:p w:rsidR="002D7CDB" w:rsidRDefault="002D7CDB" w:rsidP="00153E09">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בעצמו או באמצעות מבטח אחר </w:t>
      </w:r>
      <w:r>
        <w:rPr>
          <w:rStyle w:val="default"/>
          <w:rFonts w:cs="FrankRuehl"/>
          <w:rtl/>
        </w:rPr>
        <w:t>–</w:t>
      </w:r>
      <w:r>
        <w:rPr>
          <w:rStyle w:val="default"/>
          <w:rFonts w:cs="FrankRuehl" w:hint="cs"/>
          <w:rtl/>
        </w:rPr>
        <w:t xml:space="preserve"> כאשר התאגיד המעביר הוא מבטח או כאשר התאגיד המעביר הוא תאגיד בנקאי והמפקח כהגדרתו בחוק הבנקאות (רישוי), התשמ"א-1981, נתן את אישורו לכך;</w:t>
      </w:r>
    </w:p>
    <w:p w:rsidR="002D7CDB" w:rsidRDefault="002D7CDB" w:rsidP="00153E09">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באמצעות תאגיד בנקאי </w:t>
      </w:r>
      <w:r>
        <w:rPr>
          <w:rStyle w:val="default"/>
          <w:rFonts w:cs="FrankRuehl"/>
          <w:rtl/>
        </w:rPr>
        <w:t>–</w:t>
      </w:r>
      <w:r>
        <w:rPr>
          <w:rStyle w:val="default"/>
          <w:rFonts w:cs="FrankRuehl" w:hint="cs"/>
          <w:rtl/>
        </w:rPr>
        <w:t xml:space="preserve"> כאשר התאגיד המעביר הוא תאגיד בנקאי.</w:t>
      </w:r>
    </w:p>
    <w:p w:rsidR="008D2E6D" w:rsidRDefault="008D2E6D" w:rsidP="00153E09">
      <w:pPr>
        <w:pStyle w:val="P00"/>
        <w:spacing w:before="72"/>
        <w:ind w:left="0" w:right="1134"/>
        <w:rPr>
          <w:rStyle w:val="default"/>
          <w:rFonts w:cs="FrankRuehl" w:hint="cs"/>
          <w:rtl/>
        </w:rPr>
      </w:pPr>
      <w:bookmarkStart w:id="7" w:name="Seif5"/>
      <w:bookmarkEnd w:id="7"/>
      <w:r>
        <w:rPr>
          <w:rFonts w:cs="Miriam"/>
          <w:lang w:val="he-IL"/>
        </w:rPr>
        <w:pict>
          <v:rect id="_x0000_s1712" style="position:absolute;left:0;text-align:left;margin-left:463.5pt;margin-top:8.05pt;width:75.05pt;height:10pt;z-index:251658240" filled="f" stroked="f" strokecolor="lime" strokeweight=".25pt">
            <v:textbox style="mso-next-textbox:#_x0000_s1712" inset="1mm,0,1mm,0">
              <w:txbxContent>
                <w:p w:rsidR="008D2E6D" w:rsidRDefault="00153E09" w:rsidP="008D2E6D">
                  <w:pPr>
                    <w:spacing w:line="160" w:lineRule="exact"/>
                    <w:rPr>
                      <w:rFonts w:cs="Miriam" w:hint="cs"/>
                      <w:noProof/>
                      <w:sz w:val="18"/>
                      <w:szCs w:val="18"/>
                      <w:rtl/>
                    </w:rPr>
                  </w:pPr>
                  <w:r>
                    <w:rPr>
                      <w:rFonts w:cs="Miriam" w:hint="cs"/>
                      <w:sz w:val="18"/>
                      <w:szCs w:val="18"/>
                      <w:rtl/>
                    </w:rPr>
                    <w:t>העברת משכנתה</w:t>
                  </w:r>
                </w:p>
              </w:txbxContent>
            </v:textbox>
            <w10:anchorlock/>
          </v:rect>
        </w:pict>
      </w:r>
      <w:r>
        <w:rPr>
          <w:rStyle w:val="big-number"/>
          <w:rFonts w:cs="Miriam" w:hint="cs"/>
          <w:rtl/>
        </w:rPr>
        <w:t>4</w:t>
      </w:r>
      <w:r w:rsidR="00153E09">
        <w:rPr>
          <w:rStyle w:val="big-number"/>
          <w:rFonts w:cs="Miriam" w:hint="cs"/>
          <w:rtl/>
        </w:rPr>
        <w:t>6</w:t>
      </w:r>
      <w:r>
        <w:rPr>
          <w:rStyle w:val="big-number"/>
          <w:rFonts w:cs="FrankRuehl"/>
          <w:sz w:val="26"/>
          <w:szCs w:val="26"/>
          <w:rtl/>
        </w:rPr>
        <w:t>.</w:t>
      </w:r>
      <w:r>
        <w:rPr>
          <w:rStyle w:val="big-number"/>
          <w:rFonts w:cs="FrankRuehl"/>
          <w:sz w:val="26"/>
          <w:szCs w:val="26"/>
          <w:rtl/>
        </w:rPr>
        <w:tab/>
      </w:r>
      <w:r w:rsidR="00153E09">
        <w:rPr>
          <w:rStyle w:val="default"/>
          <w:rFonts w:cs="FrankRuehl" w:hint="cs"/>
          <w:rtl/>
        </w:rPr>
        <w:t>(א)</w:t>
      </w:r>
      <w:r w:rsidR="00153E09">
        <w:rPr>
          <w:rStyle w:val="default"/>
          <w:rFonts w:cs="FrankRuehl" w:hint="cs"/>
          <w:rtl/>
        </w:rPr>
        <w:tab/>
        <w:t>על אף הוראות סעיף 87 לחוק המקרקעין, ובלי לגרוע מכל דין אחר, העברת משכנתה על פי חוזה תירשם בידי הרשם, לבקשת התאגיד המעביר והתאגיד הנעבר, ובלבד שהומצאה לרשם גם התחייבות של התאגיד המעביר והצהרה של עורך דינו, כי התקיימו כל אלה:</w:t>
      </w:r>
    </w:p>
    <w:p w:rsidR="00153E09" w:rsidRDefault="00153E09" w:rsidP="00C274C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לפי תנאי המשכנתה, הסכמת בכל המקרקעין אינה דרושה להעברת המשכנתה;</w:t>
      </w:r>
    </w:p>
    <w:p w:rsidR="00153E09" w:rsidRDefault="00153E09" w:rsidP="00C274C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החוזה כולל את הוראת סעיף 45 ואוסר על התאגיד הנעבר לבצע פעולה כלשהי לניהול ההלוואה המובטחת, לגביית החזר ההלוואה או למימוש המשכנתה, אלא כמפורט בסעיף האמור;</w:t>
      </w:r>
    </w:p>
    <w:p w:rsidR="00153E09" w:rsidRDefault="00153E09" w:rsidP="00C274C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התאגיד המעביר מתחייב לשאת במלוא האחריות לכל נזק שייגרם עקב הפרת התחייבותו לפי סעיף זה.</w:t>
      </w:r>
    </w:p>
    <w:p w:rsidR="00153E09" w:rsidRDefault="00153E09" w:rsidP="00153E0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נרשמה העברת משכנתה לפי סעיף זה, יודיע התאגיד המעביר מיד על ההעברה ללווה ולבעל המקרקעין שביחס אליהם נרשמה המשכנתה.</w:t>
      </w:r>
    </w:p>
    <w:p w:rsidR="008D2E6D" w:rsidRDefault="008D2E6D" w:rsidP="00C274C4">
      <w:pPr>
        <w:pStyle w:val="P00"/>
        <w:spacing w:before="72"/>
        <w:ind w:left="0" w:right="1134"/>
        <w:rPr>
          <w:rStyle w:val="default"/>
          <w:rFonts w:cs="FrankRuehl" w:hint="cs"/>
          <w:rtl/>
        </w:rPr>
      </w:pPr>
      <w:bookmarkStart w:id="8" w:name="Seif6"/>
      <w:bookmarkEnd w:id="8"/>
      <w:r>
        <w:rPr>
          <w:rFonts w:cs="Miriam"/>
          <w:lang w:val="he-IL"/>
        </w:rPr>
        <w:pict>
          <v:rect id="_x0000_s1713" style="position:absolute;left:0;text-align:left;margin-left:463.5pt;margin-top:8.05pt;width:75.05pt;height:22.3pt;z-index:251659264" filled="f" stroked="f" strokecolor="lime" strokeweight=".25pt">
            <v:textbox style="mso-next-textbox:#_x0000_s1713" inset="1mm,0,1mm,0">
              <w:txbxContent>
                <w:p w:rsidR="008D2E6D" w:rsidRDefault="00C274C4" w:rsidP="008D2E6D">
                  <w:pPr>
                    <w:spacing w:line="160" w:lineRule="exact"/>
                    <w:rPr>
                      <w:rFonts w:cs="Miriam" w:hint="cs"/>
                      <w:noProof/>
                      <w:sz w:val="18"/>
                      <w:szCs w:val="18"/>
                      <w:rtl/>
                    </w:rPr>
                  </w:pPr>
                  <w:r>
                    <w:rPr>
                      <w:rFonts w:cs="Miriam" w:hint="cs"/>
                      <w:sz w:val="18"/>
                      <w:szCs w:val="18"/>
                      <w:rtl/>
                    </w:rPr>
                    <w:t>העברת הערת אזהרה</w:t>
                  </w:r>
                </w:p>
              </w:txbxContent>
            </v:textbox>
            <w10:anchorlock/>
          </v:rect>
        </w:pict>
      </w:r>
      <w:r>
        <w:rPr>
          <w:rStyle w:val="big-number"/>
          <w:rFonts w:cs="Miriam" w:hint="cs"/>
          <w:rtl/>
        </w:rPr>
        <w:t>4</w:t>
      </w:r>
      <w:r w:rsidR="00153E09">
        <w:rPr>
          <w:rStyle w:val="big-number"/>
          <w:rFonts w:cs="Miriam" w:hint="cs"/>
          <w:rtl/>
        </w:rPr>
        <w:t>7</w:t>
      </w:r>
      <w:r>
        <w:rPr>
          <w:rStyle w:val="big-number"/>
          <w:rFonts w:cs="FrankRuehl"/>
          <w:sz w:val="26"/>
          <w:szCs w:val="26"/>
          <w:rtl/>
        </w:rPr>
        <w:t>.</w:t>
      </w:r>
      <w:r>
        <w:rPr>
          <w:rStyle w:val="big-number"/>
          <w:rFonts w:cs="FrankRuehl"/>
          <w:sz w:val="26"/>
          <w:szCs w:val="26"/>
          <w:rtl/>
        </w:rPr>
        <w:tab/>
      </w:r>
      <w:r w:rsidR="00C274C4">
        <w:rPr>
          <w:rStyle w:val="default"/>
          <w:rFonts w:cs="FrankRuehl" w:hint="cs"/>
          <w:rtl/>
        </w:rPr>
        <w:t>(א)</w:t>
      </w:r>
      <w:r w:rsidR="00C274C4">
        <w:rPr>
          <w:rStyle w:val="default"/>
          <w:rFonts w:cs="FrankRuehl" w:hint="cs"/>
          <w:rtl/>
        </w:rPr>
        <w:tab/>
        <w:t>בלי לגרוע מן האמור בכל דין, העברה על פי חוזה של הערת אזהרה בשל התחייבות לרישום משכנתה תירשם בידי הרשם לבקשת התאגיד המעביר והתאגיד הנעבר, ובלבד שהומצאה לרשם גם התחייבות של התאגיד המעביר והצהרה של עורך דינו, כי התקיימו כל אלה:</w:t>
      </w:r>
    </w:p>
    <w:p w:rsidR="00C274C4" w:rsidRDefault="00C274C4" w:rsidP="00AC69D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לפי תנאי ההסכם למתן ההלוואה שלהבטחת פירעונה ניתנת ההתחייבות לרישום משכנתה, ולפי תנאי ההתחייבות לרישום משכנתה, הסכמת הלווה או הסכמת בעל המקרקעין שביחס אליהם נרשמה הערת אזהרה אינה דרושה להעברת ההערה;</w:t>
      </w:r>
    </w:p>
    <w:p w:rsidR="00C274C4" w:rsidRDefault="00C274C4" w:rsidP="00AC69D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AC69D7">
        <w:rPr>
          <w:rStyle w:val="default"/>
          <w:rFonts w:cs="FrankRuehl" w:hint="cs"/>
          <w:rtl/>
        </w:rPr>
        <w:t>החוזה כולל את הוראת סעיף 45 ואוסר על התאגיד הנעבר לבצע פעולה כלשהי לניהול ההלוואה המובטחת, לגביית החזר ההלוואה, לקיום ההתחייבות לרישום משכנתה או למימוש המשכנתה, אלא כמפורט בסעיף האמור;</w:t>
      </w:r>
    </w:p>
    <w:p w:rsidR="00AC69D7" w:rsidRDefault="00AC69D7" w:rsidP="00AC69D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התאגיד המעביר מתחייב לשאת במלוא האחריות לכל נזק שייגרם עקב הפרת התחייבותו לפי סעיף זה.</w:t>
      </w:r>
    </w:p>
    <w:p w:rsidR="00AC69D7" w:rsidRDefault="00AC69D7" w:rsidP="00AC69D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נרשמה העברת הערת אזהרה לפי סעיף זה, יודיע התאגיד המעביר מיד על ההעברה ללווה ולבעל המקרקעין שביחס אליהם נרשמה ההערה.</w:t>
      </w:r>
    </w:p>
    <w:p w:rsidR="008D2E6D" w:rsidRDefault="008D2E6D" w:rsidP="00AC69D7">
      <w:pPr>
        <w:pStyle w:val="P00"/>
        <w:spacing w:before="72"/>
        <w:ind w:left="0" w:right="1134"/>
        <w:rPr>
          <w:rStyle w:val="default"/>
          <w:rFonts w:cs="FrankRuehl" w:hint="cs"/>
          <w:rtl/>
        </w:rPr>
      </w:pPr>
      <w:bookmarkStart w:id="9" w:name="Seif7"/>
      <w:bookmarkEnd w:id="9"/>
      <w:r>
        <w:rPr>
          <w:rFonts w:cs="Miriam"/>
          <w:lang w:val="he-IL"/>
        </w:rPr>
        <w:pict>
          <v:rect id="_x0000_s1714" style="position:absolute;left:0;text-align:left;margin-left:463.5pt;margin-top:8.05pt;width:75.05pt;height:10pt;z-index:251660288" filled="f" stroked="f" strokecolor="lime" strokeweight=".25pt">
            <v:textbox style="mso-next-textbox:#_x0000_s1714" inset="1mm,0,1mm,0">
              <w:txbxContent>
                <w:p w:rsidR="008D2E6D" w:rsidRDefault="00AC69D7" w:rsidP="008D2E6D">
                  <w:pPr>
                    <w:spacing w:line="160" w:lineRule="exact"/>
                    <w:rPr>
                      <w:rFonts w:cs="Miriam" w:hint="cs"/>
                      <w:noProof/>
                      <w:sz w:val="18"/>
                      <w:szCs w:val="18"/>
                      <w:rtl/>
                    </w:rPr>
                  </w:pPr>
                  <w:r>
                    <w:rPr>
                      <w:rFonts w:cs="Miriam" w:hint="cs"/>
                      <w:sz w:val="18"/>
                      <w:szCs w:val="18"/>
                      <w:rtl/>
                    </w:rPr>
                    <w:t>ביצוע ותקנות</w:t>
                  </w:r>
                </w:p>
              </w:txbxContent>
            </v:textbox>
            <w10:anchorlock/>
          </v:rect>
        </w:pict>
      </w:r>
      <w:r>
        <w:rPr>
          <w:rStyle w:val="big-number"/>
          <w:rFonts w:cs="Miriam" w:hint="cs"/>
          <w:rtl/>
        </w:rPr>
        <w:t>4</w:t>
      </w:r>
      <w:r w:rsidR="00AC69D7">
        <w:rPr>
          <w:rStyle w:val="big-number"/>
          <w:rFonts w:cs="Miriam" w:hint="cs"/>
          <w:rtl/>
        </w:rPr>
        <w:t>8</w:t>
      </w:r>
      <w:r>
        <w:rPr>
          <w:rStyle w:val="big-number"/>
          <w:rFonts w:cs="FrankRuehl"/>
          <w:sz w:val="26"/>
          <w:szCs w:val="26"/>
          <w:rtl/>
        </w:rPr>
        <w:t>.</w:t>
      </w:r>
      <w:r>
        <w:rPr>
          <w:rStyle w:val="big-number"/>
          <w:rFonts w:cs="FrankRuehl"/>
          <w:sz w:val="26"/>
          <w:szCs w:val="26"/>
          <w:rtl/>
        </w:rPr>
        <w:tab/>
      </w:r>
      <w:r w:rsidR="00AC69D7">
        <w:rPr>
          <w:rStyle w:val="default"/>
          <w:rFonts w:cs="FrankRuehl" w:hint="cs"/>
          <w:rtl/>
        </w:rPr>
        <w:t>שר האוצר יחד עם שר המשפטים, ממוני על ביצוע פרק זה והם רשאים, באישור ועדת הכספים של הכנסת, להתקין תקנות לביצועו.</w:t>
      </w:r>
    </w:p>
    <w:p w:rsidR="008D2E6D" w:rsidRDefault="008D2E6D" w:rsidP="00AC69D7">
      <w:pPr>
        <w:pStyle w:val="P00"/>
        <w:spacing w:before="72"/>
        <w:ind w:left="0" w:right="1134"/>
        <w:rPr>
          <w:rStyle w:val="default"/>
          <w:rFonts w:cs="FrankRuehl" w:hint="cs"/>
          <w:rtl/>
        </w:rPr>
      </w:pPr>
      <w:bookmarkStart w:id="10" w:name="Seif8"/>
      <w:bookmarkEnd w:id="10"/>
      <w:r>
        <w:rPr>
          <w:rFonts w:cs="Miriam"/>
          <w:lang w:val="he-IL"/>
        </w:rPr>
        <w:pict>
          <v:rect id="_x0000_s1715" style="position:absolute;left:0;text-align:left;margin-left:463.5pt;margin-top:8.05pt;width:75.05pt;height:10pt;z-index:251661312" filled="f" stroked="f" strokecolor="lime" strokeweight=".25pt">
            <v:textbox style="mso-next-textbox:#_x0000_s1715" inset="1mm,0,1mm,0">
              <w:txbxContent>
                <w:p w:rsidR="008D2E6D" w:rsidRDefault="00AC69D7" w:rsidP="008D2E6D">
                  <w:pPr>
                    <w:spacing w:line="160" w:lineRule="exact"/>
                    <w:rPr>
                      <w:rFonts w:cs="Miriam" w:hint="cs"/>
                      <w:noProof/>
                      <w:sz w:val="18"/>
                      <w:szCs w:val="18"/>
                      <w:rtl/>
                    </w:rPr>
                  </w:pPr>
                  <w:r>
                    <w:rPr>
                      <w:rFonts w:cs="Miriam" w:hint="cs"/>
                      <w:sz w:val="18"/>
                      <w:szCs w:val="18"/>
                      <w:rtl/>
                    </w:rPr>
                    <w:t>תחולה ותחילה</w:t>
                  </w:r>
                </w:p>
              </w:txbxContent>
            </v:textbox>
            <w10:anchorlock/>
          </v:rect>
        </w:pict>
      </w:r>
      <w:r>
        <w:rPr>
          <w:rStyle w:val="big-number"/>
          <w:rFonts w:cs="Miriam" w:hint="cs"/>
          <w:rtl/>
        </w:rPr>
        <w:t>4</w:t>
      </w:r>
      <w:r w:rsidR="00AC69D7">
        <w:rPr>
          <w:rStyle w:val="big-number"/>
          <w:rFonts w:cs="Miriam" w:hint="cs"/>
          <w:rtl/>
        </w:rPr>
        <w:t>9</w:t>
      </w:r>
      <w:r>
        <w:rPr>
          <w:rStyle w:val="big-number"/>
          <w:rFonts w:cs="FrankRuehl"/>
          <w:sz w:val="26"/>
          <w:szCs w:val="26"/>
          <w:rtl/>
        </w:rPr>
        <w:t>.</w:t>
      </w:r>
      <w:r>
        <w:rPr>
          <w:rStyle w:val="big-number"/>
          <w:rFonts w:cs="FrankRuehl"/>
          <w:sz w:val="26"/>
          <w:szCs w:val="26"/>
          <w:rtl/>
        </w:rPr>
        <w:tab/>
      </w:r>
      <w:r w:rsidR="00AC69D7">
        <w:rPr>
          <w:rStyle w:val="default"/>
          <w:rFonts w:cs="FrankRuehl" w:hint="cs"/>
          <w:rtl/>
        </w:rPr>
        <w:t>(א)</w:t>
      </w:r>
      <w:r w:rsidR="00AC69D7">
        <w:rPr>
          <w:rStyle w:val="default"/>
          <w:rFonts w:cs="FrankRuehl" w:hint="cs"/>
          <w:rtl/>
        </w:rPr>
        <w:tab/>
        <w:t>הוראות פרק זה יחולו לגבי חוזים שנכרתו לאחר תחילתו, אף אם ההסכמים למתן ההלוואות המובטחות נושא החוזים כאמור, נחתמו לפני מועד תחילתו של חוק זה.</w:t>
      </w:r>
    </w:p>
    <w:p w:rsidR="00AC69D7" w:rsidRDefault="00AC69D7" w:rsidP="00AC69D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תחילתם של סעיפים 46 ו-47 לגבי העברת בטוחות שנרשמו לראשונה לזכות מבטח תהיה במועד שיקבע שר האוצר בתיאום עם שר המשפטים, ובלבד שלא יהיה מאוחר מיום כ"ח באדר ב' התשס"ג (1 באפריל 2003).</w:t>
      </w:r>
    </w:p>
    <w:p w:rsidR="008D2E6D" w:rsidRDefault="008D2E6D" w:rsidP="00386C3E">
      <w:pPr>
        <w:pStyle w:val="P00"/>
        <w:spacing w:before="72"/>
        <w:ind w:left="0" w:right="1134"/>
        <w:rPr>
          <w:rStyle w:val="default"/>
          <w:rFonts w:cs="FrankRuehl" w:hint="cs"/>
          <w:rtl/>
        </w:rPr>
      </w:pPr>
    </w:p>
    <w:p w:rsidR="00577A69" w:rsidRDefault="00577A69">
      <w:pPr>
        <w:pStyle w:val="P00"/>
        <w:spacing w:before="72"/>
        <w:ind w:left="0" w:right="1134"/>
        <w:rPr>
          <w:rStyle w:val="default"/>
          <w:rFonts w:cs="FrankRuehl" w:hint="cs"/>
          <w:rtl/>
        </w:rPr>
      </w:pPr>
    </w:p>
    <w:p w:rsidR="00577A69" w:rsidRDefault="00AC69D7" w:rsidP="00AC69D7">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r>
      <w:r w:rsidR="0071088C">
        <w:rPr>
          <w:rFonts w:cs="FrankRuehl" w:hint="cs"/>
          <w:sz w:val="26"/>
          <w:rtl/>
        </w:rPr>
        <w:tab/>
      </w:r>
      <w:r>
        <w:rPr>
          <w:rFonts w:cs="FrankRuehl" w:hint="cs"/>
          <w:sz w:val="26"/>
          <w:rtl/>
        </w:rPr>
        <w:t>אריאל שרון</w:t>
      </w:r>
      <w:r>
        <w:rPr>
          <w:rFonts w:cs="FrankRuehl" w:hint="cs"/>
          <w:sz w:val="26"/>
          <w:rtl/>
        </w:rPr>
        <w:tab/>
      </w:r>
      <w:r>
        <w:rPr>
          <w:rFonts w:cs="FrankRuehl" w:hint="cs"/>
          <w:sz w:val="26"/>
          <w:rtl/>
        </w:rPr>
        <w:tab/>
        <w:t>סילבן שלום</w:t>
      </w:r>
    </w:p>
    <w:p w:rsidR="00577A69" w:rsidRDefault="00AC69D7" w:rsidP="00AC69D7">
      <w:pPr>
        <w:pStyle w:val="sig-0"/>
        <w:tabs>
          <w:tab w:val="clear" w:pos="4820"/>
          <w:tab w:val="center" w:pos="1134"/>
          <w:tab w:val="center" w:pos="2835"/>
          <w:tab w:val="center" w:pos="4536"/>
          <w:tab w:val="center" w:pos="6237"/>
        </w:tabs>
        <w:ind w:left="0" w:right="1134"/>
        <w:rPr>
          <w:rFonts w:cs="FrankRuehl" w:hint="cs"/>
          <w:sz w:val="22"/>
          <w:szCs w:val="22"/>
          <w:rtl/>
        </w:rPr>
      </w:pPr>
      <w:r>
        <w:rPr>
          <w:rFonts w:cs="FrankRuehl" w:hint="cs"/>
          <w:sz w:val="22"/>
          <w:szCs w:val="22"/>
          <w:rtl/>
        </w:rPr>
        <w:tab/>
      </w:r>
      <w:r w:rsidR="00977509">
        <w:rPr>
          <w:rFonts w:cs="FrankRuehl" w:hint="cs"/>
          <w:sz w:val="22"/>
          <w:szCs w:val="22"/>
          <w:rtl/>
        </w:rPr>
        <w:tab/>
      </w:r>
      <w:r>
        <w:rPr>
          <w:rFonts w:cs="FrankRuehl" w:hint="cs"/>
          <w:sz w:val="22"/>
          <w:szCs w:val="22"/>
          <w:rtl/>
        </w:rPr>
        <w:t>ראש הממשלה</w:t>
      </w:r>
      <w:r>
        <w:rPr>
          <w:rFonts w:cs="FrankRuehl" w:hint="cs"/>
          <w:sz w:val="22"/>
          <w:szCs w:val="22"/>
          <w:rtl/>
        </w:rPr>
        <w:tab/>
      </w:r>
      <w:r>
        <w:rPr>
          <w:rFonts w:cs="FrankRuehl" w:hint="cs"/>
          <w:sz w:val="22"/>
          <w:szCs w:val="22"/>
          <w:rtl/>
        </w:rPr>
        <w:tab/>
        <w:t>שר האוצר</w:t>
      </w:r>
    </w:p>
    <w:p w:rsidR="00AC69D7" w:rsidRDefault="00AC69D7" w:rsidP="00AC69D7">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t>משה קצב</w:t>
      </w:r>
      <w:r>
        <w:rPr>
          <w:rFonts w:cs="FrankRuehl" w:hint="cs"/>
          <w:sz w:val="26"/>
          <w:rtl/>
        </w:rPr>
        <w:tab/>
      </w:r>
      <w:r>
        <w:rPr>
          <w:rFonts w:cs="FrankRuehl" w:hint="cs"/>
          <w:sz w:val="26"/>
          <w:rtl/>
        </w:rPr>
        <w:tab/>
        <w:t>אברהם בורג</w:t>
      </w:r>
    </w:p>
    <w:p w:rsidR="00AC69D7" w:rsidRDefault="00AC69D7" w:rsidP="00AC69D7">
      <w:pPr>
        <w:pStyle w:val="sig-0"/>
        <w:tabs>
          <w:tab w:val="clear" w:pos="4820"/>
          <w:tab w:val="center" w:pos="1134"/>
          <w:tab w:val="center" w:pos="2835"/>
          <w:tab w:val="center" w:pos="4536"/>
          <w:tab w:val="center" w:pos="6237"/>
        </w:tabs>
        <w:ind w:left="0" w:right="1134"/>
        <w:rPr>
          <w:rFonts w:cs="FrankRuehl" w:hint="cs"/>
          <w:sz w:val="22"/>
          <w:szCs w:val="22"/>
          <w:rtl/>
        </w:rPr>
      </w:pPr>
      <w:r>
        <w:rPr>
          <w:rFonts w:cs="FrankRuehl" w:hint="cs"/>
          <w:sz w:val="22"/>
          <w:szCs w:val="22"/>
          <w:rtl/>
        </w:rPr>
        <w:tab/>
        <w:t>נשיא המדינה</w:t>
      </w:r>
      <w:r>
        <w:rPr>
          <w:rFonts w:cs="FrankRuehl" w:hint="cs"/>
          <w:sz w:val="22"/>
          <w:szCs w:val="22"/>
          <w:rtl/>
        </w:rPr>
        <w:tab/>
      </w:r>
      <w:r>
        <w:rPr>
          <w:rFonts w:cs="FrankRuehl" w:hint="cs"/>
          <w:sz w:val="22"/>
          <w:szCs w:val="22"/>
          <w:rtl/>
        </w:rPr>
        <w:tab/>
        <w:t>יושב ראש הכנסת</w:t>
      </w:r>
    </w:p>
    <w:p w:rsidR="008713AF" w:rsidRDefault="008713AF">
      <w:pPr>
        <w:pStyle w:val="P00"/>
        <w:spacing w:before="72"/>
        <w:ind w:left="0" w:right="1134"/>
        <w:rPr>
          <w:rStyle w:val="default"/>
          <w:rFonts w:cs="FrankRuehl" w:hint="cs"/>
          <w:rtl/>
        </w:rPr>
      </w:pPr>
    </w:p>
    <w:p w:rsidR="003B6338" w:rsidRDefault="003B6338">
      <w:pPr>
        <w:pStyle w:val="P00"/>
        <w:spacing w:before="72"/>
        <w:ind w:left="0" w:right="1134"/>
        <w:rPr>
          <w:rStyle w:val="default"/>
          <w:rFonts w:cs="FrankRuehl" w:hint="cs"/>
          <w:rtl/>
        </w:rPr>
      </w:pPr>
    </w:p>
    <w:p w:rsidR="00575D62" w:rsidRDefault="00575D62">
      <w:pPr>
        <w:pStyle w:val="P00"/>
        <w:spacing w:before="72"/>
        <w:ind w:left="0" w:right="1134"/>
        <w:rPr>
          <w:rStyle w:val="default"/>
          <w:rFonts w:cs="FrankRuehl"/>
          <w:rtl/>
        </w:rPr>
      </w:pPr>
    </w:p>
    <w:p w:rsidR="00A11262" w:rsidRDefault="00A11262" w:rsidP="00A11262">
      <w:pPr>
        <w:pStyle w:val="P00"/>
        <w:spacing w:before="72"/>
        <w:ind w:left="0" w:right="1134"/>
        <w:jc w:val="center"/>
        <w:rPr>
          <w:rStyle w:val="default"/>
          <w:rFonts w:cs="David"/>
          <w:color w:val="0000FF"/>
          <w:szCs w:val="24"/>
          <w:u w:val="single"/>
          <w:rtl/>
        </w:rPr>
      </w:pPr>
      <w:hyperlink r:id="rId7" w:history="1">
        <w:r>
          <w:rPr>
            <w:rStyle w:val="default"/>
            <w:rFonts w:cs="David"/>
            <w:color w:val="0000FF"/>
            <w:szCs w:val="24"/>
            <w:u w:val="single"/>
            <w:rtl/>
          </w:rPr>
          <w:t>הודעה למנויים על עריכה ושינויים במסמכי פסיקה, חקיקה ועוד באתר נבו - הקש כאן</w:t>
        </w:r>
      </w:hyperlink>
    </w:p>
    <w:p w:rsidR="005112DE" w:rsidRPr="00A11262" w:rsidRDefault="005112DE" w:rsidP="00A11262">
      <w:pPr>
        <w:pStyle w:val="P00"/>
        <w:spacing w:before="72"/>
        <w:ind w:left="0" w:right="1134"/>
        <w:jc w:val="center"/>
        <w:rPr>
          <w:rStyle w:val="default"/>
          <w:rFonts w:cs="David" w:hint="cs"/>
          <w:color w:val="0000FF"/>
          <w:szCs w:val="24"/>
          <w:u w:val="single"/>
          <w:rtl/>
        </w:rPr>
      </w:pPr>
    </w:p>
    <w:sectPr w:rsidR="005112DE" w:rsidRPr="00A11262">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21434" w:rsidRDefault="00021434">
      <w:r>
        <w:separator/>
      </w:r>
    </w:p>
  </w:endnote>
  <w:endnote w:type="continuationSeparator" w:id="0">
    <w:p w:rsidR="00021434" w:rsidRDefault="00021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3FE7" w:rsidRDefault="00FC3FE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FC3FE7" w:rsidRDefault="00FC3FE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C3FE7" w:rsidRDefault="00FC3FE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11262">
      <w:rPr>
        <w:rFonts w:cs="TopType Jerushalmi"/>
        <w:noProof/>
        <w:color w:val="000000"/>
        <w:sz w:val="14"/>
        <w:szCs w:val="14"/>
      </w:rPr>
      <w:t>Z:\00000000000000000000000=2014------------------------\LawsForTableRun\04\500_019.doc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3FE7" w:rsidRDefault="00FC3FE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C0C93">
      <w:rPr>
        <w:rFonts w:hAnsi="FrankRuehl" w:cs="FrankRuehl"/>
        <w:noProof/>
        <w:sz w:val="24"/>
        <w:szCs w:val="24"/>
        <w:rtl/>
      </w:rPr>
      <w:t>3</w:t>
    </w:r>
    <w:r>
      <w:rPr>
        <w:rFonts w:hAnsi="FrankRuehl" w:cs="FrankRuehl"/>
        <w:sz w:val="24"/>
        <w:szCs w:val="24"/>
        <w:rtl/>
      </w:rPr>
      <w:fldChar w:fldCharType="end"/>
    </w:r>
  </w:p>
  <w:p w:rsidR="00FC3FE7" w:rsidRDefault="00FC3FE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FC3FE7" w:rsidRDefault="00FC3FE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A11262">
      <w:rPr>
        <w:rFonts w:cs="TopType Jerushalmi"/>
        <w:noProof/>
        <w:color w:val="000000"/>
        <w:sz w:val="14"/>
        <w:szCs w:val="14"/>
      </w:rPr>
      <w:t>Z:\00000000000000000000000=2014------------------------\LawsForTableRun\04\500_019.doc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21434" w:rsidRDefault="00021434">
      <w:pPr>
        <w:spacing w:before="60"/>
        <w:ind w:right="1134"/>
      </w:pPr>
      <w:r>
        <w:separator/>
      </w:r>
    </w:p>
  </w:footnote>
  <w:footnote w:type="continuationSeparator" w:id="0">
    <w:p w:rsidR="00021434" w:rsidRDefault="00021434">
      <w:r>
        <w:continuationSeparator/>
      </w:r>
    </w:p>
  </w:footnote>
  <w:footnote w:id="1">
    <w:p w:rsidR="00FC3FE7" w:rsidRDefault="00FC3FE7" w:rsidP="00852F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sidR="00D726B1">
        <w:rPr>
          <w:rFonts w:cs="FrankRuehl" w:hint="cs"/>
          <w:rtl/>
        </w:rPr>
        <w:t xml:space="preserve"> פורסם</w:t>
      </w:r>
      <w:r>
        <w:rPr>
          <w:rFonts w:cs="FrankRuehl" w:hint="cs"/>
          <w:rtl/>
        </w:rPr>
        <w:t xml:space="preserve"> </w:t>
      </w:r>
      <w:hyperlink r:id="rId1" w:history="1">
        <w:r w:rsidR="00852F43" w:rsidRPr="007A05A0">
          <w:rPr>
            <w:rStyle w:val="Hyperlink"/>
            <w:rFonts w:cs="FrankRuehl" w:hint="cs"/>
            <w:rtl/>
          </w:rPr>
          <w:t>ס"ח תשס"ג מס' 1882</w:t>
        </w:r>
      </w:hyperlink>
      <w:r w:rsidR="00852F43">
        <w:rPr>
          <w:rFonts w:cs="FrankRuehl" w:hint="cs"/>
          <w:rtl/>
        </w:rPr>
        <w:t xml:space="preserve"> מיום 29.12.2002 עמ' 150 (</w:t>
      </w:r>
      <w:hyperlink r:id="rId2" w:history="1">
        <w:r w:rsidR="00852F43" w:rsidRPr="00852F43">
          <w:rPr>
            <w:rStyle w:val="Hyperlink"/>
            <w:rFonts w:cs="FrankRuehl" w:hint="cs"/>
            <w:rtl/>
          </w:rPr>
          <w:t>ה"ח הממשלה תשס"ג מס' 4</w:t>
        </w:r>
      </w:hyperlink>
      <w:r w:rsidR="00852F43">
        <w:rPr>
          <w:rFonts w:cs="FrankRuehl" w:hint="cs"/>
          <w:rtl/>
        </w:rPr>
        <w:t xml:space="preserve"> עמ' 18)</w:t>
      </w:r>
      <w:r>
        <w:rPr>
          <w:rFonts w:cs="FrankRuehl" w:hint="cs"/>
          <w:rtl/>
        </w:rPr>
        <w:t>.</w:t>
      </w:r>
    </w:p>
    <w:p w:rsidR="007A05A0" w:rsidRDefault="007A05A0" w:rsidP="00852F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3" w:history="1">
        <w:r w:rsidRPr="007A05A0">
          <w:rPr>
            <w:rStyle w:val="Hyperlink"/>
            <w:rFonts w:cs="FrankRuehl" w:hint="cs"/>
            <w:rtl/>
          </w:rPr>
          <w:t>ס"ח תשס"ג מס' 1892</w:t>
        </w:r>
      </w:hyperlink>
      <w:r>
        <w:rPr>
          <w:rFonts w:cs="FrankRuehl" w:hint="cs"/>
          <w:rtl/>
        </w:rPr>
        <w:t xml:space="preserve"> מיום 1.6.2003 עמ' 453 (</w:t>
      </w:r>
      <w:hyperlink r:id="rId4" w:history="1">
        <w:r w:rsidRPr="00D47C72">
          <w:rPr>
            <w:rStyle w:val="Hyperlink"/>
            <w:rFonts w:cs="FrankRuehl" w:hint="cs"/>
            <w:rtl/>
          </w:rPr>
          <w:t>ה"ח הממשלה תשס"ג מס' 25</w:t>
        </w:r>
      </w:hyperlink>
      <w:r>
        <w:rPr>
          <w:rFonts w:cs="FrankRuehl" w:hint="cs"/>
          <w:rtl/>
        </w:rPr>
        <w:t xml:space="preserve"> עמ' 262) בסעיף 50 לחוק התכנית להבראת כלכלת ישראל (תיקוני חקיקה להשגת יעדי התקציב והמדיניות הכלכלית לשנות </w:t>
      </w:r>
      <w:r w:rsidR="00477AA2">
        <w:rPr>
          <w:rFonts w:cs="FrankRuehl" w:hint="cs"/>
          <w:rtl/>
        </w:rPr>
        <w:t xml:space="preserve">הכספים 2003 ו-2004), תשס"ג-2003 </w:t>
      </w:r>
      <w:r w:rsidR="00477AA2">
        <w:rPr>
          <w:rFonts w:cs="FrankRuehl"/>
          <w:rtl/>
        </w:rPr>
        <w:t>–</w:t>
      </w:r>
      <w:r w:rsidR="00477AA2">
        <w:rPr>
          <w:rFonts w:cs="FrankRuehl" w:hint="cs"/>
          <w:rtl/>
        </w:rPr>
        <w:t xml:space="preserve"> תיקון מס' 1.</w:t>
      </w:r>
    </w:p>
    <w:p w:rsidR="004C0C93" w:rsidRPr="00477AA2" w:rsidRDefault="004C0C93" w:rsidP="004C0C9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477AA2" w:rsidRPr="004C0C93">
          <w:rPr>
            <w:rStyle w:val="Hyperlink"/>
            <w:rFonts w:cs="FrankRuehl" w:hint="cs"/>
            <w:rtl/>
          </w:rPr>
          <w:t>ס"ח תשע"ו מס' 2573</w:t>
        </w:r>
      </w:hyperlink>
      <w:r w:rsidR="00477AA2" w:rsidRPr="00477AA2">
        <w:rPr>
          <w:rFonts w:cs="FrankRuehl" w:hint="cs"/>
          <w:rtl/>
        </w:rPr>
        <w:t xml:space="preserve"> מיום 11.8.2016 עמ' 115</w:t>
      </w:r>
      <w:r w:rsidR="00477AA2">
        <w:rPr>
          <w:rFonts w:cs="FrankRuehl" w:hint="cs"/>
          <w:rtl/>
        </w:rPr>
        <w:t>6</w:t>
      </w:r>
      <w:r w:rsidR="00477AA2" w:rsidRPr="00477AA2">
        <w:rPr>
          <w:rFonts w:cs="FrankRuehl" w:hint="cs"/>
          <w:rtl/>
        </w:rPr>
        <w:t xml:space="preserve"> (</w:t>
      </w:r>
      <w:hyperlink r:id="rId6" w:history="1">
        <w:r w:rsidR="00477AA2" w:rsidRPr="00477AA2">
          <w:rPr>
            <w:rStyle w:val="Hyperlink"/>
            <w:rFonts w:cs="FrankRuehl" w:hint="cs"/>
            <w:rtl/>
          </w:rPr>
          <w:t>ה"ח הממשלה תשע"ו מס' 1035</w:t>
        </w:r>
      </w:hyperlink>
      <w:r w:rsidR="00477AA2" w:rsidRPr="00477AA2">
        <w:rPr>
          <w:rFonts w:cs="FrankRuehl" w:hint="cs"/>
          <w:rtl/>
        </w:rPr>
        <w:t xml:space="preserve"> עמ' 922) </w:t>
      </w:r>
      <w:r w:rsidR="00477AA2" w:rsidRPr="00477AA2">
        <w:rPr>
          <w:rFonts w:cs="FrankRuehl"/>
          <w:rtl/>
        </w:rPr>
        <w:t>–</w:t>
      </w:r>
      <w:r w:rsidR="00477AA2" w:rsidRPr="00477AA2">
        <w:rPr>
          <w:rFonts w:cs="FrankRuehl" w:hint="cs"/>
          <w:rtl/>
        </w:rPr>
        <w:t xml:space="preserve"> </w:t>
      </w:r>
      <w:r w:rsidR="00477AA2">
        <w:rPr>
          <w:rFonts w:cs="FrankRuehl" w:hint="cs"/>
          <w:rtl/>
        </w:rPr>
        <w:t>תיקון מס' 2 בסעיף 2 לחוק הבטחת הכנסה (הוראת שעה ותיקוני חקיקה), תשע"ו-2016</w:t>
      </w:r>
      <w:r w:rsidR="00477AA2" w:rsidRPr="00477AA2">
        <w:rPr>
          <w:rFonts w:cs="FrankRuehl" w:hint="cs"/>
          <w:rtl/>
        </w:rPr>
        <w:t>.</w:t>
      </w:r>
    </w:p>
    <w:p w:rsidR="00477AA2" w:rsidRDefault="00477AA2" w:rsidP="00852F4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3FE7" w:rsidRDefault="00FC3FE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FC3FE7" w:rsidRDefault="00FC3FE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C3FE7" w:rsidRDefault="00FC3FE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C3FE7" w:rsidRDefault="00C728D6" w:rsidP="008713A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ההסדרים במשק המדינה (תיקוני חקיקה להשגת יעדי התקציב והמדיניות הכלכלית לשנת הכספים 2003), תשס"ג-2002</w:t>
    </w:r>
  </w:p>
  <w:p w:rsidR="00FC3FE7" w:rsidRDefault="00FC3FE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FC3FE7" w:rsidRDefault="00FC3FE7">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877233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F2E98"/>
    <w:rsid w:val="00004720"/>
    <w:rsid w:val="00007F83"/>
    <w:rsid w:val="00010B12"/>
    <w:rsid w:val="00010E90"/>
    <w:rsid w:val="00021434"/>
    <w:rsid w:val="00024239"/>
    <w:rsid w:val="00024FDC"/>
    <w:rsid w:val="00031B81"/>
    <w:rsid w:val="00032136"/>
    <w:rsid w:val="00033558"/>
    <w:rsid w:val="0003781E"/>
    <w:rsid w:val="000536FC"/>
    <w:rsid w:val="00054D32"/>
    <w:rsid w:val="00057985"/>
    <w:rsid w:val="00057ED8"/>
    <w:rsid w:val="000632D8"/>
    <w:rsid w:val="00063E7C"/>
    <w:rsid w:val="00065DCA"/>
    <w:rsid w:val="00066EA6"/>
    <w:rsid w:val="00071A24"/>
    <w:rsid w:val="00071FF5"/>
    <w:rsid w:val="00073902"/>
    <w:rsid w:val="000820F0"/>
    <w:rsid w:val="00082632"/>
    <w:rsid w:val="00090F26"/>
    <w:rsid w:val="00092533"/>
    <w:rsid w:val="0009382D"/>
    <w:rsid w:val="00097C86"/>
    <w:rsid w:val="000A2DD5"/>
    <w:rsid w:val="000A53DB"/>
    <w:rsid w:val="000B020E"/>
    <w:rsid w:val="000B6E25"/>
    <w:rsid w:val="000B700B"/>
    <w:rsid w:val="000C220C"/>
    <w:rsid w:val="000C389E"/>
    <w:rsid w:val="000C6CA6"/>
    <w:rsid w:val="000D4D83"/>
    <w:rsid w:val="000D65C3"/>
    <w:rsid w:val="000D6A8A"/>
    <w:rsid w:val="000E32ED"/>
    <w:rsid w:val="000E6BA5"/>
    <w:rsid w:val="000F1375"/>
    <w:rsid w:val="000F2128"/>
    <w:rsid w:val="000F6789"/>
    <w:rsid w:val="000F6917"/>
    <w:rsid w:val="00102D7B"/>
    <w:rsid w:val="00107E62"/>
    <w:rsid w:val="00117775"/>
    <w:rsid w:val="00117E6C"/>
    <w:rsid w:val="00124B0E"/>
    <w:rsid w:val="00125926"/>
    <w:rsid w:val="00127328"/>
    <w:rsid w:val="0014552A"/>
    <w:rsid w:val="00153E09"/>
    <w:rsid w:val="001612F5"/>
    <w:rsid w:val="00163D97"/>
    <w:rsid w:val="0016569A"/>
    <w:rsid w:val="00167D7D"/>
    <w:rsid w:val="00171228"/>
    <w:rsid w:val="0017423B"/>
    <w:rsid w:val="00175BD4"/>
    <w:rsid w:val="00175E8A"/>
    <w:rsid w:val="00181E88"/>
    <w:rsid w:val="001832FD"/>
    <w:rsid w:val="00194CB6"/>
    <w:rsid w:val="00196FB5"/>
    <w:rsid w:val="001A4822"/>
    <w:rsid w:val="001A4BA5"/>
    <w:rsid w:val="001A6427"/>
    <w:rsid w:val="001B13ED"/>
    <w:rsid w:val="001B3E15"/>
    <w:rsid w:val="001B6F56"/>
    <w:rsid w:val="001C04E7"/>
    <w:rsid w:val="001C0AA3"/>
    <w:rsid w:val="001C1203"/>
    <w:rsid w:val="001C1DC4"/>
    <w:rsid w:val="001C7288"/>
    <w:rsid w:val="001C78D4"/>
    <w:rsid w:val="001D083B"/>
    <w:rsid w:val="001D0C46"/>
    <w:rsid w:val="001D49FF"/>
    <w:rsid w:val="001E12AA"/>
    <w:rsid w:val="001E15AC"/>
    <w:rsid w:val="001E3C39"/>
    <w:rsid w:val="001F68E1"/>
    <w:rsid w:val="001F72CA"/>
    <w:rsid w:val="002030DA"/>
    <w:rsid w:val="00203E73"/>
    <w:rsid w:val="00204FC9"/>
    <w:rsid w:val="00216CF2"/>
    <w:rsid w:val="00225DCB"/>
    <w:rsid w:val="00231BC3"/>
    <w:rsid w:val="00235E77"/>
    <w:rsid w:val="002364BF"/>
    <w:rsid w:val="00236C63"/>
    <w:rsid w:val="0024660D"/>
    <w:rsid w:val="00246766"/>
    <w:rsid w:val="00246BF2"/>
    <w:rsid w:val="002473B3"/>
    <w:rsid w:val="00247417"/>
    <w:rsid w:val="002527B2"/>
    <w:rsid w:val="00260315"/>
    <w:rsid w:val="00266A4A"/>
    <w:rsid w:val="00274CD2"/>
    <w:rsid w:val="00275516"/>
    <w:rsid w:val="00280926"/>
    <w:rsid w:val="0028117D"/>
    <w:rsid w:val="00283BD9"/>
    <w:rsid w:val="00290BE9"/>
    <w:rsid w:val="00291FC3"/>
    <w:rsid w:val="00293112"/>
    <w:rsid w:val="00294A27"/>
    <w:rsid w:val="0029679E"/>
    <w:rsid w:val="00296A59"/>
    <w:rsid w:val="002A24E2"/>
    <w:rsid w:val="002A324E"/>
    <w:rsid w:val="002A4351"/>
    <w:rsid w:val="002A4ECE"/>
    <w:rsid w:val="002A660A"/>
    <w:rsid w:val="002B4310"/>
    <w:rsid w:val="002C6AA5"/>
    <w:rsid w:val="002C7D10"/>
    <w:rsid w:val="002D35D3"/>
    <w:rsid w:val="002D7CDB"/>
    <w:rsid w:val="002E024B"/>
    <w:rsid w:val="002E1294"/>
    <w:rsid w:val="002E1AA2"/>
    <w:rsid w:val="002E5A89"/>
    <w:rsid w:val="002E5C09"/>
    <w:rsid w:val="002F2014"/>
    <w:rsid w:val="002F3E3B"/>
    <w:rsid w:val="002F6F4A"/>
    <w:rsid w:val="0030096B"/>
    <w:rsid w:val="00301441"/>
    <w:rsid w:val="0030154B"/>
    <w:rsid w:val="00301E9A"/>
    <w:rsid w:val="003041B8"/>
    <w:rsid w:val="00306813"/>
    <w:rsid w:val="00311C2C"/>
    <w:rsid w:val="00313F87"/>
    <w:rsid w:val="0031551C"/>
    <w:rsid w:val="0031570F"/>
    <w:rsid w:val="00315C59"/>
    <w:rsid w:val="00326208"/>
    <w:rsid w:val="00326C6D"/>
    <w:rsid w:val="0033083B"/>
    <w:rsid w:val="00330CDD"/>
    <w:rsid w:val="003349C1"/>
    <w:rsid w:val="00337799"/>
    <w:rsid w:val="00337F23"/>
    <w:rsid w:val="003418C6"/>
    <w:rsid w:val="00343217"/>
    <w:rsid w:val="00347E25"/>
    <w:rsid w:val="0035395F"/>
    <w:rsid w:val="0035408C"/>
    <w:rsid w:val="00355ED0"/>
    <w:rsid w:val="00360E68"/>
    <w:rsid w:val="003655E4"/>
    <w:rsid w:val="003659A5"/>
    <w:rsid w:val="00367143"/>
    <w:rsid w:val="00372EA7"/>
    <w:rsid w:val="00374F2D"/>
    <w:rsid w:val="00375A9C"/>
    <w:rsid w:val="0037728C"/>
    <w:rsid w:val="003831FA"/>
    <w:rsid w:val="00385BFA"/>
    <w:rsid w:val="00386C3E"/>
    <w:rsid w:val="00386FAE"/>
    <w:rsid w:val="003872CA"/>
    <w:rsid w:val="00387A80"/>
    <w:rsid w:val="00390DB4"/>
    <w:rsid w:val="0039269B"/>
    <w:rsid w:val="00393C15"/>
    <w:rsid w:val="00396771"/>
    <w:rsid w:val="003A2EEE"/>
    <w:rsid w:val="003A3BE2"/>
    <w:rsid w:val="003A56E6"/>
    <w:rsid w:val="003A7C5F"/>
    <w:rsid w:val="003B008D"/>
    <w:rsid w:val="003B1BEB"/>
    <w:rsid w:val="003B6338"/>
    <w:rsid w:val="003B6772"/>
    <w:rsid w:val="003B775D"/>
    <w:rsid w:val="003C4D48"/>
    <w:rsid w:val="003C56A4"/>
    <w:rsid w:val="003D00CA"/>
    <w:rsid w:val="003D14F8"/>
    <w:rsid w:val="003D2D48"/>
    <w:rsid w:val="003D6ED9"/>
    <w:rsid w:val="003E6F5E"/>
    <w:rsid w:val="003F05BB"/>
    <w:rsid w:val="003F5BF4"/>
    <w:rsid w:val="003F7DF2"/>
    <w:rsid w:val="00430CE3"/>
    <w:rsid w:val="00431295"/>
    <w:rsid w:val="004363C6"/>
    <w:rsid w:val="00445177"/>
    <w:rsid w:val="00462F24"/>
    <w:rsid w:val="004672EC"/>
    <w:rsid w:val="00471625"/>
    <w:rsid w:val="0047257D"/>
    <w:rsid w:val="004728C6"/>
    <w:rsid w:val="00473500"/>
    <w:rsid w:val="00475AAF"/>
    <w:rsid w:val="00477AA2"/>
    <w:rsid w:val="004803D1"/>
    <w:rsid w:val="00480EEF"/>
    <w:rsid w:val="00494D9C"/>
    <w:rsid w:val="00495303"/>
    <w:rsid w:val="00495BA4"/>
    <w:rsid w:val="00495C01"/>
    <w:rsid w:val="004A0287"/>
    <w:rsid w:val="004A1E7C"/>
    <w:rsid w:val="004A1FAB"/>
    <w:rsid w:val="004A2ABE"/>
    <w:rsid w:val="004A36C5"/>
    <w:rsid w:val="004A79BF"/>
    <w:rsid w:val="004B314F"/>
    <w:rsid w:val="004C0C93"/>
    <w:rsid w:val="004C1425"/>
    <w:rsid w:val="004C2B6D"/>
    <w:rsid w:val="004D30EF"/>
    <w:rsid w:val="004D57F2"/>
    <w:rsid w:val="004D679A"/>
    <w:rsid w:val="004E25D7"/>
    <w:rsid w:val="004E4667"/>
    <w:rsid w:val="004E4A6E"/>
    <w:rsid w:val="004F093E"/>
    <w:rsid w:val="004F2FD5"/>
    <w:rsid w:val="004F444E"/>
    <w:rsid w:val="004F5693"/>
    <w:rsid w:val="004F5E9D"/>
    <w:rsid w:val="00501C0C"/>
    <w:rsid w:val="00501D1E"/>
    <w:rsid w:val="00502DC8"/>
    <w:rsid w:val="005033F7"/>
    <w:rsid w:val="005112DE"/>
    <w:rsid w:val="00515A33"/>
    <w:rsid w:val="00515D6B"/>
    <w:rsid w:val="00516BC8"/>
    <w:rsid w:val="00517332"/>
    <w:rsid w:val="005204AE"/>
    <w:rsid w:val="0052105C"/>
    <w:rsid w:val="005216D3"/>
    <w:rsid w:val="005219ED"/>
    <w:rsid w:val="00521F54"/>
    <w:rsid w:val="005328B8"/>
    <w:rsid w:val="00532A34"/>
    <w:rsid w:val="005364EA"/>
    <w:rsid w:val="00537DBF"/>
    <w:rsid w:val="005403F4"/>
    <w:rsid w:val="00541B66"/>
    <w:rsid w:val="00545316"/>
    <w:rsid w:val="00545747"/>
    <w:rsid w:val="005459F6"/>
    <w:rsid w:val="0054653C"/>
    <w:rsid w:val="00547015"/>
    <w:rsid w:val="00551063"/>
    <w:rsid w:val="0055108C"/>
    <w:rsid w:val="0055359D"/>
    <w:rsid w:val="00554D12"/>
    <w:rsid w:val="005563B9"/>
    <w:rsid w:val="00561784"/>
    <w:rsid w:val="005677F3"/>
    <w:rsid w:val="00571C5E"/>
    <w:rsid w:val="00573BEA"/>
    <w:rsid w:val="005741D0"/>
    <w:rsid w:val="00575D62"/>
    <w:rsid w:val="00577A69"/>
    <w:rsid w:val="00584AA3"/>
    <w:rsid w:val="005861C3"/>
    <w:rsid w:val="00597B00"/>
    <w:rsid w:val="005A0053"/>
    <w:rsid w:val="005A1B5C"/>
    <w:rsid w:val="005A2B96"/>
    <w:rsid w:val="005A3556"/>
    <w:rsid w:val="005A6318"/>
    <w:rsid w:val="005B0420"/>
    <w:rsid w:val="005B11AD"/>
    <w:rsid w:val="005B1E7E"/>
    <w:rsid w:val="005B3C33"/>
    <w:rsid w:val="005B635C"/>
    <w:rsid w:val="005B6CD8"/>
    <w:rsid w:val="005C4382"/>
    <w:rsid w:val="005C6F9B"/>
    <w:rsid w:val="005C7042"/>
    <w:rsid w:val="005C769A"/>
    <w:rsid w:val="005D24F8"/>
    <w:rsid w:val="005D5F22"/>
    <w:rsid w:val="005D6FFD"/>
    <w:rsid w:val="005D757E"/>
    <w:rsid w:val="005E2F9E"/>
    <w:rsid w:val="005E3EE2"/>
    <w:rsid w:val="005F5D28"/>
    <w:rsid w:val="0060416C"/>
    <w:rsid w:val="0060704F"/>
    <w:rsid w:val="0060741E"/>
    <w:rsid w:val="0061056E"/>
    <w:rsid w:val="006119FA"/>
    <w:rsid w:val="0061214E"/>
    <w:rsid w:val="006123F2"/>
    <w:rsid w:val="0061289B"/>
    <w:rsid w:val="00613CF6"/>
    <w:rsid w:val="006212F5"/>
    <w:rsid w:val="006243F8"/>
    <w:rsid w:val="00625D6C"/>
    <w:rsid w:val="00631C45"/>
    <w:rsid w:val="00631D33"/>
    <w:rsid w:val="00635F52"/>
    <w:rsid w:val="00644CC7"/>
    <w:rsid w:val="00646D87"/>
    <w:rsid w:val="0064715C"/>
    <w:rsid w:val="00654783"/>
    <w:rsid w:val="00660E2F"/>
    <w:rsid w:val="00666250"/>
    <w:rsid w:val="006711F2"/>
    <w:rsid w:val="006727FD"/>
    <w:rsid w:val="006755DE"/>
    <w:rsid w:val="00683744"/>
    <w:rsid w:val="00686267"/>
    <w:rsid w:val="0069018C"/>
    <w:rsid w:val="00690AD3"/>
    <w:rsid w:val="00696014"/>
    <w:rsid w:val="006A0838"/>
    <w:rsid w:val="006A0B7F"/>
    <w:rsid w:val="006B63AC"/>
    <w:rsid w:val="006C1008"/>
    <w:rsid w:val="006C23ED"/>
    <w:rsid w:val="006D50DB"/>
    <w:rsid w:val="006D71A5"/>
    <w:rsid w:val="006F3807"/>
    <w:rsid w:val="006F574C"/>
    <w:rsid w:val="0070464D"/>
    <w:rsid w:val="00704C70"/>
    <w:rsid w:val="0071088C"/>
    <w:rsid w:val="0071430C"/>
    <w:rsid w:val="0071493B"/>
    <w:rsid w:val="00723439"/>
    <w:rsid w:val="00723F96"/>
    <w:rsid w:val="00724A7D"/>
    <w:rsid w:val="007277E5"/>
    <w:rsid w:val="00731D27"/>
    <w:rsid w:val="007323DD"/>
    <w:rsid w:val="00732D64"/>
    <w:rsid w:val="0073388B"/>
    <w:rsid w:val="00745882"/>
    <w:rsid w:val="00751FA6"/>
    <w:rsid w:val="00754935"/>
    <w:rsid w:val="00755090"/>
    <w:rsid w:val="00755A87"/>
    <w:rsid w:val="007607F7"/>
    <w:rsid w:val="0076285C"/>
    <w:rsid w:val="007636B5"/>
    <w:rsid w:val="00763C55"/>
    <w:rsid w:val="00763C9A"/>
    <w:rsid w:val="00764085"/>
    <w:rsid w:val="007646A6"/>
    <w:rsid w:val="00765FEE"/>
    <w:rsid w:val="00772BC1"/>
    <w:rsid w:val="007741C4"/>
    <w:rsid w:val="00781DA6"/>
    <w:rsid w:val="007828A6"/>
    <w:rsid w:val="007864CE"/>
    <w:rsid w:val="00787C76"/>
    <w:rsid w:val="00796D78"/>
    <w:rsid w:val="00797944"/>
    <w:rsid w:val="007A05A0"/>
    <w:rsid w:val="007A46E3"/>
    <w:rsid w:val="007A74AC"/>
    <w:rsid w:val="007A779A"/>
    <w:rsid w:val="007B56E6"/>
    <w:rsid w:val="007C38A0"/>
    <w:rsid w:val="007C4A42"/>
    <w:rsid w:val="007C706E"/>
    <w:rsid w:val="007E10B4"/>
    <w:rsid w:val="007E3338"/>
    <w:rsid w:val="007E3A78"/>
    <w:rsid w:val="007E481C"/>
    <w:rsid w:val="007E54DD"/>
    <w:rsid w:val="007F0547"/>
    <w:rsid w:val="007F05EF"/>
    <w:rsid w:val="008056E8"/>
    <w:rsid w:val="00807E3F"/>
    <w:rsid w:val="008108B9"/>
    <w:rsid w:val="00812460"/>
    <w:rsid w:val="00812E01"/>
    <w:rsid w:val="00817139"/>
    <w:rsid w:val="0082360D"/>
    <w:rsid w:val="00824074"/>
    <w:rsid w:val="00827D0D"/>
    <w:rsid w:val="0083137E"/>
    <w:rsid w:val="00836B35"/>
    <w:rsid w:val="00846224"/>
    <w:rsid w:val="00846430"/>
    <w:rsid w:val="00847E6F"/>
    <w:rsid w:val="00852A6A"/>
    <w:rsid w:val="00852F43"/>
    <w:rsid w:val="00853B6E"/>
    <w:rsid w:val="00855B38"/>
    <w:rsid w:val="008562EC"/>
    <w:rsid w:val="00861960"/>
    <w:rsid w:val="00865054"/>
    <w:rsid w:val="00866DE6"/>
    <w:rsid w:val="008713AF"/>
    <w:rsid w:val="0087434F"/>
    <w:rsid w:val="0087457C"/>
    <w:rsid w:val="0088411C"/>
    <w:rsid w:val="00890B8E"/>
    <w:rsid w:val="008925C2"/>
    <w:rsid w:val="008932BA"/>
    <w:rsid w:val="0089395C"/>
    <w:rsid w:val="00897123"/>
    <w:rsid w:val="008972BA"/>
    <w:rsid w:val="008A3BF2"/>
    <w:rsid w:val="008A3D64"/>
    <w:rsid w:val="008A4017"/>
    <w:rsid w:val="008A49FD"/>
    <w:rsid w:val="008A5EAA"/>
    <w:rsid w:val="008A7063"/>
    <w:rsid w:val="008B0B39"/>
    <w:rsid w:val="008B55F6"/>
    <w:rsid w:val="008C0AEB"/>
    <w:rsid w:val="008C2847"/>
    <w:rsid w:val="008C70D8"/>
    <w:rsid w:val="008D2231"/>
    <w:rsid w:val="008D2E61"/>
    <w:rsid w:val="008D2E6D"/>
    <w:rsid w:val="008D3D90"/>
    <w:rsid w:val="008D4835"/>
    <w:rsid w:val="008E06F2"/>
    <w:rsid w:val="008E08CC"/>
    <w:rsid w:val="008E2421"/>
    <w:rsid w:val="008E2528"/>
    <w:rsid w:val="008E29E3"/>
    <w:rsid w:val="008E6F64"/>
    <w:rsid w:val="008E7BC6"/>
    <w:rsid w:val="008F235D"/>
    <w:rsid w:val="008F2E1F"/>
    <w:rsid w:val="008F507D"/>
    <w:rsid w:val="008F6265"/>
    <w:rsid w:val="00901415"/>
    <w:rsid w:val="00902348"/>
    <w:rsid w:val="00905233"/>
    <w:rsid w:val="00905DD6"/>
    <w:rsid w:val="009079B2"/>
    <w:rsid w:val="009101B9"/>
    <w:rsid w:val="00913D60"/>
    <w:rsid w:val="0091680D"/>
    <w:rsid w:val="009176DD"/>
    <w:rsid w:val="00917F92"/>
    <w:rsid w:val="009221FF"/>
    <w:rsid w:val="0093033C"/>
    <w:rsid w:val="00931EBF"/>
    <w:rsid w:val="0093303D"/>
    <w:rsid w:val="00933308"/>
    <w:rsid w:val="0093515A"/>
    <w:rsid w:val="009370B0"/>
    <w:rsid w:val="00940AAD"/>
    <w:rsid w:val="00950144"/>
    <w:rsid w:val="009506BC"/>
    <w:rsid w:val="00955714"/>
    <w:rsid w:val="00964C4D"/>
    <w:rsid w:val="00965B15"/>
    <w:rsid w:val="00966902"/>
    <w:rsid w:val="00971D6A"/>
    <w:rsid w:val="00974CD5"/>
    <w:rsid w:val="00977509"/>
    <w:rsid w:val="00977F9D"/>
    <w:rsid w:val="009838AD"/>
    <w:rsid w:val="00987356"/>
    <w:rsid w:val="00991882"/>
    <w:rsid w:val="009925CC"/>
    <w:rsid w:val="009939F8"/>
    <w:rsid w:val="00994D1E"/>
    <w:rsid w:val="00995144"/>
    <w:rsid w:val="009955BF"/>
    <w:rsid w:val="009A1F8F"/>
    <w:rsid w:val="009A2010"/>
    <w:rsid w:val="009A3CFF"/>
    <w:rsid w:val="009A4F05"/>
    <w:rsid w:val="009A644F"/>
    <w:rsid w:val="009A6897"/>
    <w:rsid w:val="009A7A9D"/>
    <w:rsid w:val="009B2B3F"/>
    <w:rsid w:val="009B4DC0"/>
    <w:rsid w:val="009B751F"/>
    <w:rsid w:val="009C200F"/>
    <w:rsid w:val="009C62EB"/>
    <w:rsid w:val="009D0D20"/>
    <w:rsid w:val="009D145C"/>
    <w:rsid w:val="009D4881"/>
    <w:rsid w:val="009E15C9"/>
    <w:rsid w:val="009E2827"/>
    <w:rsid w:val="009E2C07"/>
    <w:rsid w:val="009E3B76"/>
    <w:rsid w:val="009E6A40"/>
    <w:rsid w:val="009F1739"/>
    <w:rsid w:val="009F3008"/>
    <w:rsid w:val="009F7991"/>
    <w:rsid w:val="00A0107A"/>
    <w:rsid w:val="00A022B1"/>
    <w:rsid w:val="00A037BB"/>
    <w:rsid w:val="00A0385D"/>
    <w:rsid w:val="00A03A4B"/>
    <w:rsid w:val="00A04150"/>
    <w:rsid w:val="00A04B99"/>
    <w:rsid w:val="00A06DB2"/>
    <w:rsid w:val="00A11262"/>
    <w:rsid w:val="00A12354"/>
    <w:rsid w:val="00A127EF"/>
    <w:rsid w:val="00A148C2"/>
    <w:rsid w:val="00A16499"/>
    <w:rsid w:val="00A23AFC"/>
    <w:rsid w:val="00A25779"/>
    <w:rsid w:val="00A278B4"/>
    <w:rsid w:val="00A31343"/>
    <w:rsid w:val="00A31B26"/>
    <w:rsid w:val="00A33F3A"/>
    <w:rsid w:val="00A37867"/>
    <w:rsid w:val="00A40CC8"/>
    <w:rsid w:val="00A421D0"/>
    <w:rsid w:val="00A431A4"/>
    <w:rsid w:val="00A44743"/>
    <w:rsid w:val="00A5084F"/>
    <w:rsid w:val="00A50EFF"/>
    <w:rsid w:val="00A539E2"/>
    <w:rsid w:val="00A54558"/>
    <w:rsid w:val="00A5463E"/>
    <w:rsid w:val="00A562FC"/>
    <w:rsid w:val="00A568B2"/>
    <w:rsid w:val="00A60C88"/>
    <w:rsid w:val="00A6276B"/>
    <w:rsid w:val="00A62D61"/>
    <w:rsid w:val="00A652F6"/>
    <w:rsid w:val="00A67279"/>
    <w:rsid w:val="00A678C8"/>
    <w:rsid w:val="00A732C4"/>
    <w:rsid w:val="00A740EB"/>
    <w:rsid w:val="00A741EC"/>
    <w:rsid w:val="00A77CD2"/>
    <w:rsid w:val="00A805B8"/>
    <w:rsid w:val="00A87B96"/>
    <w:rsid w:val="00A957C8"/>
    <w:rsid w:val="00A95E77"/>
    <w:rsid w:val="00A95E79"/>
    <w:rsid w:val="00AA0235"/>
    <w:rsid w:val="00AA1CFE"/>
    <w:rsid w:val="00AA3300"/>
    <w:rsid w:val="00AA6485"/>
    <w:rsid w:val="00AA6D70"/>
    <w:rsid w:val="00AB43F6"/>
    <w:rsid w:val="00AB4D2B"/>
    <w:rsid w:val="00AC1095"/>
    <w:rsid w:val="00AC4A27"/>
    <w:rsid w:val="00AC697A"/>
    <w:rsid w:val="00AC69D7"/>
    <w:rsid w:val="00AC714B"/>
    <w:rsid w:val="00AC736A"/>
    <w:rsid w:val="00AC7F9F"/>
    <w:rsid w:val="00AD1F62"/>
    <w:rsid w:val="00AD255A"/>
    <w:rsid w:val="00AD3B65"/>
    <w:rsid w:val="00AD6753"/>
    <w:rsid w:val="00AD7BEB"/>
    <w:rsid w:val="00AE0EC6"/>
    <w:rsid w:val="00AE144F"/>
    <w:rsid w:val="00AF02B2"/>
    <w:rsid w:val="00AF1A01"/>
    <w:rsid w:val="00AF1EED"/>
    <w:rsid w:val="00AF4914"/>
    <w:rsid w:val="00AF575D"/>
    <w:rsid w:val="00AF5BAB"/>
    <w:rsid w:val="00AF6252"/>
    <w:rsid w:val="00AF7E3F"/>
    <w:rsid w:val="00B00193"/>
    <w:rsid w:val="00B02762"/>
    <w:rsid w:val="00B02C11"/>
    <w:rsid w:val="00B067FF"/>
    <w:rsid w:val="00B120A0"/>
    <w:rsid w:val="00B12896"/>
    <w:rsid w:val="00B16AF4"/>
    <w:rsid w:val="00B200DB"/>
    <w:rsid w:val="00B232C0"/>
    <w:rsid w:val="00B232FE"/>
    <w:rsid w:val="00B23C1F"/>
    <w:rsid w:val="00B254A8"/>
    <w:rsid w:val="00B26D22"/>
    <w:rsid w:val="00B3108D"/>
    <w:rsid w:val="00B32857"/>
    <w:rsid w:val="00B40FB9"/>
    <w:rsid w:val="00B4243F"/>
    <w:rsid w:val="00B4351C"/>
    <w:rsid w:val="00B447BE"/>
    <w:rsid w:val="00B44AD0"/>
    <w:rsid w:val="00B45044"/>
    <w:rsid w:val="00B4671C"/>
    <w:rsid w:val="00B529BA"/>
    <w:rsid w:val="00B54B82"/>
    <w:rsid w:val="00B5517C"/>
    <w:rsid w:val="00B57005"/>
    <w:rsid w:val="00B625DE"/>
    <w:rsid w:val="00B65EE2"/>
    <w:rsid w:val="00B66D82"/>
    <w:rsid w:val="00B67AD1"/>
    <w:rsid w:val="00B73170"/>
    <w:rsid w:val="00B7628C"/>
    <w:rsid w:val="00B76FAF"/>
    <w:rsid w:val="00B808FF"/>
    <w:rsid w:val="00B850C0"/>
    <w:rsid w:val="00B854CF"/>
    <w:rsid w:val="00B875EF"/>
    <w:rsid w:val="00B87F6C"/>
    <w:rsid w:val="00B92330"/>
    <w:rsid w:val="00B93850"/>
    <w:rsid w:val="00B93F71"/>
    <w:rsid w:val="00B96D4B"/>
    <w:rsid w:val="00BA0389"/>
    <w:rsid w:val="00BA4B73"/>
    <w:rsid w:val="00BA5AD6"/>
    <w:rsid w:val="00BB15E1"/>
    <w:rsid w:val="00BB7F4F"/>
    <w:rsid w:val="00BC46B4"/>
    <w:rsid w:val="00BD0EFE"/>
    <w:rsid w:val="00BD4EC0"/>
    <w:rsid w:val="00BD6587"/>
    <w:rsid w:val="00BD79D6"/>
    <w:rsid w:val="00BE2B90"/>
    <w:rsid w:val="00BE3091"/>
    <w:rsid w:val="00BE6DA2"/>
    <w:rsid w:val="00BF6AEE"/>
    <w:rsid w:val="00C02396"/>
    <w:rsid w:val="00C057DB"/>
    <w:rsid w:val="00C13EAB"/>
    <w:rsid w:val="00C14019"/>
    <w:rsid w:val="00C148F8"/>
    <w:rsid w:val="00C17862"/>
    <w:rsid w:val="00C216F2"/>
    <w:rsid w:val="00C274C4"/>
    <w:rsid w:val="00C3529E"/>
    <w:rsid w:val="00C352E0"/>
    <w:rsid w:val="00C36DF5"/>
    <w:rsid w:val="00C3740E"/>
    <w:rsid w:val="00C41F10"/>
    <w:rsid w:val="00C476AB"/>
    <w:rsid w:val="00C50035"/>
    <w:rsid w:val="00C5059F"/>
    <w:rsid w:val="00C5226D"/>
    <w:rsid w:val="00C57C42"/>
    <w:rsid w:val="00C619DB"/>
    <w:rsid w:val="00C65026"/>
    <w:rsid w:val="00C67589"/>
    <w:rsid w:val="00C7177C"/>
    <w:rsid w:val="00C71924"/>
    <w:rsid w:val="00C71961"/>
    <w:rsid w:val="00C71B71"/>
    <w:rsid w:val="00C728D6"/>
    <w:rsid w:val="00C74517"/>
    <w:rsid w:val="00C74905"/>
    <w:rsid w:val="00C81D3E"/>
    <w:rsid w:val="00C82990"/>
    <w:rsid w:val="00C84C41"/>
    <w:rsid w:val="00C86F61"/>
    <w:rsid w:val="00C90224"/>
    <w:rsid w:val="00C93F03"/>
    <w:rsid w:val="00C9481D"/>
    <w:rsid w:val="00C95212"/>
    <w:rsid w:val="00CA0B1C"/>
    <w:rsid w:val="00CA0EA1"/>
    <w:rsid w:val="00CA191F"/>
    <w:rsid w:val="00CA496E"/>
    <w:rsid w:val="00CA501B"/>
    <w:rsid w:val="00CA6DA2"/>
    <w:rsid w:val="00CB5DAE"/>
    <w:rsid w:val="00CC29E6"/>
    <w:rsid w:val="00CC3408"/>
    <w:rsid w:val="00CC403D"/>
    <w:rsid w:val="00CD157D"/>
    <w:rsid w:val="00CD41ED"/>
    <w:rsid w:val="00CD43D9"/>
    <w:rsid w:val="00CD5365"/>
    <w:rsid w:val="00CD55FE"/>
    <w:rsid w:val="00CE1140"/>
    <w:rsid w:val="00CE2E39"/>
    <w:rsid w:val="00CE4B6B"/>
    <w:rsid w:val="00D04CAE"/>
    <w:rsid w:val="00D06804"/>
    <w:rsid w:val="00D10EA8"/>
    <w:rsid w:val="00D14CD5"/>
    <w:rsid w:val="00D228E0"/>
    <w:rsid w:val="00D308E1"/>
    <w:rsid w:val="00D324E2"/>
    <w:rsid w:val="00D33934"/>
    <w:rsid w:val="00D47C72"/>
    <w:rsid w:val="00D52406"/>
    <w:rsid w:val="00D54186"/>
    <w:rsid w:val="00D5647F"/>
    <w:rsid w:val="00D6235D"/>
    <w:rsid w:val="00D62B42"/>
    <w:rsid w:val="00D643D6"/>
    <w:rsid w:val="00D66DC7"/>
    <w:rsid w:val="00D726B1"/>
    <w:rsid w:val="00D729D1"/>
    <w:rsid w:val="00D74A0F"/>
    <w:rsid w:val="00D76C09"/>
    <w:rsid w:val="00D7774C"/>
    <w:rsid w:val="00D8237B"/>
    <w:rsid w:val="00D8315B"/>
    <w:rsid w:val="00D832E7"/>
    <w:rsid w:val="00D865BD"/>
    <w:rsid w:val="00D91AED"/>
    <w:rsid w:val="00D91C80"/>
    <w:rsid w:val="00D94065"/>
    <w:rsid w:val="00D96DD0"/>
    <w:rsid w:val="00DA0EBC"/>
    <w:rsid w:val="00DA50D6"/>
    <w:rsid w:val="00DA6586"/>
    <w:rsid w:val="00DB0EE1"/>
    <w:rsid w:val="00DB2AB2"/>
    <w:rsid w:val="00DB4E3C"/>
    <w:rsid w:val="00DC0A88"/>
    <w:rsid w:val="00DC4925"/>
    <w:rsid w:val="00DC505F"/>
    <w:rsid w:val="00DD12C9"/>
    <w:rsid w:val="00DD4498"/>
    <w:rsid w:val="00DD6095"/>
    <w:rsid w:val="00DE3FB2"/>
    <w:rsid w:val="00DE5176"/>
    <w:rsid w:val="00DE6C13"/>
    <w:rsid w:val="00DF15D5"/>
    <w:rsid w:val="00DF2D3B"/>
    <w:rsid w:val="00DF43B8"/>
    <w:rsid w:val="00DF4C2E"/>
    <w:rsid w:val="00DF65ED"/>
    <w:rsid w:val="00DF72FC"/>
    <w:rsid w:val="00E025D4"/>
    <w:rsid w:val="00E03117"/>
    <w:rsid w:val="00E07279"/>
    <w:rsid w:val="00E1087A"/>
    <w:rsid w:val="00E14F51"/>
    <w:rsid w:val="00E154A9"/>
    <w:rsid w:val="00E21924"/>
    <w:rsid w:val="00E23886"/>
    <w:rsid w:val="00E25FF6"/>
    <w:rsid w:val="00E260EC"/>
    <w:rsid w:val="00E32569"/>
    <w:rsid w:val="00E335DA"/>
    <w:rsid w:val="00E37032"/>
    <w:rsid w:val="00E41C12"/>
    <w:rsid w:val="00E439F9"/>
    <w:rsid w:val="00E45C6A"/>
    <w:rsid w:val="00E4674C"/>
    <w:rsid w:val="00E503F8"/>
    <w:rsid w:val="00E53205"/>
    <w:rsid w:val="00E53900"/>
    <w:rsid w:val="00E53D9F"/>
    <w:rsid w:val="00E60E99"/>
    <w:rsid w:val="00E66F44"/>
    <w:rsid w:val="00E71BB0"/>
    <w:rsid w:val="00E731C8"/>
    <w:rsid w:val="00E74BAB"/>
    <w:rsid w:val="00E75789"/>
    <w:rsid w:val="00E76581"/>
    <w:rsid w:val="00E772FF"/>
    <w:rsid w:val="00E80CA1"/>
    <w:rsid w:val="00E81696"/>
    <w:rsid w:val="00E847D7"/>
    <w:rsid w:val="00E91F3F"/>
    <w:rsid w:val="00E93982"/>
    <w:rsid w:val="00E93DD9"/>
    <w:rsid w:val="00E96A6C"/>
    <w:rsid w:val="00EA19C1"/>
    <w:rsid w:val="00EA73BA"/>
    <w:rsid w:val="00EB5437"/>
    <w:rsid w:val="00EC07E4"/>
    <w:rsid w:val="00EC1B5B"/>
    <w:rsid w:val="00EC357F"/>
    <w:rsid w:val="00EC5222"/>
    <w:rsid w:val="00ED1812"/>
    <w:rsid w:val="00ED5765"/>
    <w:rsid w:val="00ED5DFE"/>
    <w:rsid w:val="00ED7468"/>
    <w:rsid w:val="00EE011A"/>
    <w:rsid w:val="00EE2B63"/>
    <w:rsid w:val="00EE3A0C"/>
    <w:rsid w:val="00EF2A1B"/>
    <w:rsid w:val="00EF5AAC"/>
    <w:rsid w:val="00EF6FED"/>
    <w:rsid w:val="00F01B28"/>
    <w:rsid w:val="00F0298C"/>
    <w:rsid w:val="00F03702"/>
    <w:rsid w:val="00F13835"/>
    <w:rsid w:val="00F14272"/>
    <w:rsid w:val="00F23090"/>
    <w:rsid w:val="00F23B0A"/>
    <w:rsid w:val="00F262CB"/>
    <w:rsid w:val="00F305FF"/>
    <w:rsid w:val="00F354B1"/>
    <w:rsid w:val="00F3647C"/>
    <w:rsid w:val="00F46CC5"/>
    <w:rsid w:val="00F51DD8"/>
    <w:rsid w:val="00F57B43"/>
    <w:rsid w:val="00F6096E"/>
    <w:rsid w:val="00F60D32"/>
    <w:rsid w:val="00F63B87"/>
    <w:rsid w:val="00F66E34"/>
    <w:rsid w:val="00F732F9"/>
    <w:rsid w:val="00F74ED8"/>
    <w:rsid w:val="00F75C7E"/>
    <w:rsid w:val="00F779CE"/>
    <w:rsid w:val="00F86FF2"/>
    <w:rsid w:val="00F87F4F"/>
    <w:rsid w:val="00F971BA"/>
    <w:rsid w:val="00FA6047"/>
    <w:rsid w:val="00FA71C3"/>
    <w:rsid w:val="00FB2F08"/>
    <w:rsid w:val="00FB7945"/>
    <w:rsid w:val="00FC3A5A"/>
    <w:rsid w:val="00FC3FE7"/>
    <w:rsid w:val="00FC4233"/>
    <w:rsid w:val="00FC572C"/>
    <w:rsid w:val="00FC71F6"/>
    <w:rsid w:val="00FD153D"/>
    <w:rsid w:val="00FD3D86"/>
    <w:rsid w:val="00FD45A9"/>
    <w:rsid w:val="00FD4FD3"/>
    <w:rsid w:val="00FD5420"/>
    <w:rsid w:val="00FD5D46"/>
    <w:rsid w:val="00FE1F56"/>
    <w:rsid w:val="00FE2660"/>
    <w:rsid w:val="00FE33DB"/>
    <w:rsid w:val="00FE5417"/>
    <w:rsid w:val="00FE6CAE"/>
    <w:rsid w:val="00FF2E98"/>
    <w:rsid w:val="00FF4869"/>
    <w:rsid w:val="00FF614E"/>
    <w:rsid w:val="00FF6CA3"/>
    <w:rsid w:val="00FF758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6F25AE10-1B56-469B-843E-C09986064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basedOn w:val="a0"/>
    <w:rPr>
      <w:color w:val="800080"/>
      <w:u w:val="single"/>
    </w:rPr>
  </w:style>
  <w:style w:type="paragraph" w:styleId="a8">
    <w:name w:val="endnote text"/>
    <w:basedOn w:val="a"/>
    <w:semiHidden/>
    <w:rPr>
      <w:sz w:val="20"/>
      <w:szCs w:val="20"/>
    </w:rPr>
  </w:style>
  <w:style w:type="character" w:styleId="a9">
    <w:name w:val="endnote reference"/>
    <w:basedOn w:val="a0"/>
    <w:semiHidden/>
    <w:rPr>
      <w:vertAlign w:val="superscript"/>
    </w:rPr>
  </w:style>
  <w:style w:type="paragraph" w:customStyle="1" w:styleId="header-2">
    <w:name w:val="header-2"/>
    <w:basedOn w:val="P00"/>
    <w:rsid w:val="00C93F03"/>
    <w:pPr>
      <w:keepNext/>
      <w:keepLines/>
      <w:tabs>
        <w:tab w:val="clear" w:pos="6259"/>
      </w:tabs>
      <w:adjustRightInd w:val="0"/>
      <w:spacing w:before="240" w:line="360" w:lineRule="atLeast"/>
      <w:jc w:val="center"/>
      <w:textAlignment w:val="baseline"/>
    </w:pPr>
    <w:rPr>
      <w:rFonts w:cs="Miriam"/>
      <w:szCs w:val="20"/>
    </w:rPr>
  </w:style>
  <w:style w:type="paragraph" w:styleId="aa">
    <w:name w:val="Balloon Text"/>
    <w:basedOn w:val="a"/>
    <w:semiHidden/>
    <w:rsid w:val="008F235D"/>
    <w:rPr>
      <w:rFonts w:ascii="Tahoma" w:hAnsi="Tahoma" w:cs="Tahoma"/>
      <w:sz w:val="16"/>
      <w:szCs w:val="16"/>
    </w:rPr>
  </w:style>
  <w:style w:type="table" w:styleId="ab">
    <w:name w:val="Table Grid"/>
    <w:basedOn w:val="a1"/>
    <w:rsid w:val="00127328"/>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14/law-1892.pdf" TargetMode="External"/><Relationship Id="rId2" Type="http://schemas.openxmlformats.org/officeDocument/2006/relationships/hyperlink" Target="http://www.nevo.co.il/Law_word/law15/HATZAOT-LAW-MEMSHALA-04A.pdf" TargetMode="External"/><Relationship Id="rId1" Type="http://schemas.openxmlformats.org/officeDocument/2006/relationships/hyperlink" Target="http://www.nevo.co.il/Law_word/law14/law-1882.pdf" TargetMode="External"/><Relationship Id="rId6" Type="http://schemas.openxmlformats.org/officeDocument/2006/relationships/hyperlink" Target="http://www.nevo.co.il/Law_word/law15/memshala-1035.pdf" TargetMode="External"/><Relationship Id="rId5" Type="http://schemas.openxmlformats.org/officeDocument/2006/relationships/hyperlink" Target="http://www.nevo.co.il/law_word/law14/law-2573.pdf" TargetMode="External"/><Relationship Id="rId4" Type="http://schemas.openxmlformats.org/officeDocument/2006/relationships/hyperlink" Target="http://www.nevo.co.il/Law_word/law15/MEMSHALA-2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1020</Words>
  <Characters>5815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6822</CharactersWithSpaces>
  <SharedDoc>false</SharedDoc>
  <HLinks>
    <vt:vector size="108" baseType="variant">
      <vt:variant>
        <vt:i4>393283</vt:i4>
      </vt:variant>
      <vt:variant>
        <vt:i4>66</vt:i4>
      </vt:variant>
      <vt:variant>
        <vt:i4>0</vt:i4>
      </vt:variant>
      <vt:variant>
        <vt:i4>5</vt:i4>
      </vt:variant>
      <vt:variant>
        <vt:lpwstr>http://www.nevo.co.il/advertisements/nevo-100.doc</vt:lpwstr>
      </vt:variant>
      <vt:variant>
        <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196634</vt:i4>
      </vt:variant>
      <vt:variant>
        <vt:i4>24</vt:i4>
      </vt:variant>
      <vt:variant>
        <vt:i4>0</vt:i4>
      </vt:variant>
      <vt:variant>
        <vt:i4>5</vt:i4>
      </vt:variant>
      <vt:variant>
        <vt:lpwstr/>
      </vt:variant>
      <vt:variant>
        <vt:lpwstr>Seif2</vt:lpwstr>
      </vt:variant>
      <vt:variant>
        <vt:i4>5701641</vt:i4>
      </vt:variant>
      <vt:variant>
        <vt:i4>18</vt:i4>
      </vt:variant>
      <vt:variant>
        <vt:i4>0</vt:i4>
      </vt:variant>
      <vt:variant>
        <vt:i4>5</vt:i4>
      </vt:variant>
      <vt:variant>
        <vt:lpwstr/>
      </vt:variant>
      <vt:variant>
        <vt:lpwstr>med2</vt:lpwstr>
      </vt:variant>
      <vt:variant>
        <vt:i4>196634</vt:i4>
      </vt:variant>
      <vt:variant>
        <vt:i4>12</vt:i4>
      </vt:variant>
      <vt:variant>
        <vt:i4>0</vt:i4>
      </vt:variant>
      <vt:variant>
        <vt:i4>5</vt:i4>
      </vt:variant>
      <vt:variant>
        <vt:lpwstr/>
      </vt:variant>
      <vt:variant>
        <vt:lpwstr>Seif1</vt:lpwstr>
      </vt:variant>
      <vt:variant>
        <vt:i4>5505033</vt:i4>
      </vt:variant>
      <vt:variant>
        <vt:i4>6</vt:i4>
      </vt:variant>
      <vt:variant>
        <vt:i4>0</vt:i4>
      </vt:variant>
      <vt:variant>
        <vt:i4>5</vt:i4>
      </vt:variant>
      <vt:variant>
        <vt:lpwstr/>
      </vt:variant>
      <vt:variant>
        <vt:lpwstr>med1</vt:lpwstr>
      </vt:variant>
      <vt:variant>
        <vt:i4>5570569</vt:i4>
      </vt:variant>
      <vt:variant>
        <vt:i4>0</vt:i4>
      </vt:variant>
      <vt:variant>
        <vt:i4>0</vt:i4>
      </vt:variant>
      <vt:variant>
        <vt:i4>5</vt:i4>
      </vt:variant>
      <vt:variant>
        <vt:lpwstr/>
      </vt:variant>
      <vt:variant>
        <vt:lpwstr>med0</vt:lpwstr>
      </vt:variant>
      <vt:variant>
        <vt:i4>1376363</vt:i4>
      </vt:variant>
      <vt:variant>
        <vt:i4>15</vt:i4>
      </vt:variant>
      <vt:variant>
        <vt:i4>0</vt:i4>
      </vt:variant>
      <vt:variant>
        <vt:i4>5</vt:i4>
      </vt:variant>
      <vt:variant>
        <vt:lpwstr>http://www.nevo.co.il/Law_word/law15/memshala-1035.pdf</vt:lpwstr>
      </vt:variant>
      <vt:variant>
        <vt:lpwstr/>
      </vt:variant>
      <vt:variant>
        <vt:i4>7995407</vt:i4>
      </vt:variant>
      <vt:variant>
        <vt:i4>12</vt:i4>
      </vt:variant>
      <vt:variant>
        <vt:i4>0</vt:i4>
      </vt:variant>
      <vt:variant>
        <vt:i4>5</vt:i4>
      </vt:variant>
      <vt:variant>
        <vt:lpwstr>http://www.nevo.co.il/law_word/law14/law-2573.pdf</vt:lpwstr>
      </vt:variant>
      <vt:variant>
        <vt:lpwstr/>
      </vt:variant>
      <vt:variant>
        <vt:i4>2424923</vt:i4>
      </vt:variant>
      <vt:variant>
        <vt:i4>9</vt:i4>
      </vt:variant>
      <vt:variant>
        <vt:i4>0</vt:i4>
      </vt:variant>
      <vt:variant>
        <vt:i4>5</vt:i4>
      </vt:variant>
      <vt:variant>
        <vt:lpwstr>http://www.nevo.co.il/Law_word/law15/MEMSHALA-25.pdf</vt:lpwstr>
      </vt:variant>
      <vt:variant>
        <vt:lpwstr/>
      </vt:variant>
      <vt:variant>
        <vt:i4>7798787</vt:i4>
      </vt:variant>
      <vt:variant>
        <vt:i4>6</vt:i4>
      </vt:variant>
      <vt:variant>
        <vt:i4>0</vt:i4>
      </vt:variant>
      <vt:variant>
        <vt:i4>5</vt:i4>
      </vt:variant>
      <vt:variant>
        <vt:lpwstr>http://www.nevo.co.il/Law_word/law14/law-1892.pdf</vt:lpwstr>
      </vt:variant>
      <vt:variant>
        <vt:lpwstr/>
      </vt:variant>
      <vt:variant>
        <vt:i4>6946839</vt:i4>
      </vt:variant>
      <vt:variant>
        <vt:i4>3</vt:i4>
      </vt:variant>
      <vt:variant>
        <vt:i4>0</vt:i4>
      </vt:variant>
      <vt:variant>
        <vt:i4>5</vt:i4>
      </vt:variant>
      <vt:variant>
        <vt:lpwstr>http://www.nevo.co.il/Law_word/law15/HATZAOT-LAW-MEMSHALA-04A.pdf</vt:lpwstr>
      </vt:variant>
      <vt:variant>
        <vt:lpwstr/>
      </vt:variant>
      <vt:variant>
        <vt:i4>7733251</vt:i4>
      </vt:variant>
      <vt:variant>
        <vt:i4>0</vt:i4>
      </vt:variant>
      <vt:variant>
        <vt:i4>0</vt:i4>
      </vt:variant>
      <vt:variant>
        <vt:i4>5</vt:i4>
      </vt:variant>
      <vt:variant>
        <vt:lpwstr>http://www.nevo.co.il/Law_word/law14/law-1882.pdf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2023-06-05T18:58:00Z</dcterms:created>
  <dcterms:modified xsi:type="dcterms:W3CDTF">2023-06-05T18:58:00Z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חוק ההסדרים במשק המדינה (תיקוני חקיקה להשגת יעדי התקציב והמדיניות הכלכלית לשנת הכספים 2003), תשס"ג-2002</vt:lpwstr>
  </property>
  <property fmtid="{D5CDD505-2E9C-101B-9397-08002B2CF9AE}" pid="4" name="LAWNUMBER">
    <vt:lpwstr>0019</vt:lpwstr>
  </property>
  <property fmtid="{D5CDD505-2E9C-101B-9397-08002B2CF9AE}" pid="5" name="TYPE">
    <vt:lpwstr>01</vt:lpwstr>
  </property>
  <property fmtid="{D5CDD505-2E9C-101B-9397-08002B2CF9AE}" pid="6" name="CHNAME">
    <vt:lpwstr>הסדרים במשק המדינה</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משפט פרטי וכלכלה</vt:lpwstr>
  </property>
  <property fmtid="{D5CDD505-2E9C-101B-9397-08002B2CF9AE}" pid="22" name="NOSE21">
    <vt:lpwstr>כספים</vt:lpwstr>
  </property>
  <property fmtid="{D5CDD505-2E9C-101B-9397-08002B2CF9AE}" pid="23" name="NOSE31">
    <vt:lpwstr>תקציב ומשק המדינה</vt:lpwstr>
  </property>
  <property fmtid="{D5CDD505-2E9C-101B-9397-08002B2CF9AE}" pid="24" name="NOSE41">
    <vt:lpwstr>השגת יעדי תקציב</vt:lpwstr>
  </property>
  <property fmtid="{D5CDD505-2E9C-101B-9397-08002B2CF9AE}" pid="25" name="NOSE12">
    <vt:lpwstr/>
  </property>
  <property fmtid="{D5CDD505-2E9C-101B-9397-08002B2CF9AE}" pid="26" name="NOSE22">
    <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SAMCHUT">
    <vt:lpwstr/>
  </property>
  <property fmtid="{D5CDD505-2E9C-101B-9397-08002B2CF9AE}" pid="62" name="LINKK1">
    <vt:lpwstr>http://www.nevo.co.il/law_word/law14/law-2573.pdf;‎רשומות - ספר חוקים#ס"ח תשע"ו מס' 2573 ‏‏#מיום 11.8.2016 עמ' 1156  – תיקון מס' 2 בסעיף 2 לחוק הבטחת הכנסה (הוראת שעה ותיקוני חקיקה), תשע"ו-‏‏2016‏</vt:lpwstr>
  </property>
</Properties>
</file>