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22C" w:rsidRDefault="00DC522C" w:rsidP="002411DE">
      <w:pPr>
        <w:pStyle w:val="big-header"/>
        <w:ind w:left="0" w:right="1134"/>
        <w:rPr>
          <w:rFonts w:cs="FrankRuehl" w:hint="cs"/>
          <w:sz w:val="32"/>
          <w:rtl/>
        </w:rPr>
      </w:pPr>
      <w:r>
        <w:rPr>
          <w:rFonts w:cs="FrankRuehl"/>
          <w:sz w:val="32"/>
          <w:rtl/>
        </w:rPr>
        <w:t>חוק החנינה, תשכ"ז</w:t>
      </w:r>
      <w:r w:rsidR="002411DE">
        <w:rPr>
          <w:rFonts w:cs="FrankRuehl" w:hint="cs"/>
          <w:sz w:val="32"/>
          <w:rtl/>
        </w:rPr>
        <w:t>-</w:t>
      </w:r>
      <w:r>
        <w:rPr>
          <w:rFonts w:cs="FrankRuehl"/>
          <w:sz w:val="32"/>
          <w:rtl/>
        </w:rPr>
        <w:t>1967</w:t>
      </w:r>
    </w:p>
    <w:p w:rsidR="000B6237" w:rsidRDefault="000B6237" w:rsidP="000B6237">
      <w:pPr>
        <w:spacing w:line="320" w:lineRule="auto"/>
        <w:jc w:val="left"/>
        <w:rPr>
          <w:rFonts w:hint="cs"/>
          <w:rtl/>
        </w:rPr>
      </w:pPr>
    </w:p>
    <w:p w:rsidR="009827A1" w:rsidRDefault="009827A1" w:rsidP="000B6237">
      <w:pPr>
        <w:spacing w:line="320" w:lineRule="auto"/>
        <w:jc w:val="left"/>
        <w:rPr>
          <w:rFonts w:hint="cs"/>
          <w:rtl/>
        </w:rPr>
      </w:pPr>
    </w:p>
    <w:p w:rsidR="000B6237" w:rsidRPr="000B6237" w:rsidRDefault="000B6237" w:rsidP="000B6237">
      <w:pPr>
        <w:spacing w:line="320" w:lineRule="auto"/>
        <w:jc w:val="left"/>
        <w:rPr>
          <w:rFonts w:cs="Miriam"/>
          <w:szCs w:val="22"/>
          <w:rtl/>
        </w:rPr>
      </w:pPr>
      <w:r w:rsidRPr="000B6237">
        <w:rPr>
          <w:rFonts w:cs="Miriam"/>
          <w:szCs w:val="22"/>
          <w:rtl/>
        </w:rPr>
        <w:t>עונשין ומשפט פלילי</w:t>
      </w:r>
      <w:r w:rsidRPr="000B6237">
        <w:rPr>
          <w:rFonts w:cs="FrankRuehl"/>
          <w:szCs w:val="26"/>
          <w:rtl/>
        </w:rPr>
        <w:t xml:space="preserve"> – חנינה</w:t>
      </w:r>
    </w:p>
    <w:p w:rsidR="00DC522C" w:rsidRDefault="00DC522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C522C">
        <w:tblPrEx>
          <w:tblCellMar>
            <w:top w:w="0" w:type="dxa"/>
            <w:bottom w:w="0" w:type="dxa"/>
          </w:tblCellMar>
        </w:tblPrEx>
        <w:tc>
          <w:tcPr>
            <w:tcW w:w="850" w:type="dxa"/>
          </w:tcPr>
          <w:p w:rsidR="00DC522C" w:rsidRDefault="00DC522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411DE">
              <w:rPr>
                <w:noProof/>
                <w:sz w:val="24"/>
                <w:rtl/>
              </w:rPr>
              <w:t>2</w:t>
            </w:r>
            <w:r>
              <w:rPr>
                <w:sz w:val="24"/>
                <w:rtl/>
              </w:rPr>
              <w:fldChar w:fldCharType="end"/>
            </w:r>
          </w:p>
        </w:tc>
        <w:tc>
          <w:tcPr>
            <w:tcW w:w="567" w:type="dxa"/>
          </w:tcPr>
          <w:p w:rsidR="00DC522C" w:rsidRDefault="00DC522C">
            <w:pPr>
              <w:spacing w:line="240" w:lineRule="auto"/>
              <w:rPr>
                <w:sz w:val="24"/>
              </w:rPr>
            </w:pPr>
            <w:hyperlink w:anchor="Seif0" w:tooltip="שחרור ופטור מעונש מאסר" w:history="1">
              <w:r>
                <w:rPr>
                  <w:rStyle w:val="Hyperlink"/>
                </w:rPr>
                <w:t>Go</w:t>
              </w:r>
            </w:hyperlink>
          </w:p>
        </w:tc>
        <w:tc>
          <w:tcPr>
            <w:tcW w:w="5669" w:type="dxa"/>
          </w:tcPr>
          <w:p w:rsidR="00DC522C" w:rsidRDefault="00DC522C">
            <w:pPr>
              <w:spacing w:line="240" w:lineRule="auto"/>
              <w:rPr>
                <w:sz w:val="24"/>
                <w:rtl/>
              </w:rPr>
            </w:pPr>
            <w:r>
              <w:rPr>
                <w:sz w:val="24"/>
                <w:rtl/>
              </w:rPr>
              <w:t>שחרור ופטור מעונש מאסר</w:t>
            </w:r>
          </w:p>
        </w:tc>
        <w:tc>
          <w:tcPr>
            <w:tcW w:w="1247" w:type="dxa"/>
          </w:tcPr>
          <w:p w:rsidR="00DC522C" w:rsidRDefault="00DC522C">
            <w:pPr>
              <w:spacing w:line="240" w:lineRule="auto"/>
              <w:rPr>
                <w:sz w:val="24"/>
              </w:rPr>
            </w:pPr>
            <w:r>
              <w:rPr>
                <w:sz w:val="24"/>
                <w:rtl/>
              </w:rPr>
              <w:t xml:space="preserve">סעיף 1 </w:t>
            </w:r>
          </w:p>
        </w:tc>
      </w:tr>
      <w:tr w:rsidR="00DC522C">
        <w:tblPrEx>
          <w:tblCellMar>
            <w:top w:w="0" w:type="dxa"/>
            <w:bottom w:w="0" w:type="dxa"/>
          </w:tblCellMar>
        </w:tblPrEx>
        <w:tc>
          <w:tcPr>
            <w:tcW w:w="850" w:type="dxa"/>
          </w:tcPr>
          <w:p w:rsidR="00DC522C" w:rsidRDefault="00DC522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411DE">
              <w:rPr>
                <w:noProof/>
                <w:sz w:val="24"/>
                <w:rtl/>
              </w:rPr>
              <w:t>2</w:t>
            </w:r>
            <w:r>
              <w:rPr>
                <w:sz w:val="24"/>
                <w:rtl/>
              </w:rPr>
              <w:fldChar w:fldCharType="end"/>
            </w:r>
          </w:p>
        </w:tc>
        <w:tc>
          <w:tcPr>
            <w:tcW w:w="567" w:type="dxa"/>
          </w:tcPr>
          <w:p w:rsidR="00DC522C" w:rsidRDefault="00DC522C">
            <w:pPr>
              <w:spacing w:line="240" w:lineRule="auto"/>
              <w:rPr>
                <w:sz w:val="24"/>
              </w:rPr>
            </w:pPr>
            <w:hyperlink w:anchor="Seif1" w:tooltip="פטור מקנס" w:history="1">
              <w:r>
                <w:rPr>
                  <w:rStyle w:val="Hyperlink"/>
                </w:rPr>
                <w:t>Go</w:t>
              </w:r>
            </w:hyperlink>
          </w:p>
        </w:tc>
        <w:tc>
          <w:tcPr>
            <w:tcW w:w="5669" w:type="dxa"/>
          </w:tcPr>
          <w:p w:rsidR="00DC522C" w:rsidRDefault="00DC522C">
            <w:pPr>
              <w:spacing w:line="240" w:lineRule="auto"/>
              <w:rPr>
                <w:sz w:val="24"/>
                <w:rtl/>
              </w:rPr>
            </w:pPr>
            <w:r>
              <w:rPr>
                <w:sz w:val="24"/>
                <w:rtl/>
              </w:rPr>
              <w:t>פטור מקנס</w:t>
            </w:r>
          </w:p>
        </w:tc>
        <w:tc>
          <w:tcPr>
            <w:tcW w:w="1247" w:type="dxa"/>
          </w:tcPr>
          <w:p w:rsidR="00DC522C" w:rsidRDefault="00DC522C">
            <w:pPr>
              <w:spacing w:line="240" w:lineRule="auto"/>
              <w:rPr>
                <w:sz w:val="24"/>
              </w:rPr>
            </w:pPr>
            <w:r>
              <w:rPr>
                <w:sz w:val="24"/>
                <w:rtl/>
              </w:rPr>
              <w:t xml:space="preserve">סעיף 2 </w:t>
            </w:r>
          </w:p>
        </w:tc>
      </w:tr>
      <w:tr w:rsidR="00DC522C">
        <w:tblPrEx>
          <w:tblCellMar>
            <w:top w:w="0" w:type="dxa"/>
            <w:bottom w:w="0" w:type="dxa"/>
          </w:tblCellMar>
        </w:tblPrEx>
        <w:tc>
          <w:tcPr>
            <w:tcW w:w="850" w:type="dxa"/>
          </w:tcPr>
          <w:p w:rsidR="00DC522C" w:rsidRDefault="00DC522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411DE">
              <w:rPr>
                <w:noProof/>
                <w:sz w:val="24"/>
                <w:rtl/>
              </w:rPr>
              <w:t>2</w:t>
            </w:r>
            <w:r>
              <w:rPr>
                <w:sz w:val="24"/>
                <w:rtl/>
              </w:rPr>
              <w:fldChar w:fldCharType="end"/>
            </w:r>
          </w:p>
        </w:tc>
        <w:tc>
          <w:tcPr>
            <w:tcW w:w="567" w:type="dxa"/>
          </w:tcPr>
          <w:p w:rsidR="00DC522C" w:rsidRDefault="00DC522C">
            <w:pPr>
              <w:spacing w:line="240" w:lineRule="auto"/>
              <w:rPr>
                <w:sz w:val="24"/>
              </w:rPr>
            </w:pPr>
            <w:hyperlink w:anchor="Seif2" w:tooltip="דינו של עונש כולל" w:history="1">
              <w:r>
                <w:rPr>
                  <w:rStyle w:val="Hyperlink"/>
                </w:rPr>
                <w:t>Go</w:t>
              </w:r>
            </w:hyperlink>
          </w:p>
        </w:tc>
        <w:tc>
          <w:tcPr>
            <w:tcW w:w="5669" w:type="dxa"/>
          </w:tcPr>
          <w:p w:rsidR="00DC522C" w:rsidRDefault="00DC522C">
            <w:pPr>
              <w:spacing w:line="240" w:lineRule="auto"/>
              <w:rPr>
                <w:sz w:val="24"/>
                <w:rtl/>
              </w:rPr>
            </w:pPr>
            <w:r>
              <w:rPr>
                <w:sz w:val="24"/>
                <w:rtl/>
              </w:rPr>
              <w:t>דינו של עונש כולל</w:t>
            </w:r>
          </w:p>
        </w:tc>
        <w:tc>
          <w:tcPr>
            <w:tcW w:w="1247" w:type="dxa"/>
          </w:tcPr>
          <w:p w:rsidR="00DC522C" w:rsidRDefault="00DC522C">
            <w:pPr>
              <w:spacing w:line="240" w:lineRule="auto"/>
              <w:rPr>
                <w:sz w:val="24"/>
              </w:rPr>
            </w:pPr>
            <w:r>
              <w:rPr>
                <w:sz w:val="24"/>
                <w:rtl/>
              </w:rPr>
              <w:t xml:space="preserve">סעיף 3 </w:t>
            </w:r>
          </w:p>
        </w:tc>
      </w:tr>
      <w:tr w:rsidR="00DC522C">
        <w:tblPrEx>
          <w:tblCellMar>
            <w:top w:w="0" w:type="dxa"/>
            <w:bottom w:w="0" w:type="dxa"/>
          </w:tblCellMar>
        </w:tblPrEx>
        <w:tc>
          <w:tcPr>
            <w:tcW w:w="850" w:type="dxa"/>
          </w:tcPr>
          <w:p w:rsidR="00DC522C" w:rsidRDefault="00DC522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411DE">
              <w:rPr>
                <w:noProof/>
                <w:sz w:val="24"/>
                <w:rtl/>
              </w:rPr>
              <w:t>3</w:t>
            </w:r>
            <w:r>
              <w:rPr>
                <w:sz w:val="24"/>
                <w:rtl/>
              </w:rPr>
              <w:fldChar w:fldCharType="end"/>
            </w:r>
          </w:p>
        </w:tc>
        <w:tc>
          <w:tcPr>
            <w:tcW w:w="567" w:type="dxa"/>
          </w:tcPr>
          <w:p w:rsidR="00DC522C" w:rsidRDefault="00DC522C">
            <w:pPr>
              <w:spacing w:line="240" w:lineRule="auto"/>
              <w:rPr>
                <w:sz w:val="24"/>
              </w:rPr>
            </w:pPr>
            <w:hyperlink w:anchor="Seif3" w:tooltip="דינו של קנס שלא נמחל" w:history="1">
              <w:r>
                <w:rPr>
                  <w:rStyle w:val="Hyperlink"/>
                </w:rPr>
                <w:t>Go</w:t>
              </w:r>
            </w:hyperlink>
          </w:p>
        </w:tc>
        <w:tc>
          <w:tcPr>
            <w:tcW w:w="5669" w:type="dxa"/>
          </w:tcPr>
          <w:p w:rsidR="00DC522C" w:rsidRDefault="00DC522C">
            <w:pPr>
              <w:spacing w:line="240" w:lineRule="auto"/>
              <w:rPr>
                <w:sz w:val="24"/>
                <w:rtl/>
              </w:rPr>
            </w:pPr>
            <w:r>
              <w:rPr>
                <w:sz w:val="24"/>
                <w:rtl/>
              </w:rPr>
              <w:t>דינו של קנס שלא נמחל</w:t>
            </w:r>
          </w:p>
        </w:tc>
        <w:tc>
          <w:tcPr>
            <w:tcW w:w="1247" w:type="dxa"/>
          </w:tcPr>
          <w:p w:rsidR="00DC522C" w:rsidRDefault="00DC522C">
            <w:pPr>
              <w:spacing w:line="240" w:lineRule="auto"/>
              <w:rPr>
                <w:sz w:val="24"/>
              </w:rPr>
            </w:pPr>
            <w:r>
              <w:rPr>
                <w:sz w:val="24"/>
                <w:rtl/>
              </w:rPr>
              <w:t xml:space="preserve">סעיף 4 </w:t>
            </w:r>
          </w:p>
        </w:tc>
      </w:tr>
      <w:tr w:rsidR="00DC522C">
        <w:tblPrEx>
          <w:tblCellMar>
            <w:top w:w="0" w:type="dxa"/>
            <w:bottom w:w="0" w:type="dxa"/>
          </w:tblCellMar>
        </w:tblPrEx>
        <w:tc>
          <w:tcPr>
            <w:tcW w:w="850" w:type="dxa"/>
          </w:tcPr>
          <w:p w:rsidR="00DC522C" w:rsidRDefault="00DC522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411DE">
              <w:rPr>
                <w:noProof/>
                <w:sz w:val="24"/>
                <w:rtl/>
              </w:rPr>
              <w:t>3</w:t>
            </w:r>
            <w:r>
              <w:rPr>
                <w:sz w:val="24"/>
                <w:rtl/>
              </w:rPr>
              <w:fldChar w:fldCharType="end"/>
            </w:r>
          </w:p>
        </w:tc>
        <w:tc>
          <w:tcPr>
            <w:tcW w:w="567" w:type="dxa"/>
          </w:tcPr>
          <w:p w:rsidR="00DC522C" w:rsidRDefault="00DC522C">
            <w:pPr>
              <w:spacing w:line="240" w:lineRule="auto"/>
              <w:rPr>
                <w:sz w:val="24"/>
              </w:rPr>
            </w:pPr>
            <w:hyperlink w:anchor="Seif4" w:tooltip="הפסקת הליכים" w:history="1">
              <w:r>
                <w:rPr>
                  <w:rStyle w:val="Hyperlink"/>
                </w:rPr>
                <w:t>Go</w:t>
              </w:r>
            </w:hyperlink>
          </w:p>
        </w:tc>
        <w:tc>
          <w:tcPr>
            <w:tcW w:w="5669" w:type="dxa"/>
          </w:tcPr>
          <w:p w:rsidR="00DC522C" w:rsidRDefault="00DC522C">
            <w:pPr>
              <w:spacing w:line="240" w:lineRule="auto"/>
              <w:rPr>
                <w:sz w:val="24"/>
                <w:rtl/>
              </w:rPr>
            </w:pPr>
            <w:r>
              <w:rPr>
                <w:sz w:val="24"/>
                <w:rtl/>
              </w:rPr>
              <w:t>הפסקת הליכים</w:t>
            </w:r>
          </w:p>
        </w:tc>
        <w:tc>
          <w:tcPr>
            <w:tcW w:w="1247" w:type="dxa"/>
          </w:tcPr>
          <w:p w:rsidR="00DC522C" w:rsidRDefault="00DC522C">
            <w:pPr>
              <w:spacing w:line="240" w:lineRule="auto"/>
              <w:rPr>
                <w:sz w:val="24"/>
              </w:rPr>
            </w:pPr>
            <w:r>
              <w:rPr>
                <w:sz w:val="24"/>
                <w:rtl/>
              </w:rPr>
              <w:t xml:space="preserve">סעיף 5 </w:t>
            </w:r>
          </w:p>
        </w:tc>
      </w:tr>
      <w:tr w:rsidR="00DC522C">
        <w:tblPrEx>
          <w:tblCellMar>
            <w:top w:w="0" w:type="dxa"/>
            <w:bottom w:w="0" w:type="dxa"/>
          </w:tblCellMar>
        </w:tblPrEx>
        <w:tc>
          <w:tcPr>
            <w:tcW w:w="850" w:type="dxa"/>
          </w:tcPr>
          <w:p w:rsidR="00DC522C" w:rsidRDefault="00DC522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411DE">
              <w:rPr>
                <w:noProof/>
                <w:sz w:val="24"/>
                <w:rtl/>
              </w:rPr>
              <w:t>3</w:t>
            </w:r>
            <w:r>
              <w:rPr>
                <w:sz w:val="24"/>
                <w:rtl/>
              </w:rPr>
              <w:fldChar w:fldCharType="end"/>
            </w:r>
          </w:p>
        </w:tc>
        <w:tc>
          <w:tcPr>
            <w:tcW w:w="567" w:type="dxa"/>
          </w:tcPr>
          <w:p w:rsidR="00DC522C" w:rsidRDefault="00DC522C">
            <w:pPr>
              <w:spacing w:line="240" w:lineRule="auto"/>
              <w:rPr>
                <w:sz w:val="24"/>
              </w:rPr>
            </w:pPr>
            <w:hyperlink w:anchor="Seif5" w:tooltip="עבירות מס הכנסה" w:history="1">
              <w:r>
                <w:rPr>
                  <w:rStyle w:val="Hyperlink"/>
                </w:rPr>
                <w:t>Go</w:t>
              </w:r>
            </w:hyperlink>
          </w:p>
        </w:tc>
        <w:tc>
          <w:tcPr>
            <w:tcW w:w="5669" w:type="dxa"/>
          </w:tcPr>
          <w:p w:rsidR="00DC522C" w:rsidRDefault="00DC522C">
            <w:pPr>
              <w:spacing w:line="240" w:lineRule="auto"/>
              <w:rPr>
                <w:sz w:val="24"/>
                <w:rtl/>
              </w:rPr>
            </w:pPr>
            <w:r>
              <w:rPr>
                <w:sz w:val="24"/>
                <w:rtl/>
              </w:rPr>
              <w:t>עבירות מס הכנסה</w:t>
            </w:r>
          </w:p>
        </w:tc>
        <w:tc>
          <w:tcPr>
            <w:tcW w:w="1247" w:type="dxa"/>
          </w:tcPr>
          <w:p w:rsidR="00DC522C" w:rsidRDefault="00DC522C">
            <w:pPr>
              <w:spacing w:line="240" w:lineRule="auto"/>
              <w:rPr>
                <w:sz w:val="24"/>
              </w:rPr>
            </w:pPr>
            <w:r>
              <w:rPr>
                <w:sz w:val="24"/>
                <w:rtl/>
              </w:rPr>
              <w:t xml:space="preserve">סעיף 6 </w:t>
            </w:r>
          </w:p>
        </w:tc>
      </w:tr>
      <w:tr w:rsidR="00DC522C">
        <w:tblPrEx>
          <w:tblCellMar>
            <w:top w:w="0" w:type="dxa"/>
            <w:bottom w:w="0" w:type="dxa"/>
          </w:tblCellMar>
        </w:tblPrEx>
        <w:tc>
          <w:tcPr>
            <w:tcW w:w="850" w:type="dxa"/>
          </w:tcPr>
          <w:p w:rsidR="00DC522C" w:rsidRDefault="00DC522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411DE">
              <w:rPr>
                <w:noProof/>
                <w:sz w:val="24"/>
                <w:rtl/>
              </w:rPr>
              <w:t>3</w:t>
            </w:r>
            <w:r>
              <w:rPr>
                <w:sz w:val="24"/>
                <w:rtl/>
              </w:rPr>
              <w:fldChar w:fldCharType="end"/>
            </w:r>
          </w:p>
        </w:tc>
        <w:tc>
          <w:tcPr>
            <w:tcW w:w="567" w:type="dxa"/>
          </w:tcPr>
          <w:p w:rsidR="00DC522C" w:rsidRDefault="00DC522C">
            <w:pPr>
              <w:spacing w:line="240" w:lineRule="auto"/>
              <w:rPr>
                <w:sz w:val="24"/>
              </w:rPr>
            </w:pPr>
            <w:hyperlink w:anchor="Seif6" w:tooltip="שמירת דינים" w:history="1">
              <w:r>
                <w:rPr>
                  <w:rStyle w:val="Hyperlink"/>
                </w:rPr>
                <w:t>Go</w:t>
              </w:r>
            </w:hyperlink>
          </w:p>
        </w:tc>
        <w:tc>
          <w:tcPr>
            <w:tcW w:w="5669" w:type="dxa"/>
          </w:tcPr>
          <w:p w:rsidR="00DC522C" w:rsidRDefault="00DC522C">
            <w:pPr>
              <w:spacing w:line="240" w:lineRule="auto"/>
              <w:rPr>
                <w:sz w:val="24"/>
                <w:rtl/>
              </w:rPr>
            </w:pPr>
            <w:r>
              <w:rPr>
                <w:sz w:val="24"/>
                <w:rtl/>
              </w:rPr>
              <w:t>שמירת דינים</w:t>
            </w:r>
          </w:p>
        </w:tc>
        <w:tc>
          <w:tcPr>
            <w:tcW w:w="1247" w:type="dxa"/>
          </w:tcPr>
          <w:p w:rsidR="00DC522C" w:rsidRDefault="00DC522C">
            <w:pPr>
              <w:spacing w:line="240" w:lineRule="auto"/>
              <w:rPr>
                <w:sz w:val="24"/>
              </w:rPr>
            </w:pPr>
            <w:r>
              <w:rPr>
                <w:sz w:val="24"/>
                <w:rtl/>
              </w:rPr>
              <w:t xml:space="preserve">סעיף 7 </w:t>
            </w:r>
          </w:p>
        </w:tc>
      </w:tr>
      <w:tr w:rsidR="00DC522C">
        <w:tblPrEx>
          <w:tblCellMar>
            <w:top w:w="0" w:type="dxa"/>
            <w:bottom w:w="0" w:type="dxa"/>
          </w:tblCellMar>
        </w:tblPrEx>
        <w:tc>
          <w:tcPr>
            <w:tcW w:w="850" w:type="dxa"/>
          </w:tcPr>
          <w:p w:rsidR="00DC522C" w:rsidRDefault="00DC522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411DE">
              <w:rPr>
                <w:noProof/>
                <w:sz w:val="24"/>
                <w:rtl/>
              </w:rPr>
              <w:t>3</w:t>
            </w:r>
            <w:r>
              <w:rPr>
                <w:sz w:val="24"/>
                <w:rtl/>
              </w:rPr>
              <w:fldChar w:fldCharType="end"/>
            </w:r>
          </w:p>
        </w:tc>
        <w:tc>
          <w:tcPr>
            <w:tcW w:w="567" w:type="dxa"/>
          </w:tcPr>
          <w:p w:rsidR="00DC522C" w:rsidRDefault="00DC522C">
            <w:pPr>
              <w:spacing w:line="240" w:lineRule="auto"/>
              <w:rPr>
                <w:sz w:val="24"/>
              </w:rPr>
            </w:pPr>
            <w:hyperlink w:anchor="Seif7" w:tooltip="ביצוע" w:history="1">
              <w:r>
                <w:rPr>
                  <w:rStyle w:val="Hyperlink"/>
                </w:rPr>
                <w:t>Go</w:t>
              </w:r>
            </w:hyperlink>
          </w:p>
        </w:tc>
        <w:tc>
          <w:tcPr>
            <w:tcW w:w="5669" w:type="dxa"/>
          </w:tcPr>
          <w:p w:rsidR="00DC522C" w:rsidRDefault="00DC522C">
            <w:pPr>
              <w:spacing w:line="240" w:lineRule="auto"/>
              <w:rPr>
                <w:sz w:val="24"/>
                <w:rtl/>
              </w:rPr>
            </w:pPr>
            <w:r>
              <w:rPr>
                <w:sz w:val="24"/>
                <w:rtl/>
              </w:rPr>
              <w:t>ביצוע</w:t>
            </w:r>
          </w:p>
        </w:tc>
        <w:tc>
          <w:tcPr>
            <w:tcW w:w="1247" w:type="dxa"/>
          </w:tcPr>
          <w:p w:rsidR="00DC522C" w:rsidRDefault="00DC522C">
            <w:pPr>
              <w:spacing w:line="240" w:lineRule="auto"/>
              <w:rPr>
                <w:sz w:val="24"/>
              </w:rPr>
            </w:pPr>
            <w:r>
              <w:rPr>
                <w:sz w:val="24"/>
                <w:rtl/>
              </w:rPr>
              <w:t xml:space="preserve">סעיף 8 </w:t>
            </w:r>
          </w:p>
        </w:tc>
      </w:tr>
    </w:tbl>
    <w:p w:rsidR="00DC522C" w:rsidRDefault="00DC522C">
      <w:pPr>
        <w:pStyle w:val="big-header"/>
        <w:ind w:left="0" w:right="1134"/>
        <w:rPr>
          <w:rFonts w:cs="FrankRuehl"/>
          <w:sz w:val="32"/>
          <w:rtl/>
        </w:rPr>
      </w:pPr>
    </w:p>
    <w:p w:rsidR="00DC522C" w:rsidRDefault="00DC522C" w:rsidP="002411DE">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החנינה, תשכ"ז</w:t>
      </w:r>
      <w:r w:rsidR="002411DE">
        <w:rPr>
          <w:rFonts w:cs="FrankRuehl" w:hint="cs"/>
          <w:sz w:val="32"/>
          <w:rtl/>
        </w:rPr>
        <w:t>-</w:t>
      </w:r>
      <w:r>
        <w:rPr>
          <w:rFonts w:cs="FrankRuehl"/>
          <w:sz w:val="32"/>
          <w:rtl/>
        </w:rPr>
        <w:t>1967</w:t>
      </w:r>
      <w:r w:rsidR="002411DE">
        <w:rPr>
          <w:rStyle w:val="a6"/>
          <w:rFonts w:cs="FrankRuehl"/>
          <w:sz w:val="32"/>
          <w:rtl/>
        </w:rPr>
        <w:footnoteReference w:customMarkFollows="1" w:id="1"/>
        <w:t>*</w:t>
      </w:r>
    </w:p>
    <w:p w:rsidR="00DC522C" w:rsidRDefault="00DC522C" w:rsidP="00F1623D">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3pt;z-index:251653632" o:allowincell="f" filled="f" stroked="f" strokecolor="lime" strokeweight=".25pt">
            <v:textbox style="mso-next-textbox:#_x0000_s1026" inset="0,0,0,0">
              <w:txbxContent>
                <w:p w:rsidR="00DC522C" w:rsidRDefault="00DC522C">
                  <w:pPr>
                    <w:spacing w:line="160" w:lineRule="exact"/>
                    <w:jc w:val="left"/>
                    <w:rPr>
                      <w:rFonts w:cs="Miriam"/>
                      <w:noProof/>
                      <w:sz w:val="18"/>
                      <w:szCs w:val="18"/>
                      <w:rtl/>
                    </w:rPr>
                  </w:pPr>
                  <w:r>
                    <w:rPr>
                      <w:rFonts w:cs="Miriam"/>
                      <w:sz w:val="18"/>
                      <w:szCs w:val="18"/>
                      <w:rtl/>
                    </w:rPr>
                    <w:t>שח</w:t>
                  </w:r>
                  <w:r>
                    <w:rPr>
                      <w:rFonts w:cs="Miriam" w:hint="cs"/>
                      <w:sz w:val="18"/>
                      <w:szCs w:val="18"/>
                      <w:rtl/>
                    </w:rPr>
                    <w:t>רור ופטור מעונש מאסר</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שלפני כ"ו באייר תשכ"ז (5 ביוני 1967) עבר עבירה פלילית וביום תחילת חוק זה הוא נושא עונש מאסר שהוטל עליו בשל אותה עבירה, ישוחרר מבית-הסוהר, ואם הוטל עליו עונש מאסר כאמור וביום תחילת חוק זה טרם התחיל </w:t>
      </w:r>
      <w:r>
        <w:rPr>
          <w:rStyle w:val="default"/>
          <w:rFonts w:cs="FrankRuehl"/>
          <w:rtl/>
        </w:rPr>
        <w:t>לש</w:t>
      </w:r>
      <w:r>
        <w:rPr>
          <w:rStyle w:val="default"/>
          <w:rFonts w:cs="FrankRuehl" w:hint="cs"/>
          <w:rtl/>
        </w:rPr>
        <w:t xml:space="preserve">אתו </w:t>
      </w:r>
      <w:r w:rsidR="00024C0B">
        <w:rPr>
          <w:rStyle w:val="default"/>
          <w:rFonts w:cs="FrankRuehl"/>
          <w:rtl/>
        </w:rPr>
        <w:t>–</w:t>
      </w:r>
      <w:r>
        <w:rPr>
          <w:rStyle w:val="default"/>
          <w:rFonts w:cs="FrankRuehl"/>
          <w:rtl/>
        </w:rPr>
        <w:t xml:space="preserve"> </w:t>
      </w:r>
      <w:r>
        <w:rPr>
          <w:rStyle w:val="default"/>
          <w:rFonts w:cs="FrankRuehl" w:hint="cs"/>
          <w:rtl/>
        </w:rPr>
        <w:t>לא ישאהו.</w:t>
      </w:r>
    </w:p>
    <w:p w:rsidR="00DC522C" w:rsidRDefault="00DC522C" w:rsidP="00F1623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w:t>
      </w:r>
      <w:r>
        <w:rPr>
          <w:rStyle w:val="default"/>
          <w:rFonts w:cs="FrankRuehl" w:hint="cs"/>
          <w:rtl/>
        </w:rPr>
        <w:t xml:space="preserve">ן סעיף זה "עונש מאסר" </w:t>
      </w:r>
      <w:r w:rsidR="00024C0B">
        <w:rPr>
          <w:rStyle w:val="default"/>
          <w:rFonts w:cs="FrankRuehl"/>
          <w:rtl/>
        </w:rPr>
        <w:t>–</w:t>
      </w:r>
      <w:r>
        <w:rPr>
          <w:rStyle w:val="default"/>
          <w:rFonts w:cs="FrankRuehl"/>
          <w:rtl/>
        </w:rPr>
        <w:t xml:space="preserve"> </w:t>
      </w:r>
      <w:r>
        <w:rPr>
          <w:rStyle w:val="default"/>
          <w:rFonts w:cs="FrankRuehl" w:hint="cs"/>
          <w:rtl/>
        </w:rPr>
        <w:t>לרבות מאסר בשל אי-תשלום קנס ומאסר על-תנאי, בין שהופעלו ובין שטרם הופעלו.</w:t>
      </w:r>
    </w:p>
    <w:p w:rsidR="00DC522C" w:rsidRDefault="00DC522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נינה לפי סעיף זה לא תחול על עונש מאסר שהוטל בשל אחת מאלה:</w:t>
      </w:r>
    </w:p>
    <w:p w:rsidR="00DC522C" w:rsidRDefault="00DC522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בירה שענשה, ביום תחילת חוק זה, מאסר עולם או מאסר עשר שנים או יו</w:t>
      </w:r>
      <w:r>
        <w:rPr>
          <w:rStyle w:val="default"/>
          <w:rFonts w:cs="FrankRuehl"/>
          <w:rtl/>
        </w:rPr>
        <w:t>תר</w:t>
      </w:r>
      <w:r>
        <w:rPr>
          <w:rStyle w:val="default"/>
          <w:rFonts w:cs="FrankRuehl" w:hint="cs"/>
          <w:rtl/>
        </w:rPr>
        <w:t>; לענין הוראה זו ענשם של נסיון וקשר לעבור עבירה הוא העונש הצפוי בשל הנסיון או הקשר;</w:t>
      </w:r>
    </w:p>
    <w:p w:rsidR="00DC522C" w:rsidRDefault="00DC522C" w:rsidP="00F1623D">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ע</w:t>
      </w:r>
      <w:r>
        <w:rPr>
          <w:rStyle w:val="default"/>
          <w:rFonts w:cs="FrankRuehl" w:hint="cs"/>
          <w:rtl/>
        </w:rPr>
        <w:t>בירה לפי החוק בדבר מניעתו וענישתו של הפשע</w:t>
      </w:r>
      <w:r>
        <w:rPr>
          <w:rStyle w:val="default"/>
          <w:rFonts w:cs="FrankRuehl"/>
          <w:rtl/>
        </w:rPr>
        <w:t xml:space="preserve"> ה</w:t>
      </w:r>
      <w:r>
        <w:rPr>
          <w:rStyle w:val="default"/>
          <w:rFonts w:cs="FrankRuehl" w:hint="cs"/>
          <w:rtl/>
        </w:rPr>
        <w:t>שמדת עם, תש"י</w:t>
      </w:r>
      <w:r w:rsidR="00F1623D">
        <w:rPr>
          <w:rStyle w:val="default"/>
          <w:rFonts w:cs="FrankRuehl" w:hint="cs"/>
          <w:rtl/>
        </w:rPr>
        <w:t>-</w:t>
      </w:r>
      <w:r>
        <w:rPr>
          <w:rStyle w:val="default"/>
          <w:rFonts w:cs="FrankRuehl"/>
          <w:rtl/>
        </w:rPr>
        <w:t xml:space="preserve">1950, </w:t>
      </w:r>
      <w:r>
        <w:rPr>
          <w:rStyle w:val="default"/>
          <w:rFonts w:cs="FrankRuehl" w:hint="cs"/>
          <w:rtl/>
        </w:rPr>
        <w:t>או לפי החוק לעשיית דין בנאצים ובעוזריהם, תש"י</w:t>
      </w:r>
      <w:r w:rsidR="00F1623D">
        <w:rPr>
          <w:rStyle w:val="default"/>
          <w:rFonts w:cs="FrankRuehl" w:hint="cs"/>
          <w:rtl/>
        </w:rPr>
        <w:t>-</w:t>
      </w:r>
      <w:r>
        <w:rPr>
          <w:rStyle w:val="default"/>
          <w:rFonts w:cs="FrankRuehl"/>
          <w:rtl/>
        </w:rPr>
        <w:t>1950;</w:t>
      </w:r>
    </w:p>
    <w:p w:rsidR="00DC522C" w:rsidRDefault="00DC522C" w:rsidP="00F1623D">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בירה לפי החוק לתיקון דיני העונשין (בטחון המד</w:t>
      </w:r>
      <w:r>
        <w:rPr>
          <w:rStyle w:val="default"/>
          <w:rFonts w:cs="FrankRuehl"/>
          <w:rtl/>
        </w:rPr>
        <w:t>ינ</w:t>
      </w:r>
      <w:r>
        <w:rPr>
          <w:rStyle w:val="default"/>
          <w:rFonts w:cs="FrankRuehl" w:hint="cs"/>
          <w:rtl/>
        </w:rPr>
        <w:t>ה, יחסי חוץ וסודות רשמיי</w:t>
      </w:r>
      <w:r>
        <w:rPr>
          <w:rStyle w:val="default"/>
          <w:rFonts w:cs="FrankRuehl"/>
          <w:rtl/>
        </w:rPr>
        <w:t>ם</w:t>
      </w:r>
      <w:r>
        <w:rPr>
          <w:rStyle w:val="default"/>
          <w:rFonts w:cs="FrankRuehl" w:hint="cs"/>
          <w:rtl/>
        </w:rPr>
        <w:t>), תשי"ז</w:t>
      </w:r>
      <w:r w:rsidR="00F1623D">
        <w:rPr>
          <w:rStyle w:val="default"/>
          <w:rFonts w:cs="FrankRuehl" w:hint="cs"/>
          <w:rtl/>
        </w:rPr>
        <w:t>-</w:t>
      </w:r>
      <w:r>
        <w:rPr>
          <w:rStyle w:val="default"/>
          <w:rFonts w:cs="FrankRuehl"/>
          <w:rtl/>
        </w:rPr>
        <w:t xml:space="preserve">1957, </w:t>
      </w:r>
      <w:r>
        <w:rPr>
          <w:rStyle w:val="default"/>
          <w:rFonts w:cs="FrankRuehl" w:hint="cs"/>
          <w:rtl/>
        </w:rPr>
        <w:t>למעט הפרק החמישי שבו, לפי פקודת הסודות הרשמיים, לפי חוק מניעת הסתננות (עבירות ושיפוט), תשי"ד</w:t>
      </w:r>
      <w:r w:rsidR="00F1623D">
        <w:rPr>
          <w:rStyle w:val="default"/>
          <w:rFonts w:cs="FrankRuehl" w:hint="cs"/>
          <w:rtl/>
        </w:rPr>
        <w:t>-</w:t>
      </w:r>
      <w:r>
        <w:rPr>
          <w:rStyle w:val="default"/>
          <w:rFonts w:cs="FrankRuehl"/>
          <w:rtl/>
        </w:rPr>
        <w:t xml:space="preserve">1954, </w:t>
      </w:r>
      <w:r>
        <w:rPr>
          <w:rStyle w:val="default"/>
          <w:rFonts w:cs="FrankRuehl" w:hint="cs"/>
          <w:rtl/>
        </w:rPr>
        <w:t>לפי סעיף 35(ב) לחוק שירות בטחון, תשי"ט</w:t>
      </w:r>
      <w:r w:rsidR="00F1623D">
        <w:rPr>
          <w:rStyle w:val="default"/>
          <w:rFonts w:cs="FrankRuehl" w:hint="cs"/>
          <w:rtl/>
        </w:rPr>
        <w:t>-</w:t>
      </w:r>
      <w:r>
        <w:rPr>
          <w:rStyle w:val="default"/>
          <w:rFonts w:cs="FrankRuehl"/>
          <w:rtl/>
        </w:rPr>
        <w:t>1959 [</w:t>
      </w:r>
      <w:r>
        <w:rPr>
          <w:rStyle w:val="default"/>
          <w:rFonts w:cs="FrankRuehl" w:hint="cs"/>
          <w:rtl/>
        </w:rPr>
        <w:t>נוסח משולב], לפי תקנה 80 לתקנות-שעת-חירום (חוקת השיפוט, תש"ח), תש"ח</w:t>
      </w:r>
      <w:r w:rsidR="00F1623D">
        <w:rPr>
          <w:rStyle w:val="default"/>
          <w:rFonts w:cs="FrankRuehl" w:hint="cs"/>
          <w:rtl/>
        </w:rPr>
        <w:t>-</w:t>
      </w:r>
      <w:r>
        <w:rPr>
          <w:rStyle w:val="default"/>
          <w:rFonts w:cs="FrankRuehl"/>
          <w:rtl/>
        </w:rPr>
        <w:t>1948 א</w:t>
      </w:r>
      <w:r>
        <w:rPr>
          <w:rStyle w:val="default"/>
          <w:rFonts w:cs="FrankRuehl" w:hint="cs"/>
          <w:rtl/>
        </w:rPr>
        <w:t>ו לפי סעיפים 94 או 102</w:t>
      </w:r>
      <w:r>
        <w:rPr>
          <w:rStyle w:val="default"/>
          <w:rFonts w:cs="FrankRuehl"/>
          <w:rtl/>
        </w:rPr>
        <w:t xml:space="preserve"> </w:t>
      </w:r>
      <w:r>
        <w:rPr>
          <w:rStyle w:val="default"/>
          <w:rFonts w:cs="FrankRuehl" w:hint="cs"/>
          <w:rtl/>
        </w:rPr>
        <w:t>רישה לחוק השיפוט הצבאי, תשט"ו</w:t>
      </w:r>
      <w:r w:rsidR="00F1623D">
        <w:rPr>
          <w:rStyle w:val="default"/>
          <w:rFonts w:cs="FrankRuehl" w:hint="cs"/>
          <w:rtl/>
        </w:rPr>
        <w:t>-</w:t>
      </w:r>
      <w:r>
        <w:rPr>
          <w:rStyle w:val="default"/>
          <w:rFonts w:cs="FrankRuehl"/>
          <w:rtl/>
        </w:rPr>
        <w:t>1955;</w:t>
      </w:r>
    </w:p>
    <w:p w:rsidR="00DC522C" w:rsidRDefault="00DC522C">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בירה לפי פרק ל"ג לפקודת החוק הפלילי, 1936,</w:t>
      </w:r>
      <w:r>
        <w:rPr>
          <w:rStyle w:val="default"/>
          <w:rFonts w:cs="FrankRuehl"/>
          <w:rtl/>
        </w:rPr>
        <w:t xml:space="preserve"> ש</w:t>
      </w:r>
      <w:r>
        <w:rPr>
          <w:rStyle w:val="default"/>
          <w:rFonts w:cs="FrankRuehl" w:hint="cs"/>
          <w:rtl/>
        </w:rPr>
        <w:t>נעברה על ידי אדם שכבר הורשע בשל עבירה לפי אותו פרק או לפי פרקים כ"ט או ל"ב באותה פקודה;</w:t>
      </w:r>
    </w:p>
    <w:p w:rsidR="00DC522C" w:rsidRDefault="00DC522C" w:rsidP="00F1623D">
      <w:pPr>
        <w:pStyle w:val="P22"/>
        <w:spacing w:before="72"/>
        <w:ind w:left="1021" w:right="1134"/>
        <w:rPr>
          <w:rFonts w:cs="FrankRuehl" w:hint="cs"/>
          <w:sz w:val="26"/>
          <w:rtl/>
        </w:rPr>
      </w:pPr>
      <w:r>
        <w:rPr>
          <w:rStyle w:val="default"/>
          <w:rFonts w:cs="FrankRuehl" w:hint="cs"/>
          <w:rtl/>
        </w:rPr>
        <w:t>(5)</w:t>
      </w:r>
      <w:r>
        <w:rPr>
          <w:rStyle w:val="default"/>
          <w:rFonts w:cs="FrankRuehl"/>
          <w:rtl/>
        </w:rPr>
        <w:tab/>
        <w:t>ע</w:t>
      </w:r>
      <w:r>
        <w:rPr>
          <w:rStyle w:val="default"/>
          <w:rFonts w:cs="FrankRuehl" w:hint="cs"/>
          <w:rtl/>
        </w:rPr>
        <w:t>בירה לפי החוק לתיקון דיני העונשין (עבירות מרמה, סח</w:t>
      </w:r>
      <w:r>
        <w:rPr>
          <w:rStyle w:val="default"/>
          <w:rFonts w:cs="FrankRuehl"/>
          <w:rtl/>
        </w:rPr>
        <w:t>יט</w:t>
      </w:r>
      <w:r>
        <w:rPr>
          <w:rStyle w:val="default"/>
          <w:rFonts w:cs="FrankRuehl" w:hint="cs"/>
          <w:rtl/>
        </w:rPr>
        <w:t>ה ועושק), תשכ"ג</w:t>
      </w:r>
      <w:r w:rsidR="00F1623D">
        <w:rPr>
          <w:rStyle w:val="default"/>
          <w:rFonts w:cs="FrankRuehl" w:hint="cs"/>
          <w:rtl/>
        </w:rPr>
        <w:t>-</w:t>
      </w:r>
      <w:r>
        <w:rPr>
          <w:rStyle w:val="default"/>
          <w:rFonts w:cs="FrankRuehl"/>
          <w:rtl/>
        </w:rPr>
        <w:t xml:space="preserve">1963, </w:t>
      </w:r>
      <w:r>
        <w:rPr>
          <w:rStyle w:val="default"/>
          <w:rFonts w:cs="FrankRuehl" w:hint="cs"/>
          <w:rtl/>
        </w:rPr>
        <w:t>לפ</w:t>
      </w:r>
      <w:r>
        <w:rPr>
          <w:rStyle w:val="default"/>
          <w:rFonts w:cs="FrankRuehl"/>
          <w:rtl/>
        </w:rPr>
        <w:t>י</w:t>
      </w:r>
      <w:r>
        <w:rPr>
          <w:rStyle w:val="default"/>
          <w:rFonts w:cs="FrankRuehl" w:hint="cs"/>
          <w:rtl/>
        </w:rPr>
        <w:t xml:space="preserve"> סעיפי פקודת החוק הפלילי, 1936, שאותו חוק ביטל, או לפי סעיפים 275, 276 או 305 לפקודת החוק הפלילי, 1936, כשהעבירה או העבירות שצורפו בכתב אישום אחד נוגעות לנושא או לנושאים, ששוויים הכולל </w:t>
      </w:r>
      <w:r>
        <w:rPr>
          <w:lang w:val="he-IL"/>
        </w:rPr>
        <w:pict>
          <v:rect id="_x0000_s1027" style="position:absolute;left:0;text-align:left;margin-left:464.5pt;margin-top:8.05pt;width:75.05pt;height:12.4pt;z-index:251654656;mso-position-horizontal-relative:text;mso-position-vertical-relative:text" o:allowincell="f" filled="f" stroked="f" strokecolor="lime" strokeweight=".25pt">
            <v:textbox style="mso-next-textbox:#_x0000_s1027" inset="0,0,0,0">
              <w:txbxContent>
                <w:p w:rsidR="00DC522C" w:rsidRDefault="00DC522C" w:rsidP="002411DE">
                  <w:pPr>
                    <w:spacing w:line="160" w:lineRule="exact"/>
                    <w:jc w:val="left"/>
                    <w:rPr>
                      <w:rFonts w:cs="Miriam"/>
                      <w:noProof/>
                      <w:sz w:val="18"/>
                      <w:szCs w:val="18"/>
                      <w:rtl/>
                    </w:rPr>
                  </w:pPr>
                  <w:r>
                    <w:rPr>
                      <w:rFonts w:cs="Miriam"/>
                      <w:sz w:val="18"/>
                      <w:szCs w:val="18"/>
                      <w:rtl/>
                    </w:rPr>
                    <w:t>ת"</w:t>
                  </w:r>
                  <w:r>
                    <w:rPr>
                      <w:rFonts w:cs="Miriam" w:hint="cs"/>
                      <w:sz w:val="18"/>
                      <w:szCs w:val="18"/>
                      <w:rtl/>
                    </w:rPr>
                    <w:t>ט תשכ"ז</w:t>
                  </w:r>
                  <w:r w:rsidR="002411DE">
                    <w:rPr>
                      <w:rFonts w:cs="Miriam" w:hint="cs"/>
                      <w:sz w:val="18"/>
                      <w:szCs w:val="18"/>
                      <w:rtl/>
                    </w:rPr>
                    <w:t>-</w:t>
                  </w:r>
                  <w:r>
                    <w:rPr>
                      <w:rFonts w:cs="Miriam"/>
                      <w:sz w:val="18"/>
                      <w:szCs w:val="18"/>
                      <w:rtl/>
                    </w:rPr>
                    <w:t>1967</w:t>
                  </w:r>
                </w:p>
              </w:txbxContent>
            </v:textbox>
            <w10:anchorlock/>
          </v:rect>
        </w:pict>
      </w:r>
      <w:r>
        <w:rPr>
          <w:rFonts w:cs="FrankRuehl"/>
          <w:sz w:val="26"/>
          <w:rtl/>
        </w:rPr>
        <w:t>הו</w:t>
      </w:r>
      <w:r>
        <w:rPr>
          <w:rFonts w:cs="FrankRuehl" w:hint="cs"/>
          <w:sz w:val="26"/>
          <w:rtl/>
        </w:rPr>
        <w:t>א 100,000 לירות או יותר;</w:t>
      </w:r>
    </w:p>
    <w:p w:rsidR="00DC522C" w:rsidRDefault="00DC522C" w:rsidP="00F1623D">
      <w:pPr>
        <w:pStyle w:val="P22"/>
        <w:spacing w:before="72"/>
        <w:ind w:left="1021" w:right="1134"/>
        <w:rPr>
          <w:rStyle w:val="default"/>
          <w:rFonts w:cs="FrankRuehl"/>
          <w:rtl/>
        </w:rPr>
      </w:pPr>
      <w:r>
        <w:rPr>
          <w:rStyle w:val="default"/>
          <w:rFonts w:cs="FrankRuehl"/>
          <w:rtl/>
        </w:rPr>
        <w:t>(6)</w:t>
      </w:r>
      <w:r>
        <w:rPr>
          <w:rStyle w:val="default"/>
          <w:rFonts w:cs="FrankRuehl"/>
          <w:rtl/>
        </w:rPr>
        <w:tab/>
        <w:t>ע</w:t>
      </w:r>
      <w:r>
        <w:rPr>
          <w:rStyle w:val="default"/>
          <w:rFonts w:cs="FrankRuehl" w:hint="cs"/>
          <w:rtl/>
        </w:rPr>
        <w:t>בירה לפי החוק לתיקון דיני העונשין (עבירות זנות), תשכ"ב</w:t>
      </w:r>
      <w:r w:rsidR="00F1623D">
        <w:rPr>
          <w:rStyle w:val="default"/>
          <w:rFonts w:cs="FrankRuehl" w:hint="cs"/>
          <w:rtl/>
        </w:rPr>
        <w:t>-</w:t>
      </w:r>
      <w:r>
        <w:rPr>
          <w:rStyle w:val="default"/>
          <w:rFonts w:cs="FrankRuehl"/>
          <w:rtl/>
        </w:rPr>
        <w:t>1962.</w:t>
      </w:r>
    </w:p>
    <w:p w:rsidR="00DC522C" w:rsidRDefault="00DC522C" w:rsidP="00F1623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ונש מאסר שהוטל בשל עבירה שענשה מאסר עשר שנים </w:t>
      </w:r>
      <w:r w:rsidR="00024C0B">
        <w:rPr>
          <w:rStyle w:val="default"/>
          <w:rFonts w:cs="FrankRuehl"/>
          <w:rtl/>
        </w:rPr>
        <w:t>–</w:t>
      </w:r>
      <w:r>
        <w:rPr>
          <w:rStyle w:val="default"/>
          <w:rFonts w:cs="FrankRuehl"/>
          <w:rtl/>
        </w:rPr>
        <w:t xml:space="preserve"> </w:t>
      </w:r>
      <w:r>
        <w:rPr>
          <w:rStyle w:val="default"/>
          <w:rFonts w:cs="FrankRuehl" w:hint="cs"/>
          <w:rtl/>
        </w:rPr>
        <w:t>זולת עבירה מן המ</w:t>
      </w:r>
      <w:r>
        <w:rPr>
          <w:rStyle w:val="default"/>
          <w:rFonts w:cs="FrankRuehl"/>
          <w:rtl/>
        </w:rPr>
        <w:t>נו</w:t>
      </w:r>
      <w:r>
        <w:rPr>
          <w:rStyle w:val="default"/>
          <w:rFonts w:cs="FrankRuehl" w:hint="cs"/>
          <w:rtl/>
        </w:rPr>
        <w:t xml:space="preserve">יות בסעיף קטן (ג)(2) עד (6) </w:t>
      </w:r>
      <w:r w:rsidR="00024C0B">
        <w:rPr>
          <w:rStyle w:val="default"/>
          <w:rFonts w:cs="FrankRuehl"/>
          <w:rtl/>
        </w:rPr>
        <w:t>–</w:t>
      </w:r>
      <w:r>
        <w:rPr>
          <w:rStyle w:val="default"/>
          <w:rFonts w:cs="FrankRuehl"/>
          <w:rtl/>
        </w:rPr>
        <w:t xml:space="preserve"> </w:t>
      </w:r>
      <w:r>
        <w:rPr>
          <w:rStyle w:val="default"/>
          <w:rFonts w:cs="FrankRuehl" w:hint="cs"/>
          <w:rtl/>
        </w:rPr>
        <w:t>רואים את תקופת המאסר, על אף האמור בסעיף קטן (ג)(1), כאילו היתה מלכתחילה פחותה ברבע.</w:t>
      </w:r>
    </w:p>
    <w:p w:rsidR="00D6033B" w:rsidRPr="00F1623D" w:rsidRDefault="00D6033B" w:rsidP="00467E49">
      <w:pPr>
        <w:pStyle w:val="P00"/>
        <w:tabs>
          <w:tab w:val="clear" w:pos="6259"/>
        </w:tabs>
        <w:spacing w:before="0"/>
        <w:ind w:left="1021" w:right="1134"/>
        <w:rPr>
          <w:rFonts w:cs="FrankRuehl" w:hint="cs"/>
          <w:vanish/>
          <w:szCs w:val="20"/>
          <w:shd w:val="clear" w:color="auto" w:fill="FFFF99"/>
          <w:rtl/>
        </w:rPr>
      </w:pPr>
      <w:bookmarkStart w:id="1" w:name="Rov10"/>
      <w:r w:rsidRPr="00F1623D">
        <w:rPr>
          <w:rFonts w:cs="FrankRuehl" w:hint="cs"/>
          <w:vanish/>
          <w:color w:val="FF0000"/>
          <w:szCs w:val="20"/>
          <w:shd w:val="clear" w:color="auto" w:fill="FFFF99"/>
          <w:rtl/>
        </w:rPr>
        <w:t xml:space="preserve">מיום </w:t>
      </w:r>
      <w:r w:rsidR="00467E49" w:rsidRPr="00F1623D">
        <w:rPr>
          <w:rFonts w:cs="FrankRuehl" w:hint="cs"/>
          <w:vanish/>
          <w:color w:val="FF0000"/>
          <w:szCs w:val="20"/>
          <w:shd w:val="clear" w:color="auto" w:fill="FFFF99"/>
          <w:rtl/>
        </w:rPr>
        <w:t>20</w:t>
      </w:r>
      <w:r w:rsidRPr="00F1623D">
        <w:rPr>
          <w:rFonts w:cs="FrankRuehl" w:hint="cs"/>
          <w:vanish/>
          <w:color w:val="FF0000"/>
          <w:szCs w:val="20"/>
          <w:shd w:val="clear" w:color="auto" w:fill="FFFF99"/>
          <w:rtl/>
        </w:rPr>
        <w:t>.</w:t>
      </w:r>
      <w:r w:rsidR="00467E49" w:rsidRPr="00F1623D">
        <w:rPr>
          <w:rFonts w:cs="FrankRuehl" w:hint="cs"/>
          <w:vanish/>
          <w:color w:val="FF0000"/>
          <w:szCs w:val="20"/>
          <w:shd w:val="clear" w:color="auto" w:fill="FFFF99"/>
          <w:rtl/>
        </w:rPr>
        <w:t>7</w:t>
      </w:r>
      <w:r w:rsidRPr="00F1623D">
        <w:rPr>
          <w:rFonts w:cs="FrankRuehl" w:hint="cs"/>
          <w:vanish/>
          <w:color w:val="FF0000"/>
          <w:szCs w:val="20"/>
          <w:shd w:val="clear" w:color="auto" w:fill="FFFF99"/>
          <w:rtl/>
        </w:rPr>
        <w:t>.19</w:t>
      </w:r>
      <w:r w:rsidR="00467E49" w:rsidRPr="00F1623D">
        <w:rPr>
          <w:rFonts w:cs="FrankRuehl" w:hint="cs"/>
          <w:vanish/>
          <w:color w:val="FF0000"/>
          <w:szCs w:val="20"/>
          <w:shd w:val="clear" w:color="auto" w:fill="FFFF99"/>
          <w:rtl/>
        </w:rPr>
        <w:t>6</w:t>
      </w:r>
      <w:r w:rsidRPr="00F1623D">
        <w:rPr>
          <w:rFonts w:cs="FrankRuehl" w:hint="cs"/>
          <w:vanish/>
          <w:color w:val="FF0000"/>
          <w:szCs w:val="20"/>
          <w:shd w:val="clear" w:color="auto" w:fill="FFFF99"/>
          <w:rtl/>
        </w:rPr>
        <w:t>7</w:t>
      </w:r>
    </w:p>
    <w:p w:rsidR="00D6033B" w:rsidRPr="00F1623D" w:rsidRDefault="00467E49" w:rsidP="00D6033B">
      <w:pPr>
        <w:pStyle w:val="P00"/>
        <w:spacing w:before="0"/>
        <w:ind w:left="1021" w:right="1134"/>
        <w:rPr>
          <w:rFonts w:cs="FrankRuehl" w:hint="cs"/>
          <w:b/>
          <w:bCs/>
          <w:vanish/>
          <w:szCs w:val="20"/>
          <w:shd w:val="clear" w:color="auto" w:fill="FFFF99"/>
          <w:rtl/>
        </w:rPr>
      </w:pPr>
      <w:r w:rsidRPr="00F1623D">
        <w:rPr>
          <w:rFonts w:cs="FrankRuehl" w:hint="cs"/>
          <w:b/>
          <w:bCs/>
          <w:vanish/>
          <w:szCs w:val="20"/>
          <w:shd w:val="clear" w:color="auto" w:fill="FFFF99"/>
          <w:rtl/>
        </w:rPr>
        <w:t>ת"ט תשכ"ז-1967</w:t>
      </w:r>
    </w:p>
    <w:p w:rsidR="00D6033B" w:rsidRPr="00F1623D" w:rsidRDefault="00467E49" w:rsidP="00467E49">
      <w:pPr>
        <w:pStyle w:val="P00"/>
        <w:spacing w:before="0"/>
        <w:ind w:left="1021" w:right="1134"/>
        <w:rPr>
          <w:rFonts w:cs="FrankRuehl" w:hint="cs"/>
          <w:vanish/>
          <w:szCs w:val="20"/>
          <w:shd w:val="clear" w:color="auto" w:fill="FFFF99"/>
          <w:rtl/>
        </w:rPr>
      </w:pPr>
      <w:hyperlink r:id="rId6" w:history="1">
        <w:r w:rsidRPr="00F1623D">
          <w:rPr>
            <w:rStyle w:val="Hyperlink"/>
            <w:rFonts w:cs="FrankRuehl" w:hint="cs"/>
            <w:vanish/>
            <w:szCs w:val="20"/>
            <w:shd w:val="clear" w:color="auto" w:fill="FFFF99"/>
            <w:rtl/>
          </w:rPr>
          <w:t>ס"ח תשכ"ז מס' 503</w:t>
        </w:r>
      </w:hyperlink>
      <w:r w:rsidR="00D6033B" w:rsidRPr="00F1623D">
        <w:rPr>
          <w:rFonts w:cs="FrankRuehl" w:hint="cs"/>
          <w:vanish/>
          <w:szCs w:val="20"/>
          <w:shd w:val="clear" w:color="auto" w:fill="FFFF99"/>
          <w:rtl/>
        </w:rPr>
        <w:t xml:space="preserve"> מיום </w:t>
      </w:r>
      <w:r w:rsidRPr="00F1623D">
        <w:rPr>
          <w:rFonts w:cs="FrankRuehl" w:hint="cs"/>
          <w:vanish/>
          <w:szCs w:val="20"/>
          <w:shd w:val="clear" w:color="auto" w:fill="FFFF99"/>
          <w:rtl/>
        </w:rPr>
        <w:t>20</w:t>
      </w:r>
      <w:r w:rsidR="00D6033B" w:rsidRPr="00F1623D">
        <w:rPr>
          <w:rFonts w:cs="FrankRuehl" w:hint="cs"/>
          <w:vanish/>
          <w:szCs w:val="20"/>
          <w:shd w:val="clear" w:color="auto" w:fill="FFFF99"/>
          <w:rtl/>
        </w:rPr>
        <w:t>.</w:t>
      </w:r>
      <w:r w:rsidRPr="00F1623D">
        <w:rPr>
          <w:rFonts w:cs="FrankRuehl" w:hint="cs"/>
          <w:vanish/>
          <w:szCs w:val="20"/>
          <w:shd w:val="clear" w:color="auto" w:fill="FFFF99"/>
          <w:rtl/>
        </w:rPr>
        <w:t>7</w:t>
      </w:r>
      <w:r w:rsidR="00D6033B" w:rsidRPr="00F1623D">
        <w:rPr>
          <w:rFonts w:cs="FrankRuehl" w:hint="cs"/>
          <w:vanish/>
          <w:szCs w:val="20"/>
          <w:shd w:val="clear" w:color="auto" w:fill="FFFF99"/>
          <w:rtl/>
        </w:rPr>
        <w:t>.19</w:t>
      </w:r>
      <w:r w:rsidRPr="00F1623D">
        <w:rPr>
          <w:rFonts w:cs="FrankRuehl" w:hint="cs"/>
          <w:vanish/>
          <w:szCs w:val="20"/>
          <w:shd w:val="clear" w:color="auto" w:fill="FFFF99"/>
          <w:rtl/>
        </w:rPr>
        <w:t>6</w:t>
      </w:r>
      <w:r w:rsidR="00D6033B" w:rsidRPr="00F1623D">
        <w:rPr>
          <w:rFonts w:cs="FrankRuehl" w:hint="cs"/>
          <w:vanish/>
          <w:szCs w:val="20"/>
          <w:shd w:val="clear" w:color="auto" w:fill="FFFF99"/>
          <w:rtl/>
        </w:rPr>
        <w:t xml:space="preserve">7 עמ' </w:t>
      </w:r>
      <w:r w:rsidRPr="00F1623D">
        <w:rPr>
          <w:rFonts w:cs="FrankRuehl" w:hint="cs"/>
          <w:vanish/>
          <w:szCs w:val="20"/>
          <w:shd w:val="clear" w:color="auto" w:fill="FFFF99"/>
          <w:rtl/>
        </w:rPr>
        <w:t>95</w:t>
      </w:r>
    </w:p>
    <w:p w:rsidR="002B74C9" w:rsidRPr="000B10BD" w:rsidRDefault="002B74C9" w:rsidP="00F1623D">
      <w:pPr>
        <w:pStyle w:val="P22"/>
        <w:ind w:left="1021" w:right="1134"/>
        <w:rPr>
          <w:rFonts w:cs="FrankRuehl" w:hint="cs"/>
          <w:sz w:val="2"/>
          <w:szCs w:val="2"/>
          <w:rtl/>
        </w:rPr>
      </w:pPr>
      <w:r w:rsidRPr="00F1623D">
        <w:rPr>
          <w:rStyle w:val="default"/>
          <w:rFonts w:cs="FrankRuehl" w:hint="cs"/>
          <w:vanish/>
          <w:sz w:val="22"/>
          <w:szCs w:val="22"/>
          <w:shd w:val="clear" w:color="auto" w:fill="FFFF99"/>
          <w:rtl/>
        </w:rPr>
        <w:t>(5)</w:t>
      </w:r>
      <w:r w:rsidRPr="00F1623D">
        <w:rPr>
          <w:rStyle w:val="default"/>
          <w:rFonts w:cs="FrankRuehl"/>
          <w:vanish/>
          <w:sz w:val="22"/>
          <w:szCs w:val="22"/>
          <w:shd w:val="clear" w:color="auto" w:fill="FFFF99"/>
          <w:rtl/>
        </w:rPr>
        <w:tab/>
        <w:t>ע</w:t>
      </w:r>
      <w:r w:rsidRPr="00F1623D">
        <w:rPr>
          <w:rStyle w:val="default"/>
          <w:rFonts w:cs="FrankRuehl" w:hint="cs"/>
          <w:vanish/>
          <w:sz w:val="22"/>
          <w:szCs w:val="22"/>
          <w:shd w:val="clear" w:color="auto" w:fill="FFFF99"/>
          <w:rtl/>
        </w:rPr>
        <w:t>בירה לפי החוק לתיקון דיני העונשין (עבירות מרמה, סח</w:t>
      </w:r>
      <w:r w:rsidRPr="00F1623D">
        <w:rPr>
          <w:rStyle w:val="default"/>
          <w:rFonts w:cs="FrankRuehl"/>
          <w:vanish/>
          <w:sz w:val="22"/>
          <w:szCs w:val="22"/>
          <w:shd w:val="clear" w:color="auto" w:fill="FFFF99"/>
          <w:rtl/>
        </w:rPr>
        <w:t>יט</w:t>
      </w:r>
      <w:r w:rsidRPr="00F1623D">
        <w:rPr>
          <w:rStyle w:val="default"/>
          <w:rFonts w:cs="FrankRuehl" w:hint="cs"/>
          <w:vanish/>
          <w:sz w:val="22"/>
          <w:szCs w:val="22"/>
          <w:shd w:val="clear" w:color="auto" w:fill="FFFF99"/>
          <w:rtl/>
        </w:rPr>
        <w:t>ה ועושק), תשכ"ג</w:t>
      </w:r>
      <w:r w:rsidR="00F1623D" w:rsidRPr="00F1623D">
        <w:rPr>
          <w:rStyle w:val="default"/>
          <w:rFonts w:cs="FrankRuehl" w:hint="cs"/>
          <w:vanish/>
          <w:sz w:val="22"/>
          <w:szCs w:val="22"/>
          <w:shd w:val="clear" w:color="auto" w:fill="FFFF99"/>
          <w:rtl/>
        </w:rPr>
        <w:t>-</w:t>
      </w:r>
      <w:r w:rsidRPr="00F1623D">
        <w:rPr>
          <w:rStyle w:val="default"/>
          <w:rFonts w:cs="FrankRuehl"/>
          <w:vanish/>
          <w:sz w:val="22"/>
          <w:szCs w:val="22"/>
          <w:shd w:val="clear" w:color="auto" w:fill="FFFF99"/>
          <w:rtl/>
        </w:rPr>
        <w:t xml:space="preserve">1963, </w:t>
      </w:r>
      <w:r w:rsidRPr="00F1623D">
        <w:rPr>
          <w:rStyle w:val="default"/>
          <w:rFonts w:cs="FrankRuehl" w:hint="cs"/>
          <w:vanish/>
          <w:sz w:val="22"/>
          <w:szCs w:val="22"/>
          <w:shd w:val="clear" w:color="auto" w:fill="FFFF99"/>
          <w:rtl/>
        </w:rPr>
        <w:t>לפ</w:t>
      </w:r>
      <w:r w:rsidRPr="00F1623D">
        <w:rPr>
          <w:rStyle w:val="default"/>
          <w:rFonts w:cs="FrankRuehl"/>
          <w:vanish/>
          <w:sz w:val="22"/>
          <w:szCs w:val="22"/>
          <w:shd w:val="clear" w:color="auto" w:fill="FFFF99"/>
          <w:rtl/>
        </w:rPr>
        <w:t>י</w:t>
      </w:r>
      <w:r w:rsidRPr="00F1623D">
        <w:rPr>
          <w:rStyle w:val="default"/>
          <w:rFonts w:cs="FrankRuehl" w:hint="cs"/>
          <w:vanish/>
          <w:sz w:val="22"/>
          <w:szCs w:val="22"/>
          <w:shd w:val="clear" w:color="auto" w:fill="FFFF99"/>
          <w:rtl/>
        </w:rPr>
        <w:t xml:space="preserve"> סעיפי פקודת החוק הפלילי, 1936, שאותו חוק ביטל, או לפי סעיפים 275, 276 או 305 לפקודת החוק הפלילי, 1936, כשהעבירה או העבירות שצורפו בכתב אישום אחד נוגעות לנושא או לנושאים, ששוויים הכולל </w:t>
      </w:r>
      <w:r w:rsidRPr="00F1623D">
        <w:rPr>
          <w:rFonts w:cs="FrankRuehl"/>
          <w:vanish/>
          <w:sz w:val="22"/>
          <w:szCs w:val="22"/>
          <w:shd w:val="clear" w:color="auto" w:fill="FFFF99"/>
          <w:rtl/>
        </w:rPr>
        <w:t>הו</w:t>
      </w:r>
      <w:r w:rsidRPr="00F1623D">
        <w:rPr>
          <w:rFonts w:cs="FrankRuehl" w:hint="cs"/>
          <w:vanish/>
          <w:sz w:val="22"/>
          <w:szCs w:val="22"/>
          <w:shd w:val="clear" w:color="auto" w:fill="FFFF99"/>
          <w:rtl/>
        </w:rPr>
        <w:t xml:space="preserve">א 100,000 לירות </w:t>
      </w:r>
      <w:r w:rsidRPr="00F1623D">
        <w:rPr>
          <w:rFonts w:cs="FrankRuehl" w:hint="cs"/>
          <w:vanish/>
          <w:sz w:val="22"/>
          <w:szCs w:val="22"/>
          <w:u w:val="single"/>
          <w:shd w:val="clear" w:color="auto" w:fill="FFFF99"/>
          <w:rtl/>
        </w:rPr>
        <w:t>או יותר</w:t>
      </w:r>
      <w:r w:rsidRPr="00F1623D">
        <w:rPr>
          <w:rFonts w:cs="FrankRuehl" w:hint="cs"/>
          <w:vanish/>
          <w:sz w:val="22"/>
          <w:szCs w:val="22"/>
          <w:shd w:val="clear" w:color="auto" w:fill="FFFF99"/>
          <w:rtl/>
        </w:rPr>
        <w:t>;</w:t>
      </w:r>
      <w:bookmarkEnd w:id="1"/>
    </w:p>
    <w:p w:rsidR="00DC522C" w:rsidRDefault="00DC522C" w:rsidP="00F1623D">
      <w:pPr>
        <w:pStyle w:val="P00"/>
        <w:spacing w:before="72"/>
        <w:ind w:left="0" w:right="1134"/>
        <w:rPr>
          <w:rStyle w:val="default"/>
          <w:rFonts w:cs="FrankRuehl"/>
          <w:rtl/>
        </w:rPr>
      </w:pPr>
      <w:bookmarkStart w:id="2" w:name="Seif1"/>
      <w:bookmarkEnd w:id="2"/>
      <w:r>
        <w:rPr>
          <w:lang w:val="he-IL"/>
        </w:rPr>
        <w:pict>
          <v:rect id="_x0000_s1028" style="position:absolute;left:0;text-align:left;margin-left:464.5pt;margin-top:8.05pt;width:75.05pt;height:12.75pt;z-index:251655680" o:allowincell="f" filled="f" stroked="f" strokecolor="lime" strokeweight=".25pt">
            <v:textbox style="mso-next-textbox:#_x0000_s1028" inset="0,0,0,0">
              <w:txbxContent>
                <w:p w:rsidR="00DC522C" w:rsidRDefault="00DC522C">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 מקנס</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שלפני כ"ו באייר תשכ"ז (5 ביוני 1967) עבר עבירה פלילית </w:t>
      </w:r>
      <w:r w:rsidR="00024C0B">
        <w:rPr>
          <w:rStyle w:val="default"/>
          <w:rFonts w:cs="FrankRuehl"/>
          <w:rtl/>
        </w:rPr>
        <w:t>–</w:t>
      </w:r>
      <w:r>
        <w:rPr>
          <w:rStyle w:val="default"/>
          <w:rFonts w:cs="FrankRuehl"/>
          <w:rtl/>
        </w:rPr>
        <w:t xml:space="preserve"> </w:t>
      </w:r>
      <w:r>
        <w:rPr>
          <w:rStyle w:val="default"/>
          <w:rFonts w:cs="FrankRuehl" w:hint="cs"/>
          <w:rtl/>
        </w:rPr>
        <w:t xml:space="preserve">זולת עבירה מן המנויות בסעיף 1(ג) </w:t>
      </w:r>
      <w:r w:rsidR="00024C0B">
        <w:rPr>
          <w:rStyle w:val="default"/>
          <w:rFonts w:cs="FrankRuehl"/>
          <w:rtl/>
        </w:rPr>
        <w:t>–</w:t>
      </w:r>
      <w:r>
        <w:rPr>
          <w:rStyle w:val="default"/>
          <w:rFonts w:cs="FrankRuehl"/>
          <w:rtl/>
        </w:rPr>
        <w:t xml:space="preserve"> </w:t>
      </w:r>
      <w:r>
        <w:rPr>
          <w:rStyle w:val="default"/>
          <w:rFonts w:cs="FrankRuehl" w:hint="cs"/>
          <w:rtl/>
        </w:rPr>
        <w:t>והוטל עליו בשל אותה עבירה עונש קנס</w:t>
      </w:r>
      <w:r>
        <w:rPr>
          <w:rStyle w:val="default"/>
          <w:rFonts w:cs="FrankRuehl"/>
          <w:rtl/>
        </w:rPr>
        <w:t xml:space="preserve"> </w:t>
      </w:r>
      <w:r>
        <w:rPr>
          <w:rStyle w:val="default"/>
          <w:rFonts w:cs="FrankRuehl" w:hint="cs"/>
          <w:rtl/>
        </w:rPr>
        <w:t>שא</w:t>
      </w:r>
      <w:r>
        <w:rPr>
          <w:rStyle w:val="default"/>
          <w:rFonts w:cs="FrankRuehl"/>
          <w:rtl/>
        </w:rPr>
        <w:t>ינ</w:t>
      </w:r>
      <w:r>
        <w:rPr>
          <w:rStyle w:val="default"/>
          <w:rFonts w:cs="FrankRuehl" w:hint="cs"/>
          <w:rtl/>
        </w:rPr>
        <w:t>ו עולה על 10,000 לירות וביום תחילת חוק זה טרם שילם את הקנס, כולו או מקצתו, פטור מלשלם מה שטרם שילם.</w:t>
      </w:r>
    </w:p>
    <w:p w:rsidR="00DC522C" w:rsidRDefault="00DC52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קנס שהוטל כאמור בסעיף קטן (א) עולה על 10,000 לירות, רואים את סכום הקנס, לענין סעיף זה, כאילו היה מלכתחילה פחות ב-10,000 לירות.</w:t>
      </w:r>
    </w:p>
    <w:p w:rsidR="00DC522C" w:rsidRDefault="00DC522C">
      <w:pPr>
        <w:pStyle w:val="P00"/>
        <w:spacing w:before="72"/>
        <w:ind w:left="0" w:right="1134"/>
        <w:rPr>
          <w:rStyle w:val="default"/>
          <w:rFonts w:cs="FrankRuehl"/>
          <w:rtl/>
        </w:rPr>
      </w:pPr>
      <w:bookmarkStart w:id="3" w:name="Seif2"/>
      <w:bookmarkEnd w:id="3"/>
      <w:r>
        <w:rPr>
          <w:lang w:val="he-IL"/>
        </w:rPr>
        <w:pict>
          <v:rect id="_x0000_s1029" style="position:absolute;left:0;text-align:left;margin-left:464.5pt;margin-top:8.05pt;width:75.05pt;height:16pt;z-index:251656704" o:allowincell="f" filled="f" stroked="f" strokecolor="lime" strokeweight=".25pt">
            <v:textbox style="mso-next-textbox:#_x0000_s1029" inset="0,0,0,0">
              <w:txbxContent>
                <w:p w:rsidR="00DC522C" w:rsidRDefault="00DC522C" w:rsidP="002411DE">
                  <w:pPr>
                    <w:spacing w:line="160" w:lineRule="exact"/>
                    <w:jc w:val="left"/>
                    <w:rPr>
                      <w:rFonts w:cs="Miriam"/>
                      <w:noProof/>
                      <w:sz w:val="18"/>
                      <w:szCs w:val="18"/>
                      <w:rtl/>
                    </w:rPr>
                  </w:pPr>
                  <w:r>
                    <w:rPr>
                      <w:rFonts w:cs="Miriam"/>
                      <w:sz w:val="18"/>
                      <w:szCs w:val="18"/>
                      <w:rtl/>
                    </w:rPr>
                    <w:t>די</w:t>
                  </w:r>
                  <w:r>
                    <w:rPr>
                      <w:rFonts w:cs="Miriam" w:hint="cs"/>
                      <w:sz w:val="18"/>
                      <w:szCs w:val="18"/>
                      <w:rtl/>
                    </w:rPr>
                    <w:t>נו של</w:t>
                  </w:r>
                  <w:r w:rsidR="002411DE">
                    <w:rPr>
                      <w:rFonts w:cs="Miriam" w:hint="cs"/>
                      <w:sz w:val="18"/>
                      <w:szCs w:val="18"/>
                      <w:rtl/>
                    </w:rPr>
                    <w:t xml:space="preserve"> </w:t>
                  </w:r>
                  <w:r>
                    <w:rPr>
                      <w:rFonts w:cs="Miriam"/>
                      <w:sz w:val="18"/>
                      <w:szCs w:val="18"/>
                      <w:rtl/>
                    </w:rPr>
                    <w:t>עו</w:t>
                  </w:r>
                  <w:r>
                    <w:rPr>
                      <w:rFonts w:cs="Miriam" w:hint="cs"/>
                      <w:sz w:val="18"/>
                      <w:szCs w:val="18"/>
                      <w:rtl/>
                    </w:rPr>
                    <w:t>נש כו</w:t>
                  </w:r>
                  <w:r>
                    <w:rPr>
                      <w:rFonts w:cs="Miriam"/>
                      <w:sz w:val="18"/>
                      <w:szCs w:val="18"/>
                      <w:rtl/>
                    </w:rPr>
                    <w:t>ל</w:t>
                  </w:r>
                  <w:r>
                    <w:rPr>
                      <w:rFonts w:cs="Miriam" w:hint="cs"/>
                      <w:sz w:val="18"/>
                      <w:szCs w:val="18"/>
                      <w:rtl/>
                    </w:rPr>
                    <w:t>ל</w:t>
                  </w:r>
                </w:p>
              </w:txbxContent>
            </v:textbox>
            <w10:anchorlock/>
          </v:rect>
        </w:pict>
      </w:r>
      <w:r>
        <w:rPr>
          <w:rStyle w:val="big-number"/>
          <w:rFonts w:cs="Miriam"/>
          <w:rtl/>
        </w:rPr>
        <w:t>3.</w:t>
      </w:r>
      <w:r>
        <w:rPr>
          <w:rStyle w:val="big-number"/>
          <w:rFonts w:cs="Miriam"/>
          <w:rtl/>
        </w:rPr>
        <w:tab/>
      </w:r>
      <w:r>
        <w:rPr>
          <w:rStyle w:val="default"/>
          <w:rFonts w:cs="FrankRuehl"/>
          <w:rtl/>
        </w:rPr>
        <w:t>עו</w:t>
      </w:r>
      <w:r>
        <w:rPr>
          <w:rStyle w:val="default"/>
          <w:rFonts w:cs="FrankRuehl" w:hint="cs"/>
          <w:rtl/>
        </w:rPr>
        <w:t>נש של מאסר א</w:t>
      </w:r>
      <w:r>
        <w:rPr>
          <w:rStyle w:val="default"/>
          <w:rFonts w:cs="FrankRuehl"/>
          <w:rtl/>
        </w:rPr>
        <w:t xml:space="preserve">ו </w:t>
      </w:r>
      <w:r>
        <w:rPr>
          <w:rStyle w:val="default"/>
          <w:rFonts w:cs="FrankRuehl" w:hint="cs"/>
          <w:rtl/>
        </w:rPr>
        <w:t>של קנס שהוטל בשל עבירה מן המנויות בסעיף 1(ג) ובשל עבירה אחרת כאחד, דינו לענין חוק זה כדין עונש שהוטל רק בשל עבירה מן המנויות כאמור.</w:t>
      </w:r>
    </w:p>
    <w:p w:rsidR="00DC522C" w:rsidRDefault="00DC522C">
      <w:pPr>
        <w:pStyle w:val="P00"/>
        <w:spacing w:before="72"/>
        <w:ind w:left="0" w:right="1134"/>
        <w:rPr>
          <w:rStyle w:val="default"/>
          <w:rFonts w:cs="FrankRuehl"/>
          <w:rtl/>
        </w:rPr>
      </w:pPr>
      <w:bookmarkStart w:id="4" w:name="Seif3"/>
      <w:bookmarkEnd w:id="4"/>
      <w:r>
        <w:rPr>
          <w:lang w:val="he-IL"/>
        </w:rPr>
        <w:pict>
          <v:rect id="_x0000_s1030" style="position:absolute;left:0;text-align:left;margin-left:464.5pt;margin-top:8.05pt;width:75.05pt;height:22.2pt;z-index:251657728" o:allowincell="f" filled="f" stroked="f" strokecolor="lime" strokeweight=".25pt">
            <v:textbox style="mso-next-textbox:#_x0000_s1030" inset="0,0,0,0">
              <w:txbxContent>
                <w:p w:rsidR="00DC522C" w:rsidRDefault="00DC522C" w:rsidP="002411DE">
                  <w:pPr>
                    <w:spacing w:line="160" w:lineRule="exact"/>
                    <w:jc w:val="left"/>
                    <w:rPr>
                      <w:rFonts w:cs="Miriam"/>
                      <w:noProof/>
                      <w:sz w:val="18"/>
                      <w:szCs w:val="18"/>
                      <w:rtl/>
                    </w:rPr>
                  </w:pPr>
                  <w:r>
                    <w:rPr>
                      <w:rFonts w:cs="Miriam"/>
                      <w:sz w:val="18"/>
                      <w:szCs w:val="18"/>
                      <w:rtl/>
                    </w:rPr>
                    <w:t>די</w:t>
                  </w:r>
                  <w:r>
                    <w:rPr>
                      <w:rFonts w:cs="Miriam" w:hint="cs"/>
                      <w:sz w:val="18"/>
                      <w:szCs w:val="18"/>
                      <w:rtl/>
                    </w:rPr>
                    <w:t>נו של קנס</w:t>
                  </w:r>
                  <w:r w:rsidR="002411DE">
                    <w:rPr>
                      <w:rFonts w:cs="Miriam" w:hint="cs"/>
                      <w:sz w:val="18"/>
                      <w:szCs w:val="18"/>
                      <w:rtl/>
                    </w:rPr>
                    <w:t xml:space="preserve"> </w:t>
                  </w:r>
                  <w:r>
                    <w:rPr>
                      <w:rFonts w:cs="Miriam"/>
                      <w:sz w:val="18"/>
                      <w:szCs w:val="18"/>
                      <w:rtl/>
                    </w:rPr>
                    <w:t>של</w:t>
                  </w:r>
                  <w:r>
                    <w:rPr>
                      <w:rFonts w:cs="Miriam" w:hint="cs"/>
                      <w:sz w:val="18"/>
                      <w:szCs w:val="18"/>
                      <w:rtl/>
                    </w:rPr>
                    <w:t>א נמחל</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נס שסעיף 2 אינו חל עליו והאדם שעליו הוטל הקנס זוכה מכוח סעיף 1 בשחרור או בפטור ממאסר בשל אי-תשלומו, יהא נתון לגבי</w:t>
      </w:r>
      <w:r>
        <w:rPr>
          <w:rStyle w:val="default"/>
          <w:rFonts w:cs="FrankRuehl"/>
          <w:rtl/>
        </w:rPr>
        <w:t>ה.</w:t>
      </w:r>
    </w:p>
    <w:p w:rsidR="00DC522C" w:rsidRDefault="00DC52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נס שסעיף 2 אינו חל עליו והאדם שעליו הוטל הקנס זוכה מכוח סעיף 1 בשחרור ממאסר בשל אי-תשלומו, יוקטן לפי היחס שבין תקופת המאסר שנשא לבין תקופת המאסר כולה.</w:t>
      </w:r>
    </w:p>
    <w:p w:rsidR="00DC522C" w:rsidRDefault="00DC522C" w:rsidP="00F1623D">
      <w:pPr>
        <w:pStyle w:val="P00"/>
        <w:spacing w:before="72"/>
        <w:ind w:left="0" w:right="1134"/>
        <w:rPr>
          <w:rStyle w:val="default"/>
          <w:rFonts w:cs="FrankRuehl"/>
          <w:rtl/>
        </w:rPr>
      </w:pPr>
      <w:bookmarkStart w:id="5" w:name="Seif4"/>
      <w:bookmarkEnd w:id="5"/>
      <w:r>
        <w:rPr>
          <w:lang w:val="he-IL"/>
        </w:rPr>
        <w:pict>
          <v:rect id="_x0000_s1031" style="position:absolute;left:0;text-align:left;margin-left:464.5pt;margin-top:8.05pt;width:75.05pt;height:13.7pt;z-index:251658752" o:allowincell="f" filled="f" stroked="f" strokecolor="lime" strokeweight=".25pt">
            <v:textbox style="mso-next-textbox:#_x0000_s1031" inset="0,0,0,0">
              <w:txbxContent>
                <w:p w:rsidR="00DC522C" w:rsidRDefault="00DC522C">
                  <w:pPr>
                    <w:spacing w:line="160" w:lineRule="exact"/>
                    <w:jc w:val="left"/>
                    <w:rPr>
                      <w:rFonts w:cs="Miriam"/>
                      <w:noProof/>
                      <w:sz w:val="18"/>
                      <w:szCs w:val="18"/>
                      <w:rtl/>
                    </w:rPr>
                  </w:pPr>
                  <w:r>
                    <w:rPr>
                      <w:rFonts w:cs="Miriam"/>
                      <w:sz w:val="18"/>
                      <w:szCs w:val="18"/>
                      <w:rtl/>
                    </w:rPr>
                    <w:t>הפ</w:t>
                  </w:r>
                  <w:r>
                    <w:rPr>
                      <w:rFonts w:cs="Miriam" w:hint="cs"/>
                      <w:sz w:val="18"/>
                      <w:szCs w:val="18"/>
                      <w:rtl/>
                    </w:rPr>
                    <w:t>סקת הליכים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יינקט הליך פלילי בבית משפט בשל עבירה שנעברה לפני כ"ו באייר תשכ"ז (5 ביוני 1967) זולת </w:t>
      </w:r>
      <w:r>
        <w:rPr>
          <w:rStyle w:val="default"/>
          <w:rFonts w:cs="FrankRuehl"/>
          <w:rtl/>
        </w:rPr>
        <w:t>עב</w:t>
      </w:r>
      <w:r>
        <w:rPr>
          <w:rStyle w:val="default"/>
          <w:rFonts w:cs="FrankRuehl" w:hint="cs"/>
          <w:rtl/>
        </w:rPr>
        <w:t xml:space="preserve">ירה מן המנויות בסעיף 1(ג), ואם ננקט הליך כזה </w:t>
      </w:r>
      <w:r w:rsidR="00024C0B">
        <w:rPr>
          <w:rStyle w:val="default"/>
          <w:rFonts w:cs="FrankRuehl"/>
          <w:rtl/>
        </w:rPr>
        <w:t>–</w:t>
      </w:r>
      <w:r>
        <w:rPr>
          <w:rStyle w:val="default"/>
          <w:rFonts w:cs="FrankRuehl"/>
          <w:rtl/>
        </w:rPr>
        <w:t xml:space="preserve"> </w:t>
      </w:r>
      <w:r>
        <w:rPr>
          <w:rStyle w:val="default"/>
          <w:rFonts w:cs="FrankRuehl" w:hint="cs"/>
          <w:rtl/>
        </w:rPr>
        <w:t>יופסק.</w:t>
      </w:r>
    </w:p>
    <w:p w:rsidR="00DC522C" w:rsidRDefault="00DC522C" w:rsidP="004506ED">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שביום תחילת חוק זה תלוי ועומד נגדו בבית משפט אישום בשל עבירה כאמור בסעיף קטן (א) או שהורשע בשל עבירה כזאת וביום תחילת חוק זה היה ר</w:t>
      </w:r>
      <w:r>
        <w:rPr>
          <w:rStyle w:val="default"/>
          <w:rFonts w:cs="FrankRuehl"/>
          <w:rtl/>
        </w:rPr>
        <w:t>ש</w:t>
      </w:r>
      <w:r>
        <w:rPr>
          <w:rStyle w:val="default"/>
          <w:rFonts w:cs="FrankRuehl" w:hint="cs"/>
          <w:rtl/>
        </w:rPr>
        <w:t>אי לערער או להגיש בקשה לערער על פסק הדין, או שהיה תלוי ועומד</w:t>
      </w:r>
      <w:r>
        <w:rPr>
          <w:rStyle w:val="default"/>
          <w:rFonts w:cs="FrankRuehl"/>
          <w:rtl/>
        </w:rPr>
        <w:t xml:space="preserve"> א</w:t>
      </w:r>
      <w:r>
        <w:rPr>
          <w:rStyle w:val="default"/>
          <w:rFonts w:cs="FrankRuehl" w:hint="cs"/>
          <w:rtl/>
        </w:rPr>
        <w:t>ותו יום ערעור או בקשה לערער שהגיש על פסק-הדין, רשאי לוותר על חנינה לפי חוק זה על-ידי הודעה בכתב שיגיש לבית המשפט תוך שלושים יום מיום תחילת חוק זה.</w:t>
      </w:r>
    </w:p>
    <w:p w:rsidR="00DC522C" w:rsidRDefault="00DC522C" w:rsidP="00F1623D">
      <w:pPr>
        <w:pStyle w:val="P00"/>
        <w:spacing w:before="72"/>
        <w:ind w:left="0" w:right="1134"/>
        <w:rPr>
          <w:rStyle w:val="default"/>
          <w:rFonts w:cs="FrankRuehl"/>
          <w:rtl/>
        </w:rPr>
      </w:pPr>
      <w:bookmarkStart w:id="6" w:name="Seif5"/>
      <w:bookmarkEnd w:id="6"/>
      <w:r>
        <w:rPr>
          <w:lang w:val="he-IL"/>
        </w:rPr>
        <w:pict>
          <v:rect id="_x0000_s1032" style="position:absolute;left:0;text-align:left;margin-left:464.5pt;margin-top:8.05pt;width:75.05pt;height:16pt;z-index:251659776" o:allowincell="f" filled="f" stroked="f" strokecolor="lime" strokeweight=".25pt">
            <v:textbox style="mso-next-textbox:#_x0000_s1032" inset="0,0,0,0">
              <w:txbxContent>
                <w:p w:rsidR="00DC522C" w:rsidRDefault="00DC522C" w:rsidP="002411DE">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r w:rsidR="002411DE">
                    <w:rPr>
                      <w:rFonts w:cs="Miriam" w:hint="cs"/>
                      <w:sz w:val="18"/>
                      <w:szCs w:val="18"/>
                      <w:rtl/>
                    </w:rPr>
                    <w:t xml:space="preserve"> </w:t>
                  </w:r>
                  <w:r>
                    <w:rPr>
                      <w:rFonts w:cs="Miriam"/>
                      <w:sz w:val="18"/>
                      <w:szCs w:val="18"/>
                      <w:rtl/>
                    </w:rPr>
                    <w:t>מס</w:t>
                  </w:r>
                  <w:r>
                    <w:rPr>
                      <w:rFonts w:cs="Miriam" w:hint="cs"/>
                      <w:sz w:val="18"/>
                      <w:szCs w:val="18"/>
                      <w:rtl/>
                    </w:rPr>
                    <w:t xml:space="preserve"> הכנסה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בירה לפי חלק י"א לפקודת מס הכנסה, שהוא מעשה או מחדל הניתנים לתיקון בידי </w:t>
      </w:r>
      <w:r>
        <w:rPr>
          <w:rStyle w:val="default"/>
          <w:rFonts w:cs="FrankRuehl"/>
          <w:rtl/>
        </w:rPr>
        <w:t>הא</w:t>
      </w:r>
      <w:r>
        <w:rPr>
          <w:rStyle w:val="default"/>
          <w:rFonts w:cs="FrankRuehl" w:hint="cs"/>
          <w:rtl/>
        </w:rPr>
        <w:t>דם שעבר את העבירה, לא יחולו עליה הוראות סעיף 5 אלא אם עשה אותו אדם, תוך שלושה חדשים מתחילת חוק זה, את המעשה אשר אי-עשייתו מהווה את העבירה, או תיקן את המעשה אשר עשייתו שלא כדין</w:t>
      </w:r>
      <w:r>
        <w:rPr>
          <w:rStyle w:val="default"/>
          <w:rFonts w:cs="FrankRuehl"/>
          <w:rtl/>
        </w:rPr>
        <w:t xml:space="preserve"> </w:t>
      </w:r>
      <w:r>
        <w:rPr>
          <w:rStyle w:val="default"/>
          <w:rFonts w:cs="FrankRuehl" w:hint="cs"/>
          <w:rtl/>
        </w:rPr>
        <w:t>מהווה את העבירה.</w:t>
      </w:r>
    </w:p>
    <w:p w:rsidR="00DC522C" w:rsidRDefault="00DC522C" w:rsidP="00F1623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העבירה בכך, שאדם לא הצהיר על הכנסתו או שהצהרתו לא ה</w:t>
      </w:r>
      <w:r>
        <w:rPr>
          <w:rStyle w:val="default"/>
          <w:rFonts w:cs="FrankRuehl"/>
          <w:rtl/>
        </w:rPr>
        <w:t>ית</w:t>
      </w:r>
      <w:r>
        <w:rPr>
          <w:rStyle w:val="default"/>
          <w:rFonts w:cs="FrankRuehl" w:hint="cs"/>
          <w:rtl/>
        </w:rPr>
        <w:t>ה מלאה, נכונה ומדוייקת, רואים את האדם כמי שקיים, לגבי אותה עבירה, את התנאי האמור בסעיף קטן (א) גם אם מסר לפקיד השומה הצהרות נכונות על ההכנסה, על ההון ועל הנכסים שלו, של אשתו ו</w:t>
      </w:r>
      <w:r>
        <w:rPr>
          <w:rStyle w:val="default"/>
          <w:rFonts w:cs="FrankRuehl"/>
          <w:rtl/>
        </w:rPr>
        <w:t>ש</w:t>
      </w:r>
      <w:r>
        <w:rPr>
          <w:rStyle w:val="default"/>
          <w:rFonts w:cs="FrankRuehl" w:hint="cs"/>
          <w:rtl/>
        </w:rPr>
        <w:t xml:space="preserve">ל ילדיו שכלכלתם עליו, ועל פרטים אחרים </w:t>
      </w:r>
      <w:r w:rsidR="00024C0B">
        <w:rPr>
          <w:rStyle w:val="default"/>
          <w:rFonts w:cs="FrankRuehl"/>
          <w:rtl/>
        </w:rPr>
        <w:t>–</w:t>
      </w:r>
      <w:r>
        <w:rPr>
          <w:rStyle w:val="default"/>
          <w:rFonts w:cs="FrankRuehl"/>
          <w:rtl/>
        </w:rPr>
        <w:t xml:space="preserve"> </w:t>
      </w:r>
      <w:r>
        <w:rPr>
          <w:rStyle w:val="default"/>
          <w:rFonts w:cs="FrankRuehl" w:hint="cs"/>
          <w:rtl/>
        </w:rPr>
        <w:t xml:space="preserve">הכל לפי הטופס שקבע לכך שר האוצר בצו </w:t>
      </w:r>
      <w:r w:rsidR="00024C0B">
        <w:rPr>
          <w:rStyle w:val="default"/>
          <w:rFonts w:cs="FrankRuehl"/>
          <w:rtl/>
        </w:rPr>
        <w:t>–</w:t>
      </w:r>
      <w:r>
        <w:rPr>
          <w:rStyle w:val="default"/>
          <w:rFonts w:cs="FrankRuehl" w:hint="cs"/>
          <w:rtl/>
        </w:rPr>
        <w:t xml:space="preserve"> ת</w:t>
      </w:r>
      <w:r>
        <w:rPr>
          <w:rStyle w:val="default"/>
          <w:rFonts w:cs="FrankRuehl"/>
          <w:rtl/>
        </w:rPr>
        <w:t>ו</w:t>
      </w:r>
      <w:r>
        <w:rPr>
          <w:rStyle w:val="default"/>
          <w:rFonts w:cs="FrankRuehl" w:hint="cs"/>
          <w:rtl/>
        </w:rPr>
        <w:t>ך שלושה חדשים מתחילת אותו צו.</w:t>
      </w:r>
    </w:p>
    <w:p w:rsidR="00DC522C" w:rsidRDefault="00DC522C">
      <w:pPr>
        <w:pStyle w:val="P00"/>
        <w:spacing w:before="72"/>
        <w:ind w:left="0" w:right="1134"/>
        <w:rPr>
          <w:rStyle w:val="default"/>
          <w:rFonts w:cs="FrankRuehl"/>
          <w:rtl/>
        </w:rPr>
      </w:pPr>
      <w:bookmarkStart w:id="7" w:name="Seif6"/>
      <w:bookmarkEnd w:id="7"/>
      <w:r>
        <w:rPr>
          <w:lang w:val="he-IL"/>
        </w:rPr>
        <w:pict>
          <v:rect id="_x0000_s1033" style="position:absolute;left:0;text-align:left;margin-left:464.5pt;margin-top:8.05pt;width:75.05pt;height:13.95pt;z-index:251660800" o:allowincell="f" filled="f" stroked="f" strokecolor="lime" strokeweight=".25pt">
            <v:textbox style="mso-next-textbox:#_x0000_s1033" inset="0,0,0,0">
              <w:txbxContent>
                <w:p w:rsidR="00DC522C" w:rsidRDefault="00DC522C">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7.</w:t>
      </w:r>
      <w:r>
        <w:rPr>
          <w:rStyle w:val="big-number"/>
          <w:rFonts w:cs="Miriam"/>
          <w:rtl/>
        </w:rPr>
        <w:tab/>
      </w:r>
      <w:r>
        <w:rPr>
          <w:rStyle w:val="default"/>
          <w:rFonts w:cs="FrankRuehl"/>
          <w:rtl/>
        </w:rPr>
        <w:t>אי</w:t>
      </w:r>
      <w:r>
        <w:rPr>
          <w:rStyle w:val="default"/>
          <w:rFonts w:cs="FrankRuehl" w:hint="cs"/>
          <w:rtl/>
        </w:rPr>
        <w:t>ן בחוק זה כדי לגרוע מכל תוצאה של עבירה, הרשעה או גזר דין, זולת אם נאמר הדבר במפורש בחוק זה, ואין בו כדי לגרוע מכל אחריות משמע</w:t>
      </w:r>
      <w:r>
        <w:rPr>
          <w:rStyle w:val="default"/>
          <w:rFonts w:cs="FrankRuehl"/>
          <w:rtl/>
        </w:rPr>
        <w:t>ת</w:t>
      </w:r>
      <w:r>
        <w:rPr>
          <w:rStyle w:val="default"/>
          <w:rFonts w:cs="FrankRuehl" w:hint="cs"/>
          <w:rtl/>
        </w:rPr>
        <w:t>ית או אזרחית; אולם פסול מלהחזיק או מלהשיג רשיון נהיגה הנובע מהרשעה לפי סעיף 4(2) לפקודת ביטו</w:t>
      </w:r>
      <w:r>
        <w:rPr>
          <w:rStyle w:val="default"/>
          <w:rFonts w:cs="FrankRuehl"/>
          <w:rtl/>
        </w:rPr>
        <w:t xml:space="preserve">ח </w:t>
      </w:r>
      <w:r>
        <w:rPr>
          <w:rStyle w:val="default"/>
          <w:rFonts w:cs="FrankRuehl" w:hint="cs"/>
          <w:rtl/>
        </w:rPr>
        <w:t>כלי רכב של מנוע (סיכוני צד שלישי), 1947, והעומד בתקפו ערב תחילת חוק זה, ייפסק ביום תחילת חוק זה.</w:t>
      </w:r>
    </w:p>
    <w:p w:rsidR="00DC522C" w:rsidRDefault="00DC522C">
      <w:pPr>
        <w:pStyle w:val="P00"/>
        <w:spacing w:before="72"/>
        <w:ind w:left="0" w:right="1134"/>
        <w:rPr>
          <w:rStyle w:val="default"/>
          <w:rFonts w:cs="FrankRuehl"/>
          <w:rtl/>
        </w:rPr>
      </w:pPr>
      <w:bookmarkStart w:id="8" w:name="Seif7"/>
      <w:bookmarkEnd w:id="8"/>
      <w:r>
        <w:rPr>
          <w:lang w:val="he-IL"/>
        </w:rPr>
        <w:pict>
          <v:rect id="_x0000_s1034" style="position:absolute;left:0;text-align:left;margin-left:464.5pt;margin-top:8.05pt;width:75.05pt;height:11.05pt;z-index:251661824" o:allowincell="f" filled="f" stroked="f" strokecolor="lime" strokeweight=".25pt">
            <v:textbox style="mso-next-textbox:#_x0000_s1034" inset="0,0,0,0">
              <w:txbxContent>
                <w:p w:rsidR="00DC522C" w:rsidRDefault="00DC522C">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המשפטים, שר המשטרה ושר הבטחון ממונים, כל אחד בתחו</w:t>
      </w:r>
      <w:r>
        <w:rPr>
          <w:rStyle w:val="default"/>
          <w:rFonts w:cs="FrankRuehl"/>
          <w:rtl/>
        </w:rPr>
        <w:t>ם</w:t>
      </w:r>
      <w:r>
        <w:rPr>
          <w:rStyle w:val="default"/>
          <w:rFonts w:cs="FrankRuehl" w:hint="cs"/>
          <w:rtl/>
        </w:rPr>
        <w:t xml:space="preserve"> סמכותו, על ביצוע חוק זה.</w:t>
      </w:r>
    </w:p>
    <w:p w:rsidR="00DC522C" w:rsidRDefault="00DC522C">
      <w:pPr>
        <w:pStyle w:val="P00"/>
        <w:spacing w:before="72"/>
        <w:ind w:left="0" w:right="1134"/>
        <w:rPr>
          <w:rStyle w:val="default"/>
          <w:rFonts w:cs="FrankRuehl"/>
          <w:rtl/>
        </w:rPr>
      </w:pPr>
    </w:p>
    <w:p w:rsidR="00DC522C" w:rsidRDefault="00DC522C">
      <w:pPr>
        <w:pStyle w:val="P00"/>
        <w:tabs>
          <w:tab w:val="clear" w:pos="6259"/>
          <w:tab w:val="right" w:leader="dot" w:pos="6237"/>
        </w:tabs>
        <w:spacing w:before="72"/>
        <w:ind w:left="0" w:right="1134"/>
        <w:rPr>
          <w:rStyle w:val="default"/>
          <w:rFonts w:cs="FrankRuehl"/>
          <w:rtl/>
        </w:rPr>
      </w:pPr>
    </w:p>
    <w:p w:rsidR="00DC522C" w:rsidRPr="002411DE" w:rsidRDefault="00DC522C" w:rsidP="002411DE">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rtl/>
        </w:rPr>
      </w:pPr>
      <w:r w:rsidRPr="002411DE">
        <w:rPr>
          <w:rStyle w:val="default"/>
          <w:rFonts w:cs="FrankRuehl"/>
          <w:rtl/>
        </w:rPr>
        <w:tab/>
        <w:t>ל</w:t>
      </w:r>
      <w:r w:rsidRPr="002411DE">
        <w:rPr>
          <w:rStyle w:val="default"/>
          <w:rFonts w:cs="FrankRuehl" w:hint="cs"/>
          <w:rtl/>
        </w:rPr>
        <w:t>וי אשכול</w:t>
      </w:r>
      <w:r w:rsidR="002411DE" w:rsidRPr="002411DE">
        <w:rPr>
          <w:rStyle w:val="default"/>
          <w:rFonts w:cs="FrankRuehl" w:hint="cs"/>
          <w:rtl/>
        </w:rPr>
        <w:tab/>
      </w:r>
      <w:r w:rsidRPr="002411DE">
        <w:rPr>
          <w:rStyle w:val="default"/>
          <w:rFonts w:cs="FrankRuehl"/>
          <w:rtl/>
        </w:rPr>
        <w:t>י</w:t>
      </w:r>
      <w:r w:rsidRPr="002411DE">
        <w:rPr>
          <w:rStyle w:val="default"/>
          <w:rFonts w:cs="FrankRuehl" w:hint="cs"/>
          <w:rtl/>
        </w:rPr>
        <w:t>עקב ש' שפירא</w:t>
      </w:r>
      <w:r w:rsidR="002411DE" w:rsidRPr="002411DE">
        <w:rPr>
          <w:rStyle w:val="default"/>
          <w:rFonts w:cs="FrankRuehl" w:hint="cs"/>
          <w:rtl/>
        </w:rPr>
        <w:tab/>
      </w:r>
      <w:r w:rsidRPr="002411DE">
        <w:rPr>
          <w:rStyle w:val="default"/>
          <w:rFonts w:cs="FrankRuehl" w:hint="cs"/>
          <w:rtl/>
        </w:rPr>
        <w:t>א</w:t>
      </w:r>
      <w:r w:rsidRPr="002411DE">
        <w:rPr>
          <w:rStyle w:val="default"/>
          <w:rFonts w:cs="FrankRuehl"/>
          <w:rtl/>
        </w:rPr>
        <w:t>ל</w:t>
      </w:r>
      <w:r w:rsidRPr="002411DE">
        <w:rPr>
          <w:rStyle w:val="default"/>
          <w:rFonts w:cs="FrankRuehl" w:hint="cs"/>
          <w:rtl/>
        </w:rPr>
        <w:t>יהו ששון</w:t>
      </w:r>
      <w:r w:rsidR="002411DE" w:rsidRPr="002411DE">
        <w:rPr>
          <w:rStyle w:val="default"/>
          <w:rFonts w:cs="FrankRuehl" w:hint="cs"/>
          <w:rtl/>
        </w:rPr>
        <w:tab/>
      </w:r>
      <w:r w:rsidRPr="002411DE">
        <w:rPr>
          <w:rStyle w:val="default"/>
          <w:rFonts w:cs="FrankRuehl"/>
          <w:rtl/>
        </w:rPr>
        <w:t>מש</w:t>
      </w:r>
      <w:r w:rsidRPr="002411DE">
        <w:rPr>
          <w:rStyle w:val="default"/>
          <w:rFonts w:cs="FrankRuehl" w:hint="cs"/>
          <w:rtl/>
        </w:rPr>
        <w:t>ה דיין</w:t>
      </w:r>
    </w:p>
    <w:p w:rsidR="00DC522C" w:rsidRPr="002411DE" w:rsidRDefault="00DC522C" w:rsidP="002411DE">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sz w:val="22"/>
          <w:szCs w:val="22"/>
          <w:rtl/>
        </w:rPr>
      </w:pPr>
      <w:r w:rsidRPr="002411DE">
        <w:rPr>
          <w:rStyle w:val="default"/>
          <w:rFonts w:cs="FrankRuehl"/>
          <w:sz w:val="22"/>
          <w:szCs w:val="22"/>
          <w:rtl/>
        </w:rPr>
        <w:tab/>
        <w:t>ר</w:t>
      </w:r>
      <w:r w:rsidRPr="002411DE">
        <w:rPr>
          <w:rStyle w:val="default"/>
          <w:rFonts w:cs="FrankRuehl" w:hint="cs"/>
          <w:sz w:val="22"/>
          <w:szCs w:val="22"/>
          <w:rtl/>
        </w:rPr>
        <w:t>אש הממשלה</w:t>
      </w:r>
      <w:r w:rsidR="002411DE" w:rsidRPr="002411DE">
        <w:rPr>
          <w:rStyle w:val="default"/>
          <w:rFonts w:cs="FrankRuehl" w:hint="cs"/>
          <w:sz w:val="22"/>
          <w:szCs w:val="22"/>
          <w:rtl/>
        </w:rPr>
        <w:tab/>
      </w:r>
      <w:r w:rsidRPr="002411DE">
        <w:rPr>
          <w:rStyle w:val="default"/>
          <w:rFonts w:cs="FrankRuehl"/>
          <w:sz w:val="22"/>
          <w:szCs w:val="22"/>
          <w:rtl/>
        </w:rPr>
        <w:t>שר</w:t>
      </w:r>
      <w:r w:rsidRPr="002411DE">
        <w:rPr>
          <w:rStyle w:val="default"/>
          <w:rFonts w:cs="FrankRuehl" w:hint="cs"/>
          <w:sz w:val="22"/>
          <w:szCs w:val="22"/>
          <w:rtl/>
        </w:rPr>
        <w:t xml:space="preserve"> ה</w:t>
      </w:r>
      <w:r w:rsidRPr="002411DE">
        <w:rPr>
          <w:rStyle w:val="default"/>
          <w:rFonts w:cs="FrankRuehl"/>
          <w:sz w:val="22"/>
          <w:szCs w:val="22"/>
          <w:rtl/>
        </w:rPr>
        <w:t>מש</w:t>
      </w:r>
      <w:r w:rsidRPr="002411DE">
        <w:rPr>
          <w:rStyle w:val="default"/>
          <w:rFonts w:cs="FrankRuehl" w:hint="cs"/>
          <w:sz w:val="22"/>
          <w:szCs w:val="22"/>
          <w:rtl/>
        </w:rPr>
        <w:t>פטים</w:t>
      </w:r>
      <w:r w:rsidRPr="002411DE">
        <w:rPr>
          <w:rStyle w:val="default"/>
          <w:rFonts w:cs="FrankRuehl"/>
          <w:sz w:val="22"/>
          <w:szCs w:val="22"/>
          <w:rtl/>
        </w:rPr>
        <w:tab/>
      </w:r>
      <w:r w:rsidRPr="002411DE">
        <w:rPr>
          <w:rStyle w:val="default"/>
          <w:rFonts w:cs="FrankRuehl" w:hint="cs"/>
          <w:sz w:val="22"/>
          <w:szCs w:val="22"/>
          <w:rtl/>
        </w:rPr>
        <w:t>ש</w:t>
      </w:r>
      <w:r w:rsidRPr="002411DE">
        <w:rPr>
          <w:rStyle w:val="default"/>
          <w:rFonts w:cs="FrankRuehl"/>
          <w:sz w:val="22"/>
          <w:szCs w:val="22"/>
          <w:rtl/>
        </w:rPr>
        <w:t>ר</w:t>
      </w:r>
      <w:r w:rsidRPr="002411DE">
        <w:rPr>
          <w:rStyle w:val="default"/>
          <w:rFonts w:cs="FrankRuehl" w:hint="cs"/>
          <w:sz w:val="22"/>
          <w:szCs w:val="22"/>
          <w:rtl/>
        </w:rPr>
        <w:t xml:space="preserve"> המשטרה</w:t>
      </w:r>
      <w:r w:rsidR="002411DE" w:rsidRPr="002411DE">
        <w:rPr>
          <w:rStyle w:val="default"/>
          <w:rFonts w:cs="FrankRuehl" w:hint="cs"/>
          <w:sz w:val="22"/>
          <w:szCs w:val="22"/>
          <w:rtl/>
        </w:rPr>
        <w:tab/>
      </w:r>
      <w:r w:rsidRPr="002411DE">
        <w:rPr>
          <w:rStyle w:val="default"/>
          <w:rFonts w:cs="FrankRuehl"/>
          <w:sz w:val="22"/>
          <w:szCs w:val="22"/>
          <w:rtl/>
        </w:rPr>
        <w:t>שר</w:t>
      </w:r>
      <w:r w:rsidRPr="002411DE">
        <w:rPr>
          <w:rStyle w:val="default"/>
          <w:rFonts w:cs="FrankRuehl" w:hint="cs"/>
          <w:sz w:val="22"/>
          <w:szCs w:val="22"/>
          <w:rtl/>
        </w:rPr>
        <w:t xml:space="preserve"> הבטחון</w:t>
      </w:r>
    </w:p>
    <w:p w:rsidR="00DC522C" w:rsidRPr="002411DE" w:rsidRDefault="002411DE" w:rsidP="002411DE">
      <w:pPr>
        <w:pStyle w:val="P00"/>
        <w:tabs>
          <w:tab w:val="clear" w:pos="624"/>
          <w:tab w:val="clear" w:pos="1021"/>
          <w:tab w:val="clear" w:pos="1474"/>
          <w:tab w:val="clear" w:pos="1928"/>
          <w:tab w:val="clear" w:pos="2381"/>
          <w:tab w:val="clear" w:pos="2835"/>
          <w:tab w:val="clear" w:pos="6259"/>
          <w:tab w:val="center" w:pos="851"/>
        </w:tabs>
        <w:spacing w:before="72"/>
        <w:ind w:left="0" w:right="1134"/>
        <w:rPr>
          <w:rStyle w:val="default"/>
          <w:rFonts w:cs="FrankRuehl"/>
          <w:rtl/>
        </w:rPr>
      </w:pPr>
      <w:r w:rsidRPr="002411DE">
        <w:rPr>
          <w:rStyle w:val="default"/>
          <w:rFonts w:cs="FrankRuehl" w:hint="cs"/>
          <w:rtl/>
        </w:rPr>
        <w:tab/>
      </w:r>
      <w:r w:rsidR="00DC522C" w:rsidRPr="002411DE">
        <w:rPr>
          <w:rStyle w:val="default"/>
          <w:rFonts w:cs="FrankRuehl" w:hint="cs"/>
          <w:rtl/>
        </w:rPr>
        <w:t>ש</w:t>
      </w:r>
      <w:r w:rsidR="00DC522C" w:rsidRPr="002411DE">
        <w:rPr>
          <w:rStyle w:val="default"/>
          <w:rFonts w:cs="FrankRuehl"/>
          <w:rtl/>
        </w:rPr>
        <w:t>נ</w:t>
      </w:r>
      <w:r w:rsidR="00DC522C" w:rsidRPr="002411DE">
        <w:rPr>
          <w:rStyle w:val="default"/>
          <w:rFonts w:cs="FrankRuehl" w:hint="cs"/>
          <w:rtl/>
        </w:rPr>
        <w:t>יאור זלמן שזר</w:t>
      </w:r>
    </w:p>
    <w:p w:rsidR="00DC522C" w:rsidRPr="002411DE" w:rsidRDefault="002411DE" w:rsidP="002411DE">
      <w:pPr>
        <w:pStyle w:val="P00"/>
        <w:tabs>
          <w:tab w:val="clear" w:pos="624"/>
          <w:tab w:val="clear" w:pos="1021"/>
          <w:tab w:val="clear" w:pos="1474"/>
          <w:tab w:val="clear" w:pos="1928"/>
          <w:tab w:val="clear" w:pos="2381"/>
          <w:tab w:val="clear" w:pos="2835"/>
          <w:tab w:val="clear" w:pos="6259"/>
          <w:tab w:val="center" w:pos="851"/>
        </w:tabs>
        <w:spacing w:before="0"/>
        <w:ind w:left="0" w:right="1134"/>
        <w:rPr>
          <w:rStyle w:val="default"/>
          <w:rFonts w:cs="FrankRuehl"/>
          <w:sz w:val="22"/>
          <w:szCs w:val="22"/>
          <w:rtl/>
        </w:rPr>
      </w:pPr>
      <w:r w:rsidRPr="002411DE">
        <w:rPr>
          <w:rStyle w:val="default"/>
          <w:rFonts w:cs="FrankRuehl" w:hint="cs"/>
          <w:sz w:val="22"/>
          <w:szCs w:val="22"/>
          <w:rtl/>
        </w:rPr>
        <w:tab/>
      </w:r>
      <w:r w:rsidR="00DC522C" w:rsidRPr="002411DE">
        <w:rPr>
          <w:rStyle w:val="default"/>
          <w:rFonts w:cs="FrankRuehl" w:hint="cs"/>
          <w:sz w:val="22"/>
          <w:szCs w:val="22"/>
          <w:rtl/>
        </w:rPr>
        <w:t>נ</w:t>
      </w:r>
      <w:r w:rsidR="00DC522C" w:rsidRPr="002411DE">
        <w:rPr>
          <w:rStyle w:val="default"/>
          <w:rFonts w:cs="FrankRuehl"/>
          <w:sz w:val="22"/>
          <w:szCs w:val="22"/>
          <w:rtl/>
        </w:rPr>
        <w:t>ש</w:t>
      </w:r>
      <w:r w:rsidR="00DC522C" w:rsidRPr="002411DE">
        <w:rPr>
          <w:rStyle w:val="default"/>
          <w:rFonts w:cs="FrankRuehl" w:hint="cs"/>
          <w:sz w:val="22"/>
          <w:szCs w:val="22"/>
          <w:rtl/>
        </w:rPr>
        <w:t>יא המדינה</w:t>
      </w:r>
    </w:p>
    <w:p w:rsidR="00DC522C" w:rsidRPr="002411DE" w:rsidRDefault="00DC522C" w:rsidP="002411DE">
      <w:pPr>
        <w:pStyle w:val="P00"/>
        <w:spacing w:before="72"/>
        <w:ind w:left="0" w:right="1134"/>
        <w:rPr>
          <w:rStyle w:val="default"/>
          <w:rFonts w:cs="FrankRuehl"/>
          <w:rtl/>
        </w:rPr>
      </w:pPr>
    </w:p>
    <w:p w:rsidR="00DC522C" w:rsidRPr="002411DE" w:rsidRDefault="00DC522C" w:rsidP="002411DE">
      <w:pPr>
        <w:pStyle w:val="P00"/>
        <w:spacing w:before="72"/>
        <w:ind w:left="0" w:right="1134"/>
        <w:rPr>
          <w:rStyle w:val="default"/>
          <w:rFonts w:cs="FrankRuehl"/>
          <w:rtl/>
        </w:rPr>
      </w:pPr>
    </w:p>
    <w:p w:rsidR="00DC522C" w:rsidRPr="002411DE" w:rsidRDefault="00DC522C" w:rsidP="002411DE">
      <w:pPr>
        <w:pStyle w:val="P00"/>
        <w:spacing w:before="72"/>
        <w:ind w:left="0" w:right="1134"/>
        <w:rPr>
          <w:rStyle w:val="default"/>
          <w:rFonts w:cs="FrankRuehl"/>
          <w:rtl/>
        </w:rPr>
      </w:pPr>
      <w:bookmarkStart w:id="9" w:name="LawPartEnd"/>
    </w:p>
    <w:bookmarkEnd w:id="9"/>
    <w:p w:rsidR="00DC522C" w:rsidRPr="002411DE" w:rsidRDefault="00DC522C" w:rsidP="002411DE">
      <w:pPr>
        <w:pStyle w:val="P00"/>
        <w:spacing w:before="72"/>
        <w:ind w:left="0" w:right="1134"/>
        <w:rPr>
          <w:rStyle w:val="default"/>
          <w:rFonts w:cs="FrankRuehl"/>
          <w:rtl/>
        </w:rPr>
      </w:pPr>
    </w:p>
    <w:sectPr w:rsidR="00DC522C" w:rsidRPr="002411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26A2" w:rsidRDefault="006826A2">
      <w:r>
        <w:separator/>
      </w:r>
    </w:p>
  </w:endnote>
  <w:endnote w:type="continuationSeparator" w:id="0">
    <w:p w:rsidR="006826A2" w:rsidRDefault="0068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522C" w:rsidRDefault="00DC52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C522C" w:rsidRDefault="00DC52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C522C" w:rsidRDefault="00DC52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11DE">
      <w:rPr>
        <w:rFonts w:cs="TopType Jerushalmi"/>
        <w:noProof/>
        <w:color w:val="000000"/>
        <w:sz w:val="14"/>
        <w:szCs w:val="14"/>
      </w:rPr>
      <w:t>D:\Yael\hakika\Revadim\073_035.doc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522C" w:rsidRDefault="00DC52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24C0B">
      <w:rPr>
        <w:rFonts w:hAnsi="FrankRuehl" w:cs="FrankRuehl"/>
        <w:noProof/>
        <w:sz w:val="24"/>
        <w:szCs w:val="24"/>
        <w:rtl/>
      </w:rPr>
      <w:t>3</w:t>
    </w:r>
    <w:r>
      <w:rPr>
        <w:rFonts w:hAnsi="FrankRuehl" w:cs="FrankRuehl"/>
        <w:sz w:val="24"/>
        <w:szCs w:val="24"/>
        <w:rtl/>
      </w:rPr>
      <w:fldChar w:fldCharType="end"/>
    </w:r>
  </w:p>
  <w:p w:rsidR="00DC522C" w:rsidRDefault="00DC52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C522C" w:rsidRDefault="00DC52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11DE">
      <w:rPr>
        <w:rFonts w:cs="TopType Jerushalmi"/>
        <w:noProof/>
        <w:color w:val="000000"/>
        <w:sz w:val="14"/>
        <w:szCs w:val="14"/>
      </w:rPr>
      <w:t>D:\Yael\hakika\Revadim\073_035.doc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26A2" w:rsidRDefault="006826A2" w:rsidP="002411DE">
      <w:pPr>
        <w:spacing w:before="60" w:line="240" w:lineRule="auto"/>
        <w:ind w:right="1134"/>
      </w:pPr>
      <w:r>
        <w:separator/>
      </w:r>
    </w:p>
  </w:footnote>
  <w:footnote w:type="continuationSeparator" w:id="0">
    <w:p w:rsidR="006826A2" w:rsidRDefault="006826A2">
      <w:r>
        <w:continuationSeparator/>
      </w:r>
    </w:p>
  </w:footnote>
  <w:footnote w:id="1">
    <w:p w:rsidR="002411DE" w:rsidRDefault="002411DE" w:rsidP="002411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411DE">
        <w:rPr>
          <w:rFonts w:cs="FrankRuehl"/>
          <w:rtl/>
        </w:rPr>
        <w:t xml:space="preserve">* </w:t>
      </w:r>
      <w:r>
        <w:rPr>
          <w:rFonts w:cs="FrankRuehl"/>
          <w:rtl/>
        </w:rPr>
        <w:t>פו</w:t>
      </w:r>
      <w:r>
        <w:rPr>
          <w:rFonts w:cs="FrankRuehl" w:hint="cs"/>
          <w:rtl/>
        </w:rPr>
        <w:t xml:space="preserve">רסם </w:t>
      </w:r>
      <w:hyperlink r:id="rId1" w:history="1">
        <w:r w:rsidRPr="002712CB">
          <w:rPr>
            <w:rStyle w:val="Hyperlink"/>
            <w:rFonts w:cs="FrankRuehl"/>
            <w:rtl/>
          </w:rPr>
          <w:t>ס</w:t>
        </w:r>
        <w:r w:rsidRPr="002712CB">
          <w:rPr>
            <w:rStyle w:val="Hyperlink"/>
            <w:rFonts w:cs="FrankRuehl" w:hint="cs"/>
            <w:rtl/>
          </w:rPr>
          <w:t>"ח תשכ"ז מס' 502</w:t>
        </w:r>
      </w:hyperlink>
      <w:r>
        <w:rPr>
          <w:rFonts w:cs="FrankRuehl" w:hint="cs"/>
          <w:rtl/>
        </w:rPr>
        <w:t xml:space="preserve"> מיום 14.7.1967 עמ' 82 (</w:t>
      </w:r>
      <w:hyperlink r:id="rId2" w:history="1">
        <w:r w:rsidRPr="006910D2">
          <w:rPr>
            <w:rStyle w:val="Hyperlink"/>
            <w:rFonts w:cs="FrankRuehl" w:hint="cs"/>
            <w:rtl/>
          </w:rPr>
          <w:t>ה"ח תשכ"ז מס' 733</w:t>
        </w:r>
      </w:hyperlink>
      <w:r>
        <w:rPr>
          <w:rFonts w:cs="FrankRuehl" w:hint="cs"/>
          <w:rtl/>
        </w:rPr>
        <w:t xml:space="preserve"> עמ' 160).</w:t>
      </w:r>
    </w:p>
    <w:p w:rsidR="002411DE" w:rsidRPr="002411DE" w:rsidRDefault="002411DE" w:rsidP="002411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ת"ט </w:t>
      </w:r>
      <w:hyperlink r:id="rId3" w:history="1">
        <w:r w:rsidRPr="002D5BC3">
          <w:rPr>
            <w:rStyle w:val="Hyperlink"/>
            <w:rFonts w:cs="FrankRuehl" w:hint="cs"/>
            <w:rtl/>
          </w:rPr>
          <w:t>ס"ח תשכ"ז מס' 503</w:t>
        </w:r>
      </w:hyperlink>
      <w:r>
        <w:rPr>
          <w:rFonts w:cs="FrankRuehl" w:hint="cs"/>
          <w:rtl/>
        </w:rPr>
        <w:t xml:space="preserve"> מיום 20.7.1967 עמ' 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522C" w:rsidRDefault="00DC52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החנינה, תשכ"ז–1967</w:t>
    </w:r>
  </w:p>
  <w:p w:rsidR="00DC522C" w:rsidRDefault="00DC52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522C" w:rsidRDefault="00DC52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522C" w:rsidRDefault="00DC522C" w:rsidP="002411D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החנינה, תשכ"ז</w:t>
    </w:r>
    <w:r w:rsidR="002411DE">
      <w:rPr>
        <w:rFonts w:hAnsi="FrankRuehl" w:cs="FrankRuehl" w:hint="cs"/>
        <w:color w:val="000000"/>
        <w:sz w:val="28"/>
        <w:szCs w:val="28"/>
        <w:rtl/>
      </w:rPr>
      <w:t>-</w:t>
    </w:r>
    <w:r>
      <w:rPr>
        <w:rFonts w:hAnsi="FrankRuehl" w:cs="FrankRuehl"/>
        <w:color w:val="000000"/>
        <w:sz w:val="28"/>
        <w:szCs w:val="28"/>
        <w:rtl/>
      </w:rPr>
      <w:t>1967</w:t>
    </w:r>
  </w:p>
  <w:p w:rsidR="00DC522C" w:rsidRDefault="00DC52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522C" w:rsidRDefault="00DC52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6237"/>
    <w:rsid w:val="00024C0B"/>
    <w:rsid w:val="000B10BD"/>
    <w:rsid w:val="000B6237"/>
    <w:rsid w:val="00110330"/>
    <w:rsid w:val="00126395"/>
    <w:rsid w:val="001E55DC"/>
    <w:rsid w:val="002411DE"/>
    <w:rsid w:val="002712CB"/>
    <w:rsid w:val="002B2426"/>
    <w:rsid w:val="002B74C9"/>
    <w:rsid w:val="002D5BC3"/>
    <w:rsid w:val="002F1D1A"/>
    <w:rsid w:val="003A2C46"/>
    <w:rsid w:val="0040685F"/>
    <w:rsid w:val="004506ED"/>
    <w:rsid w:val="00466685"/>
    <w:rsid w:val="00467E49"/>
    <w:rsid w:val="0053371E"/>
    <w:rsid w:val="00620C88"/>
    <w:rsid w:val="006826A2"/>
    <w:rsid w:val="006910D2"/>
    <w:rsid w:val="007D0E56"/>
    <w:rsid w:val="008662A0"/>
    <w:rsid w:val="00906E55"/>
    <w:rsid w:val="00920182"/>
    <w:rsid w:val="009303A3"/>
    <w:rsid w:val="009827A1"/>
    <w:rsid w:val="00A52E96"/>
    <w:rsid w:val="00AD6370"/>
    <w:rsid w:val="00D6033B"/>
    <w:rsid w:val="00DC522C"/>
    <w:rsid w:val="00E872B8"/>
    <w:rsid w:val="00EE433C"/>
    <w:rsid w:val="00F1623D"/>
    <w:rsid w:val="00F900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61298C8-B257-46F5-BADD-E7DBD894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110330"/>
    <w:rPr>
      <w:color w:val="800080"/>
      <w:u w:val="single"/>
    </w:rPr>
  </w:style>
  <w:style w:type="paragraph" w:styleId="a5">
    <w:name w:val="footnote text"/>
    <w:basedOn w:val="a"/>
    <w:semiHidden/>
    <w:rsid w:val="002411DE"/>
    <w:rPr>
      <w:sz w:val="20"/>
      <w:szCs w:val="20"/>
    </w:rPr>
  </w:style>
  <w:style w:type="character" w:styleId="a6">
    <w:name w:val="footnote reference"/>
    <w:basedOn w:val="a0"/>
    <w:semiHidden/>
    <w:rsid w:val="002411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503.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503.pdf" TargetMode="External"/><Relationship Id="rId2" Type="http://schemas.openxmlformats.org/officeDocument/2006/relationships/hyperlink" Target="http://www.nevo.co.il/Law_word/law17/PROP-0733.pdf" TargetMode="External"/><Relationship Id="rId1" Type="http://schemas.openxmlformats.org/officeDocument/2006/relationships/hyperlink" Target="http://www.nevo.co.il/Law_word/law14/LAW-05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73</vt:lpstr>
    </vt:vector>
  </TitlesOfParts>
  <Company/>
  <LinksUpToDate>false</LinksUpToDate>
  <CharactersWithSpaces>5451</CharactersWithSpaces>
  <SharedDoc>false</SharedDoc>
  <HLinks>
    <vt:vector size="72" baseType="variant">
      <vt:variant>
        <vt:i4>8323087</vt:i4>
      </vt:variant>
      <vt:variant>
        <vt:i4>48</vt:i4>
      </vt:variant>
      <vt:variant>
        <vt:i4>0</vt:i4>
      </vt:variant>
      <vt:variant>
        <vt:i4>5</vt:i4>
      </vt:variant>
      <vt:variant>
        <vt:lpwstr>http://www.nevo.co.il/Law_word/law14/LAW-0503.pdf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8323087</vt:i4>
      </vt:variant>
      <vt:variant>
        <vt:i4>6</vt:i4>
      </vt:variant>
      <vt:variant>
        <vt:i4>0</vt:i4>
      </vt:variant>
      <vt:variant>
        <vt:i4>5</vt:i4>
      </vt:variant>
      <vt:variant>
        <vt:lpwstr>http://www.nevo.co.il/Law_word/law14/LAW-0503.pdf</vt:lpwstr>
      </vt:variant>
      <vt:variant>
        <vt:lpwstr/>
      </vt:variant>
      <vt:variant>
        <vt:i4>852094</vt:i4>
      </vt:variant>
      <vt:variant>
        <vt:i4>3</vt:i4>
      </vt:variant>
      <vt:variant>
        <vt:i4>0</vt:i4>
      </vt:variant>
      <vt:variant>
        <vt:i4>5</vt:i4>
      </vt:variant>
      <vt:variant>
        <vt:lpwstr>http://www.nevo.co.il/Law_word/law17/PROP-0733.pdf</vt:lpwstr>
      </vt:variant>
      <vt:variant>
        <vt:lpwstr/>
      </vt:variant>
      <vt:variant>
        <vt:i4>8323086</vt:i4>
      </vt:variant>
      <vt:variant>
        <vt:i4>0</vt:i4>
      </vt:variant>
      <vt:variant>
        <vt:i4>0</vt:i4>
      </vt:variant>
      <vt:variant>
        <vt:i4>5</vt:i4>
      </vt:variant>
      <vt:variant>
        <vt:lpwstr>http://www.nevo.co.il/Law_word/law14/LAW-0502.pdf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73</dc:title>
  <dc:subject/>
  <dc:creator>Liat Blumberger</dc:creator>
  <cp:keywords/>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0073</vt:lpwstr>
  </property>
  <property fmtid="{D5CDD505-2E9C-101B-9397-08002B2CF9AE}" pid="3" name="CHNAME">
    <vt:lpwstr>דיני עונשין</vt:lpwstr>
  </property>
  <property fmtid="{D5CDD505-2E9C-101B-9397-08002B2CF9AE}" pid="4" name="LAWNAME">
    <vt:lpwstr>חוק החנינה, תשכ"ז-1967</vt:lpwstr>
  </property>
  <property fmtid="{D5CDD505-2E9C-101B-9397-08002B2CF9AE}" pid="5" name="LAWNUMBER">
    <vt:lpwstr>0035</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חנינה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