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3C23" w14:textId="77777777" w:rsidR="002475BF" w:rsidRDefault="002475BF">
      <w:pPr>
        <w:pStyle w:val="big-header"/>
        <w:ind w:left="0" w:right="1134"/>
        <w:rPr>
          <w:rFonts w:hint="cs"/>
          <w:rtl/>
        </w:rPr>
      </w:pPr>
      <w:r>
        <w:rPr>
          <w:rtl/>
        </w:rPr>
        <w:t>חוק הלוואות לשכר לימוד, תשס"ב-2002</w:t>
      </w:r>
    </w:p>
    <w:p w14:paraId="1A3BD3FF" w14:textId="77777777" w:rsidR="00914C9F" w:rsidRDefault="00914C9F" w:rsidP="00914C9F">
      <w:pPr>
        <w:spacing w:line="320" w:lineRule="auto"/>
        <w:jc w:val="left"/>
        <w:rPr>
          <w:rFonts w:hint="cs"/>
          <w:rtl/>
        </w:rPr>
      </w:pPr>
    </w:p>
    <w:p w14:paraId="0440A9D8" w14:textId="77777777" w:rsidR="002C73FF" w:rsidRDefault="002C73FF" w:rsidP="00914C9F">
      <w:pPr>
        <w:spacing w:line="320" w:lineRule="auto"/>
        <w:jc w:val="left"/>
        <w:rPr>
          <w:rFonts w:hint="cs"/>
          <w:rtl/>
        </w:rPr>
      </w:pPr>
    </w:p>
    <w:p w14:paraId="3FC06C88" w14:textId="77777777" w:rsidR="00914C9F" w:rsidRPr="00914C9F" w:rsidRDefault="00914C9F" w:rsidP="00914C9F">
      <w:pPr>
        <w:spacing w:line="320" w:lineRule="auto"/>
        <w:jc w:val="left"/>
        <w:rPr>
          <w:rFonts w:cs="Miriam" w:hint="cs"/>
          <w:szCs w:val="22"/>
          <w:rtl/>
        </w:rPr>
      </w:pPr>
      <w:r w:rsidRPr="00914C9F">
        <w:rPr>
          <w:rFonts w:cs="Miriam"/>
          <w:szCs w:val="22"/>
          <w:rtl/>
        </w:rPr>
        <w:t>רשויות ומשפט מנהלי</w:t>
      </w:r>
      <w:r w:rsidRPr="00914C9F">
        <w:rPr>
          <w:rFonts w:cs="FrankRuehl"/>
          <w:szCs w:val="26"/>
          <w:rtl/>
        </w:rPr>
        <w:t xml:space="preserve"> – חינוך – השכלה גבוהה</w:t>
      </w:r>
    </w:p>
    <w:p w14:paraId="54106590" w14:textId="77777777" w:rsidR="002475BF" w:rsidRDefault="002475BF">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475BF" w14:paraId="15B8F069" w14:textId="77777777">
        <w:tblPrEx>
          <w:tblCellMar>
            <w:top w:w="0" w:type="dxa"/>
            <w:bottom w:w="0" w:type="dxa"/>
          </w:tblCellMar>
        </w:tblPrEx>
        <w:tc>
          <w:tcPr>
            <w:tcW w:w="850" w:type="dxa"/>
          </w:tcPr>
          <w:p w14:paraId="14151C15" w14:textId="77777777" w:rsidR="002475BF" w:rsidRDefault="002475B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EA4EBA">
              <w:rPr>
                <w:noProof/>
                <w:sz w:val="24"/>
                <w:rtl/>
              </w:rPr>
              <w:t>2</w:t>
            </w:r>
            <w:r>
              <w:rPr>
                <w:sz w:val="24"/>
                <w:rtl/>
              </w:rPr>
              <w:fldChar w:fldCharType="end"/>
            </w:r>
          </w:p>
        </w:tc>
        <w:tc>
          <w:tcPr>
            <w:tcW w:w="567" w:type="dxa"/>
          </w:tcPr>
          <w:p w14:paraId="08E31225" w14:textId="77777777" w:rsidR="002475BF" w:rsidRDefault="002475BF">
            <w:pPr>
              <w:spacing w:line="240" w:lineRule="auto"/>
              <w:rPr>
                <w:sz w:val="24"/>
              </w:rPr>
            </w:pPr>
            <w:hyperlink w:anchor="Seif0" w:tooltip="הגדרות" w:history="1">
              <w:r>
                <w:rPr>
                  <w:rStyle w:val="Hyperlink"/>
                </w:rPr>
                <w:t>Go</w:t>
              </w:r>
            </w:hyperlink>
          </w:p>
        </w:tc>
        <w:tc>
          <w:tcPr>
            <w:tcW w:w="5669" w:type="dxa"/>
          </w:tcPr>
          <w:p w14:paraId="0A3BD7FB" w14:textId="77777777" w:rsidR="002475BF" w:rsidRDefault="002475BF">
            <w:pPr>
              <w:spacing w:line="240" w:lineRule="auto"/>
              <w:rPr>
                <w:sz w:val="24"/>
                <w:rtl/>
              </w:rPr>
            </w:pPr>
            <w:r>
              <w:rPr>
                <w:sz w:val="24"/>
                <w:rtl/>
              </w:rPr>
              <w:t>הגדרות</w:t>
            </w:r>
          </w:p>
        </w:tc>
        <w:tc>
          <w:tcPr>
            <w:tcW w:w="1247" w:type="dxa"/>
          </w:tcPr>
          <w:p w14:paraId="34D9770D" w14:textId="77777777" w:rsidR="002475BF" w:rsidRDefault="002475BF">
            <w:pPr>
              <w:spacing w:line="240" w:lineRule="auto"/>
              <w:rPr>
                <w:sz w:val="24"/>
              </w:rPr>
            </w:pPr>
            <w:r>
              <w:rPr>
                <w:sz w:val="24"/>
                <w:rtl/>
              </w:rPr>
              <w:t xml:space="preserve">סעיף 1 </w:t>
            </w:r>
          </w:p>
        </w:tc>
      </w:tr>
      <w:tr w:rsidR="002475BF" w14:paraId="2BA6F33A" w14:textId="77777777">
        <w:tblPrEx>
          <w:tblCellMar>
            <w:top w:w="0" w:type="dxa"/>
            <w:bottom w:w="0" w:type="dxa"/>
          </w:tblCellMar>
        </w:tblPrEx>
        <w:tc>
          <w:tcPr>
            <w:tcW w:w="850" w:type="dxa"/>
          </w:tcPr>
          <w:p w14:paraId="72EBB8F1" w14:textId="77777777" w:rsidR="002475BF" w:rsidRDefault="002475B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EA4EBA">
              <w:rPr>
                <w:noProof/>
                <w:sz w:val="24"/>
                <w:rtl/>
              </w:rPr>
              <w:t>2</w:t>
            </w:r>
            <w:r>
              <w:rPr>
                <w:sz w:val="24"/>
                <w:rtl/>
              </w:rPr>
              <w:fldChar w:fldCharType="end"/>
            </w:r>
          </w:p>
        </w:tc>
        <w:tc>
          <w:tcPr>
            <w:tcW w:w="567" w:type="dxa"/>
          </w:tcPr>
          <w:p w14:paraId="5822FCB8" w14:textId="77777777" w:rsidR="002475BF" w:rsidRDefault="002475BF">
            <w:pPr>
              <w:spacing w:line="240" w:lineRule="auto"/>
              <w:rPr>
                <w:sz w:val="24"/>
              </w:rPr>
            </w:pPr>
            <w:hyperlink w:anchor="Seif1" w:tooltip="זכאות להלוואה" w:history="1">
              <w:r>
                <w:rPr>
                  <w:rStyle w:val="Hyperlink"/>
                </w:rPr>
                <w:t>Go</w:t>
              </w:r>
            </w:hyperlink>
          </w:p>
        </w:tc>
        <w:tc>
          <w:tcPr>
            <w:tcW w:w="5669" w:type="dxa"/>
          </w:tcPr>
          <w:p w14:paraId="514612C2" w14:textId="77777777" w:rsidR="002475BF" w:rsidRDefault="002475BF">
            <w:pPr>
              <w:spacing w:line="240" w:lineRule="auto"/>
              <w:rPr>
                <w:sz w:val="24"/>
                <w:rtl/>
              </w:rPr>
            </w:pPr>
            <w:r>
              <w:rPr>
                <w:sz w:val="24"/>
                <w:rtl/>
              </w:rPr>
              <w:t>זכאות להלוואה</w:t>
            </w:r>
          </w:p>
        </w:tc>
        <w:tc>
          <w:tcPr>
            <w:tcW w:w="1247" w:type="dxa"/>
          </w:tcPr>
          <w:p w14:paraId="084A763F" w14:textId="77777777" w:rsidR="002475BF" w:rsidRDefault="002475BF">
            <w:pPr>
              <w:spacing w:line="240" w:lineRule="auto"/>
              <w:rPr>
                <w:sz w:val="24"/>
              </w:rPr>
            </w:pPr>
            <w:r>
              <w:rPr>
                <w:sz w:val="24"/>
                <w:rtl/>
              </w:rPr>
              <w:t xml:space="preserve">סעיף 2 </w:t>
            </w:r>
          </w:p>
        </w:tc>
      </w:tr>
      <w:tr w:rsidR="002475BF" w14:paraId="044065BF" w14:textId="77777777">
        <w:tblPrEx>
          <w:tblCellMar>
            <w:top w:w="0" w:type="dxa"/>
            <w:bottom w:w="0" w:type="dxa"/>
          </w:tblCellMar>
        </w:tblPrEx>
        <w:tc>
          <w:tcPr>
            <w:tcW w:w="850" w:type="dxa"/>
          </w:tcPr>
          <w:p w14:paraId="3ECDD595" w14:textId="77777777" w:rsidR="002475BF" w:rsidRDefault="002475B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EA4EBA">
              <w:rPr>
                <w:noProof/>
                <w:sz w:val="24"/>
                <w:rtl/>
              </w:rPr>
              <w:t>3</w:t>
            </w:r>
            <w:r>
              <w:rPr>
                <w:sz w:val="24"/>
                <w:rtl/>
              </w:rPr>
              <w:fldChar w:fldCharType="end"/>
            </w:r>
          </w:p>
        </w:tc>
        <w:tc>
          <w:tcPr>
            <w:tcW w:w="567" w:type="dxa"/>
          </w:tcPr>
          <w:p w14:paraId="798782FA" w14:textId="77777777" w:rsidR="002475BF" w:rsidRDefault="002475BF">
            <w:pPr>
              <w:spacing w:line="240" w:lineRule="auto"/>
              <w:rPr>
                <w:sz w:val="24"/>
              </w:rPr>
            </w:pPr>
            <w:hyperlink w:anchor="Seif2" w:tooltip="תקופת הזכאות" w:history="1">
              <w:r>
                <w:rPr>
                  <w:rStyle w:val="Hyperlink"/>
                </w:rPr>
                <w:t>Go</w:t>
              </w:r>
            </w:hyperlink>
          </w:p>
        </w:tc>
        <w:tc>
          <w:tcPr>
            <w:tcW w:w="5669" w:type="dxa"/>
          </w:tcPr>
          <w:p w14:paraId="5EB8A675" w14:textId="77777777" w:rsidR="002475BF" w:rsidRDefault="002475BF">
            <w:pPr>
              <w:spacing w:line="240" w:lineRule="auto"/>
              <w:rPr>
                <w:sz w:val="24"/>
                <w:rtl/>
              </w:rPr>
            </w:pPr>
            <w:r>
              <w:rPr>
                <w:sz w:val="24"/>
                <w:rtl/>
              </w:rPr>
              <w:t>תקופת הזכאות</w:t>
            </w:r>
          </w:p>
        </w:tc>
        <w:tc>
          <w:tcPr>
            <w:tcW w:w="1247" w:type="dxa"/>
          </w:tcPr>
          <w:p w14:paraId="6CD6B73C" w14:textId="77777777" w:rsidR="002475BF" w:rsidRDefault="002475BF">
            <w:pPr>
              <w:spacing w:line="240" w:lineRule="auto"/>
              <w:rPr>
                <w:sz w:val="24"/>
              </w:rPr>
            </w:pPr>
            <w:r>
              <w:rPr>
                <w:sz w:val="24"/>
                <w:rtl/>
              </w:rPr>
              <w:t xml:space="preserve">סעיף 3 </w:t>
            </w:r>
          </w:p>
        </w:tc>
      </w:tr>
      <w:tr w:rsidR="002475BF" w14:paraId="42807DCA" w14:textId="77777777">
        <w:tblPrEx>
          <w:tblCellMar>
            <w:top w:w="0" w:type="dxa"/>
            <w:bottom w:w="0" w:type="dxa"/>
          </w:tblCellMar>
        </w:tblPrEx>
        <w:tc>
          <w:tcPr>
            <w:tcW w:w="850" w:type="dxa"/>
          </w:tcPr>
          <w:p w14:paraId="358C080F" w14:textId="77777777" w:rsidR="002475BF" w:rsidRDefault="002475B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EA4EBA">
              <w:rPr>
                <w:noProof/>
                <w:sz w:val="24"/>
                <w:rtl/>
              </w:rPr>
              <w:t>3</w:t>
            </w:r>
            <w:r>
              <w:rPr>
                <w:sz w:val="24"/>
                <w:rtl/>
              </w:rPr>
              <w:fldChar w:fldCharType="end"/>
            </w:r>
          </w:p>
        </w:tc>
        <w:tc>
          <w:tcPr>
            <w:tcW w:w="567" w:type="dxa"/>
          </w:tcPr>
          <w:p w14:paraId="581DFFB7" w14:textId="77777777" w:rsidR="002475BF" w:rsidRDefault="002475BF">
            <w:pPr>
              <w:spacing w:line="240" w:lineRule="auto"/>
              <w:rPr>
                <w:sz w:val="24"/>
              </w:rPr>
            </w:pPr>
            <w:hyperlink w:anchor="Seif3" w:tooltip="זכאות להלוואה לתואר אחד בלבד" w:history="1">
              <w:r>
                <w:rPr>
                  <w:rStyle w:val="Hyperlink"/>
                </w:rPr>
                <w:t>Go</w:t>
              </w:r>
            </w:hyperlink>
          </w:p>
        </w:tc>
        <w:tc>
          <w:tcPr>
            <w:tcW w:w="5669" w:type="dxa"/>
          </w:tcPr>
          <w:p w14:paraId="11E7E846" w14:textId="77777777" w:rsidR="002475BF" w:rsidRDefault="002475BF">
            <w:pPr>
              <w:spacing w:line="240" w:lineRule="auto"/>
              <w:rPr>
                <w:sz w:val="24"/>
                <w:rtl/>
              </w:rPr>
            </w:pPr>
            <w:r>
              <w:rPr>
                <w:sz w:val="24"/>
                <w:rtl/>
              </w:rPr>
              <w:t>זכאות להלוואה לתואר אחד בלבד</w:t>
            </w:r>
          </w:p>
        </w:tc>
        <w:tc>
          <w:tcPr>
            <w:tcW w:w="1247" w:type="dxa"/>
          </w:tcPr>
          <w:p w14:paraId="08C68246" w14:textId="77777777" w:rsidR="002475BF" w:rsidRDefault="002475BF">
            <w:pPr>
              <w:spacing w:line="240" w:lineRule="auto"/>
              <w:rPr>
                <w:sz w:val="24"/>
              </w:rPr>
            </w:pPr>
            <w:r>
              <w:rPr>
                <w:sz w:val="24"/>
                <w:rtl/>
              </w:rPr>
              <w:t xml:space="preserve">סעיף 4 </w:t>
            </w:r>
          </w:p>
        </w:tc>
      </w:tr>
      <w:tr w:rsidR="002475BF" w14:paraId="131B2A36" w14:textId="77777777">
        <w:tblPrEx>
          <w:tblCellMar>
            <w:top w:w="0" w:type="dxa"/>
            <w:bottom w:w="0" w:type="dxa"/>
          </w:tblCellMar>
        </w:tblPrEx>
        <w:tc>
          <w:tcPr>
            <w:tcW w:w="850" w:type="dxa"/>
          </w:tcPr>
          <w:p w14:paraId="5666775D" w14:textId="77777777" w:rsidR="002475BF" w:rsidRDefault="002475B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EA4EBA">
              <w:rPr>
                <w:noProof/>
                <w:sz w:val="24"/>
                <w:rtl/>
              </w:rPr>
              <w:t>3</w:t>
            </w:r>
            <w:r>
              <w:rPr>
                <w:sz w:val="24"/>
                <w:rtl/>
              </w:rPr>
              <w:fldChar w:fldCharType="end"/>
            </w:r>
          </w:p>
        </w:tc>
        <w:tc>
          <w:tcPr>
            <w:tcW w:w="567" w:type="dxa"/>
          </w:tcPr>
          <w:p w14:paraId="33FE017A" w14:textId="77777777" w:rsidR="002475BF" w:rsidRDefault="002475BF">
            <w:pPr>
              <w:spacing w:line="240" w:lineRule="auto"/>
              <w:rPr>
                <w:sz w:val="24"/>
              </w:rPr>
            </w:pPr>
            <w:hyperlink w:anchor="Seif4" w:tooltip="העברת ההלוואה" w:history="1">
              <w:r>
                <w:rPr>
                  <w:rStyle w:val="Hyperlink"/>
                </w:rPr>
                <w:t>Go</w:t>
              </w:r>
            </w:hyperlink>
          </w:p>
        </w:tc>
        <w:tc>
          <w:tcPr>
            <w:tcW w:w="5669" w:type="dxa"/>
          </w:tcPr>
          <w:p w14:paraId="328B853B" w14:textId="77777777" w:rsidR="002475BF" w:rsidRDefault="002475BF">
            <w:pPr>
              <w:spacing w:line="240" w:lineRule="auto"/>
              <w:rPr>
                <w:sz w:val="24"/>
                <w:rtl/>
              </w:rPr>
            </w:pPr>
            <w:r>
              <w:rPr>
                <w:sz w:val="24"/>
                <w:rtl/>
              </w:rPr>
              <w:t>העברת ההלוואה</w:t>
            </w:r>
          </w:p>
        </w:tc>
        <w:tc>
          <w:tcPr>
            <w:tcW w:w="1247" w:type="dxa"/>
          </w:tcPr>
          <w:p w14:paraId="2D82EF18" w14:textId="77777777" w:rsidR="002475BF" w:rsidRDefault="002475BF">
            <w:pPr>
              <w:spacing w:line="240" w:lineRule="auto"/>
              <w:rPr>
                <w:sz w:val="24"/>
              </w:rPr>
            </w:pPr>
            <w:r>
              <w:rPr>
                <w:sz w:val="24"/>
                <w:rtl/>
              </w:rPr>
              <w:t xml:space="preserve">סעיף 5 </w:t>
            </w:r>
          </w:p>
        </w:tc>
      </w:tr>
      <w:tr w:rsidR="002475BF" w14:paraId="7117D969" w14:textId="77777777">
        <w:tblPrEx>
          <w:tblCellMar>
            <w:top w:w="0" w:type="dxa"/>
            <w:bottom w:w="0" w:type="dxa"/>
          </w:tblCellMar>
        </w:tblPrEx>
        <w:tc>
          <w:tcPr>
            <w:tcW w:w="850" w:type="dxa"/>
          </w:tcPr>
          <w:p w14:paraId="142F1FD4" w14:textId="77777777" w:rsidR="002475BF" w:rsidRDefault="002475BF">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EA4EBA">
              <w:rPr>
                <w:noProof/>
                <w:sz w:val="24"/>
                <w:rtl/>
              </w:rPr>
              <w:t>3</w:t>
            </w:r>
            <w:r>
              <w:rPr>
                <w:sz w:val="24"/>
                <w:rtl/>
              </w:rPr>
              <w:fldChar w:fldCharType="end"/>
            </w:r>
          </w:p>
        </w:tc>
        <w:tc>
          <w:tcPr>
            <w:tcW w:w="567" w:type="dxa"/>
          </w:tcPr>
          <w:p w14:paraId="6EE4C30E" w14:textId="77777777" w:rsidR="002475BF" w:rsidRDefault="002475BF">
            <w:pPr>
              <w:spacing w:line="240" w:lineRule="auto"/>
              <w:rPr>
                <w:sz w:val="24"/>
              </w:rPr>
            </w:pPr>
            <w:hyperlink w:anchor="Seif5" w:tooltip="תנאי ההלוואה" w:history="1">
              <w:r>
                <w:rPr>
                  <w:rStyle w:val="Hyperlink"/>
                </w:rPr>
                <w:t>Go</w:t>
              </w:r>
            </w:hyperlink>
          </w:p>
        </w:tc>
        <w:tc>
          <w:tcPr>
            <w:tcW w:w="5669" w:type="dxa"/>
          </w:tcPr>
          <w:p w14:paraId="591BF562" w14:textId="77777777" w:rsidR="002475BF" w:rsidRDefault="002475BF">
            <w:pPr>
              <w:spacing w:line="240" w:lineRule="auto"/>
              <w:rPr>
                <w:sz w:val="24"/>
                <w:rtl/>
              </w:rPr>
            </w:pPr>
            <w:r>
              <w:rPr>
                <w:sz w:val="24"/>
                <w:rtl/>
              </w:rPr>
              <w:t>תנאי ההלוואה</w:t>
            </w:r>
          </w:p>
        </w:tc>
        <w:tc>
          <w:tcPr>
            <w:tcW w:w="1247" w:type="dxa"/>
          </w:tcPr>
          <w:p w14:paraId="20A18FD6" w14:textId="77777777" w:rsidR="002475BF" w:rsidRDefault="002475BF">
            <w:pPr>
              <w:spacing w:line="240" w:lineRule="auto"/>
              <w:rPr>
                <w:sz w:val="24"/>
              </w:rPr>
            </w:pPr>
            <w:r>
              <w:rPr>
                <w:sz w:val="24"/>
                <w:rtl/>
              </w:rPr>
              <w:t xml:space="preserve">סעיף 6 </w:t>
            </w:r>
          </w:p>
        </w:tc>
      </w:tr>
      <w:tr w:rsidR="002475BF" w14:paraId="35ECCF9C" w14:textId="77777777">
        <w:tblPrEx>
          <w:tblCellMar>
            <w:top w:w="0" w:type="dxa"/>
            <w:bottom w:w="0" w:type="dxa"/>
          </w:tblCellMar>
        </w:tblPrEx>
        <w:tc>
          <w:tcPr>
            <w:tcW w:w="850" w:type="dxa"/>
          </w:tcPr>
          <w:p w14:paraId="3AFC74BA" w14:textId="77777777" w:rsidR="002475BF" w:rsidRDefault="002475BF">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EA4EBA">
              <w:rPr>
                <w:noProof/>
                <w:sz w:val="24"/>
                <w:rtl/>
              </w:rPr>
              <w:t>3</w:t>
            </w:r>
            <w:r>
              <w:rPr>
                <w:sz w:val="24"/>
                <w:rtl/>
              </w:rPr>
              <w:fldChar w:fldCharType="end"/>
            </w:r>
          </w:p>
        </w:tc>
        <w:tc>
          <w:tcPr>
            <w:tcW w:w="567" w:type="dxa"/>
          </w:tcPr>
          <w:p w14:paraId="0216C67C" w14:textId="77777777" w:rsidR="002475BF" w:rsidRDefault="002475BF">
            <w:pPr>
              <w:spacing w:line="240" w:lineRule="auto"/>
              <w:rPr>
                <w:sz w:val="24"/>
              </w:rPr>
            </w:pPr>
            <w:hyperlink w:anchor="Seif6" w:tooltip="ביצוע ותקנות" w:history="1">
              <w:r>
                <w:rPr>
                  <w:rStyle w:val="Hyperlink"/>
                </w:rPr>
                <w:t>Go</w:t>
              </w:r>
            </w:hyperlink>
          </w:p>
        </w:tc>
        <w:tc>
          <w:tcPr>
            <w:tcW w:w="5669" w:type="dxa"/>
          </w:tcPr>
          <w:p w14:paraId="3EC93E64" w14:textId="77777777" w:rsidR="002475BF" w:rsidRDefault="002475BF">
            <w:pPr>
              <w:spacing w:line="240" w:lineRule="auto"/>
              <w:rPr>
                <w:sz w:val="24"/>
                <w:rtl/>
              </w:rPr>
            </w:pPr>
            <w:r>
              <w:rPr>
                <w:sz w:val="24"/>
                <w:rtl/>
              </w:rPr>
              <w:t>ביצוע ותקנות</w:t>
            </w:r>
          </w:p>
        </w:tc>
        <w:tc>
          <w:tcPr>
            <w:tcW w:w="1247" w:type="dxa"/>
          </w:tcPr>
          <w:p w14:paraId="496B56C6" w14:textId="77777777" w:rsidR="002475BF" w:rsidRDefault="002475BF">
            <w:pPr>
              <w:spacing w:line="240" w:lineRule="auto"/>
              <w:rPr>
                <w:sz w:val="24"/>
              </w:rPr>
            </w:pPr>
            <w:r>
              <w:rPr>
                <w:sz w:val="24"/>
                <w:rtl/>
              </w:rPr>
              <w:t xml:space="preserve">סעיף 7 </w:t>
            </w:r>
          </w:p>
        </w:tc>
      </w:tr>
      <w:tr w:rsidR="002475BF" w14:paraId="6D5AE96A" w14:textId="77777777">
        <w:tblPrEx>
          <w:tblCellMar>
            <w:top w:w="0" w:type="dxa"/>
            <w:bottom w:w="0" w:type="dxa"/>
          </w:tblCellMar>
        </w:tblPrEx>
        <w:tc>
          <w:tcPr>
            <w:tcW w:w="850" w:type="dxa"/>
          </w:tcPr>
          <w:p w14:paraId="58E559CE" w14:textId="77777777" w:rsidR="002475BF" w:rsidRDefault="002475BF">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EA4EBA">
              <w:rPr>
                <w:noProof/>
                <w:sz w:val="24"/>
                <w:rtl/>
              </w:rPr>
              <w:t>3</w:t>
            </w:r>
            <w:r>
              <w:rPr>
                <w:sz w:val="24"/>
                <w:rtl/>
              </w:rPr>
              <w:fldChar w:fldCharType="end"/>
            </w:r>
          </w:p>
        </w:tc>
        <w:tc>
          <w:tcPr>
            <w:tcW w:w="567" w:type="dxa"/>
          </w:tcPr>
          <w:p w14:paraId="71B30E46" w14:textId="77777777" w:rsidR="002475BF" w:rsidRDefault="002475BF">
            <w:pPr>
              <w:spacing w:line="240" w:lineRule="auto"/>
              <w:rPr>
                <w:sz w:val="24"/>
              </w:rPr>
            </w:pPr>
            <w:hyperlink w:anchor="Seif7" w:tooltip="תחילה" w:history="1">
              <w:r>
                <w:rPr>
                  <w:rStyle w:val="Hyperlink"/>
                </w:rPr>
                <w:t>Go</w:t>
              </w:r>
            </w:hyperlink>
          </w:p>
        </w:tc>
        <w:tc>
          <w:tcPr>
            <w:tcW w:w="5669" w:type="dxa"/>
          </w:tcPr>
          <w:p w14:paraId="7D37767B" w14:textId="77777777" w:rsidR="002475BF" w:rsidRDefault="002475BF">
            <w:pPr>
              <w:spacing w:line="240" w:lineRule="auto"/>
              <w:rPr>
                <w:sz w:val="24"/>
                <w:rtl/>
              </w:rPr>
            </w:pPr>
            <w:r>
              <w:rPr>
                <w:sz w:val="24"/>
                <w:rtl/>
              </w:rPr>
              <w:t>תחילה</w:t>
            </w:r>
          </w:p>
        </w:tc>
        <w:tc>
          <w:tcPr>
            <w:tcW w:w="1247" w:type="dxa"/>
          </w:tcPr>
          <w:p w14:paraId="53C951FB" w14:textId="77777777" w:rsidR="002475BF" w:rsidRDefault="002475BF">
            <w:pPr>
              <w:spacing w:line="240" w:lineRule="auto"/>
              <w:rPr>
                <w:sz w:val="24"/>
              </w:rPr>
            </w:pPr>
            <w:r>
              <w:rPr>
                <w:sz w:val="24"/>
                <w:rtl/>
              </w:rPr>
              <w:t xml:space="preserve">סעיף 8 </w:t>
            </w:r>
          </w:p>
        </w:tc>
      </w:tr>
    </w:tbl>
    <w:p w14:paraId="53B9828A" w14:textId="77777777" w:rsidR="002475BF" w:rsidRDefault="002475BF">
      <w:pPr>
        <w:pStyle w:val="big-header"/>
        <w:ind w:left="0" w:right="1134"/>
        <w:rPr>
          <w:rtl/>
        </w:rPr>
      </w:pPr>
    </w:p>
    <w:p w14:paraId="0ED1CBDE" w14:textId="77777777" w:rsidR="002475BF" w:rsidRDefault="002475BF" w:rsidP="00914C9F">
      <w:pPr>
        <w:pStyle w:val="big-header"/>
        <w:ind w:left="0" w:right="1134"/>
        <w:rPr>
          <w:rStyle w:val="default"/>
          <w:rFonts w:cs="FrankRuehl" w:hint="cs"/>
          <w:rtl/>
        </w:rPr>
      </w:pPr>
      <w:r>
        <w:rPr>
          <w:rtl/>
        </w:rPr>
        <w:br w:type="page"/>
      </w:r>
      <w:r>
        <w:rPr>
          <w:rtl/>
        </w:rPr>
        <w:lastRenderedPageBreak/>
        <w:t>ח</w:t>
      </w:r>
      <w:r>
        <w:rPr>
          <w:rFonts w:hint="cs"/>
          <w:rtl/>
        </w:rPr>
        <w:t>וק הלוואות לשכר לימוד, תשס"ב-2002</w:t>
      </w:r>
      <w:r w:rsidR="00EA4EBA">
        <w:rPr>
          <w:rStyle w:val="a7"/>
          <w:rtl/>
        </w:rPr>
        <w:footnoteReference w:customMarkFollows="1" w:id="1"/>
        <w:t>*</w:t>
      </w:r>
    </w:p>
    <w:p w14:paraId="2186AE0F" w14:textId="77777777" w:rsidR="002475BF" w:rsidRDefault="002475BF">
      <w:pPr>
        <w:pStyle w:val="P00"/>
        <w:spacing w:before="72"/>
        <w:ind w:left="0" w:right="1134"/>
        <w:rPr>
          <w:rStyle w:val="default"/>
          <w:rFonts w:cs="FrankRuehl" w:hint="cs"/>
          <w:rtl/>
        </w:rPr>
      </w:pPr>
      <w:bookmarkStart w:id="0" w:name="Seif0"/>
      <w:bookmarkEnd w:id="0"/>
      <w:r>
        <w:rPr>
          <w:lang w:val="he-IL"/>
        </w:rPr>
        <w:pict w14:anchorId="39F201DE">
          <v:rect id="_x0000_s1026" style="position:absolute;left:0;text-align:left;margin-left:464.5pt;margin-top:8.05pt;width:75.05pt;height:10pt;z-index:251653632" o:allowincell="f" filled="f" stroked="f" strokecolor="lime" strokeweight=".25pt">
            <v:textbox inset="0,0,0,0">
              <w:txbxContent>
                <w:p w14:paraId="7A2DEAB8" w14:textId="77777777" w:rsidR="00E317EF" w:rsidRDefault="00E317E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EC4F3A">
        <w:rPr>
          <w:rStyle w:val="default"/>
          <w:rFonts w:cs="FrankRuehl" w:hint="cs"/>
          <w:rtl/>
        </w:rPr>
        <w:t xml:space="preserve">חוק זה </w:t>
      </w:r>
      <w:r w:rsidR="00EC4F3A">
        <w:rPr>
          <w:rStyle w:val="default"/>
          <w:rFonts w:cs="FrankRuehl"/>
          <w:rtl/>
        </w:rPr>
        <w:t>–</w:t>
      </w:r>
    </w:p>
    <w:p w14:paraId="46D047F2" w14:textId="77777777" w:rsidR="002475BF" w:rsidRDefault="002475BF" w:rsidP="00EC4F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המועצה להשכלה גבוהה" </w:t>
      </w:r>
      <w:r w:rsidR="002C73FF">
        <w:rPr>
          <w:rStyle w:val="default"/>
          <w:rFonts w:cs="FrankRuehl"/>
          <w:rtl/>
        </w:rPr>
        <w:t>–</w:t>
      </w:r>
      <w:r>
        <w:rPr>
          <w:rStyle w:val="default"/>
          <w:rFonts w:cs="FrankRuehl" w:hint="cs"/>
          <w:rtl/>
        </w:rPr>
        <w:t xml:space="preserve"> חוק המועצה להשכלה גבוהה, תשי"ח-1958;</w:t>
      </w:r>
    </w:p>
    <w:p w14:paraId="3F64E83B" w14:textId="77777777" w:rsidR="002475BF" w:rsidRDefault="002475BF" w:rsidP="00EC4F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מוסד</w:t>
      </w:r>
      <w:r>
        <w:rPr>
          <w:rStyle w:val="default"/>
          <w:rFonts w:cs="FrankRuehl"/>
          <w:rtl/>
        </w:rPr>
        <w:t xml:space="preserve">" </w:t>
      </w:r>
      <w:r w:rsidR="002C73FF">
        <w:rPr>
          <w:rStyle w:val="default"/>
          <w:rFonts w:cs="FrankRuehl"/>
          <w:rtl/>
        </w:rPr>
        <w:t>–</w:t>
      </w:r>
      <w:r>
        <w:rPr>
          <w:rStyle w:val="default"/>
          <w:rFonts w:cs="FrankRuehl"/>
          <w:rtl/>
        </w:rPr>
        <w:t xml:space="preserve"> </w:t>
      </w:r>
      <w:r>
        <w:rPr>
          <w:rStyle w:val="default"/>
          <w:rFonts w:cs="FrankRuehl" w:hint="cs"/>
          <w:rtl/>
        </w:rPr>
        <w:t>מוסד שהוא אחד מאלה:</w:t>
      </w:r>
    </w:p>
    <w:p w14:paraId="1D2DE6B1" w14:textId="77777777" w:rsidR="002475BF" w:rsidRDefault="002475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מוסד שקיבל הכרה לפי סעיף 9 לחוק המועצה להשכלה גבוהה;</w:t>
      </w:r>
    </w:p>
    <w:p w14:paraId="04F7E42E" w14:textId="77777777" w:rsidR="002475BF" w:rsidRDefault="002475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מוסד שקיבל תעודת היתר או אישור לפי סעיף 21א לחוק המועצה להשכלה גבוהה;</w:t>
      </w:r>
    </w:p>
    <w:p w14:paraId="34F95DF4" w14:textId="77777777" w:rsidR="002475BF" w:rsidRDefault="002475B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מוסד שהתואר שהוא מעניק הוכר לפי סעיף 28א לחוק המועצה להשכלה גבוהה;</w:t>
      </w:r>
    </w:p>
    <w:p w14:paraId="5D9617AE" w14:textId="77777777" w:rsidR="002475BF" w:rsidRDefault="002475BF">
      <w:pPr>
        <w:pStyle w:val="P22"/>
        <w:spacing w:before="72"/>
        <w:ind w:left="1021" w:right="1134"/>
        <w:rPr>
          <w:rStyle w:val="default"/>
          <w:rFonts w:cs="FrankRuehl" w:hint="cs"/>
          <w:rtl/>
        </w:rPr>
      </w:pPr>
      <w:r>
        <w:rPr>
          <w:rtl/>
          <w:lang w:val="he-IL"/>
        </w:rPr>
        <w:pict w14:anchorId="143E7AE4">
          <v:shapetype id="_x0000_t202" coordsize="21600,21600" o:spt="202" path="m,l,21600r21600,l21600,xe">
            <v:stroke joinstyle="miter"/>
            <v:path gradientshapeok="t" o:connecttype="rect"/>
          </v:shapetype>
          <v:shape id="_x0000_s1034" type="#_x0000_t202" style="position:absolute;left:0;text-align:left;margin-left:470.25pt;margin-top:3.75pt;width:1in;height:22.4pt;z-index:251661824" filled="f" stroked="f">
            <v:textbox style="mso-next-textbox:#_x0000_s1034" inset="1mm,,1mm">
              <w:txbxContent>
                <w:p w14:paraId="4F8AB012" w14:textId="77777777" w:rsidR="00E317EF" w:rsidRDefault="00E317EF">
                  <w:pPr>
                    <w:spacing w:line="160" w:lineRule="exact"/>
                    <w:jc w:val="left"/>
                    <w:rPr>
                      <w:rFonts w:cs="Miriam" w:hint="cs"/>
                      <w:szCs w:val="18"/>
                      <w:rtl/>
                    </w:rPr>
                  </w:pPr>
                  <w:r>
                    <w:rPr>
                      <w:rFonts w:cs="Miriam" w:hint="cs"/>
                      <w:szCs w:val="18"/>
                      <w:rtl/>
                    </w:rPr>
                    <w:t>(תיקון מס' 2) תשס"ג-2003</w:t>
                  </w:r>
                </w:p>
              </w:txbxContent>
            </v:textbox>
            <w10:anchorlock/>
          </v:shape>
        </w:pict>
      </w:r>
      <w:r>
        <w:rPr>
          <w:rStyle w:val="default"/>
          <w:rFonts w:cs="FrankRuehl"/>
          <w:rtl/>
        </w:rPr>
        <w:t>(4)</w:t>
      </w:r>
      <w:r>
        <w:rPr>
          <w:rStyle w:val="default"/>
          <w:rFonts w:cs="FrankRuehl"/>
          <w:rtl/>
        </w:rPr>
        <w:tab/>
      </w:r>
      <w:r>
        <w:rPr>
          <w:rStyle w:val="default"/>
          <w:rFonts w:cs="FrankRuehl" w:hint="cs"/>
          <w:rtl/>
        </w:rPr>
        <w:t>(נמחקה);</w:t>
      </w:r>
    </w:p>
    <w:p w14:paraId="62175755" w14:textId="77777777" w:rsidR="007C14BD" w:rsidRPr="00EC4F3A" w:rsidRDefault="007C14BD" w:rsidP="007C14BD">
      <w:pPr>
        <w:pStyle w:val="P00"/>
        <w:spacing w:before="0"/>
        <w:ind w:left="0" w:right="1134"/>
        <w:rPr>
          <w:rStyle w:val="default"/>
          <w:rFonts w:cs="FrankRuehl" w:hint="cs"/>
          <w:vanish/>
          <w:color w:val="FF0000"/>
          <w:szCs w:val="20"/>
          <w:shd w:val="clear" w:color="auto" w:fill="FFFF99"/>
          <w:rtl/>
        </w:rPr>
      </w:pPr>
      <w:bookmarkStart w:id="1" w:name="Rov9"/>
      <w:r w:rsidRPr="00EC4F3A">
        <w:rPr>
          <w:rStyle w:val="default"/>
          <w:rFonts w:cs="FrankRuehl" w:hint="cs"/>
          <w:vanish/>
          <w:color w:val="FF0000"/>
          <w:szCs w:val="20"/>
          <w:shd w:val="clear" w:color="auto" w:fill="FFFF99"/>
          <w:rtl/>
        </w:rPr>
        <w:t>מיום 1.6.2003</w:t>
      </w:r>
    </w:p>
    <w:p w14:paraId="347E5203" w14:textId="77777777" w:rsidR="007C14BD" w:rsidRPr="00EC4F3A" w:rsidRDefault="007C14BD" w:rsidP="007C14BD">
      <w:pPr>
        <w:pStyle w:val="P00"/>
        <w:spacing w:before="0"/>
        <w:ind w:left="0" w:right="1134"/>
        <w:rPr>
          <w:rStyle w:val="default"/>
          <w:rFonts w:cs="FrankRuehl" w:hint="cs"/>
          <w:vanish/>
          <w:szCs w:val="20"/>
          <w:shd w:val="clear" w:color="auto" w:fill="FFFF99"/>
          <w:rtl/>
        </w:rPr>
      </w:pPr>
      <w:r w:rsidRPr="00EC4F3A">
        <w:rPr>
          <w:rStyle w:val="default"/>
          <w:rFonts w:cs="FrankRuehl" w:hint="cs"/>
          <w:b/>
          <w:bCs/>
          <w:vanish/>
          <w:szCs w:val="20"/>
          <w:shd w:val="clear" w:color="auto" w:fill="FFFF99"/>
          <w:rtl/>
        </w:rPr>
        <w:t xml:space="preserve">תיקון מס' </w:t>
      </w:r>
      <w:r w:rsidRPr="00EC4F3A">
        <w:rPr>
          <w:rStyle w:val="default"/>
          <w:rFonts w:cs="FrankRuehl" w:hint="cs"/>
          <w:vanish/>
          <w:szCs w:val="20"/>
          <w:shd w:val="clear" w:color="auto" w:fill="FFFF99"/>
          <w:rtl/>
        </w:rPr>
        <w:t>3</w:t>
      </w:r>
    </w:p>
    <w:p w14:paraId="6D1D19C6" w14:textId="77777777" w:rsidR="007C14BD" w:rsidRPr="00EC4F3A" w:rsidRDefault="007C14BD" w:rsidP="007C14BD">
      <w:pPr>
        <w:pStyle w:val="P00"/>
        <w:spacing w:before="0"/>
        <w:ind w:left="0" w:right="1134"/>
        <w:rPr>
          <w:rStyle w:val="default"/>
          <w:rFonts w:cs="FrankRuehl" w:hint="cs"/>
          <w:vanish/>
          <w:szCs w:val="20"/>
          <w:shd w:val="clear" w:color="auto" w:fill="FFFF99"/>
          <w:rtl/>
        </w:rPr>
      </w:pPr>
      <w:hyperlink r:id="rId6" w:history="1">
        <w:r w:rsidRPr="00EC4F3A">
          <w:rPr>
            <w:rStyle w:val="Hyperlink"/>
            <w:rFonts w:hint="cs"/>
            <w:vanish/>
            <w:szCs w:val="20"/>
            <w:shd w:val="clear" w:color="auto" w:fill="FFFF99"/>
            <w:rtl/>
          </w:rPr>
          <w:t>ס"ח תשס"ג מס' 1892</w:t>
        </w:r>
      </w:hyperlink>
      <w:r w:rsidRPr="00EC4F3A">
        <w:rPr>
          <w:rStyle w:val="default"/>
          <w:rFonts w:cs="FrankRuehl" w:hint="cs"/>
          <w:vanish/>
          <w:szCs w:val="20"/>
          <w:shd w:val="clear" w:color="auto" w:fill="FFFF99"/>
          <w:rtl/>
        </w:rPr>
        <w:t xml:space="preserve"> מיום 1.6.2003 עמ' 394 (</w:t>
      </w:r>
      <w:hyperlink r:id="rId7" w:history="1">
        <w:r w:rsidRPr="00EC4F3A">
          <w:rPr>
            <w:rStyle w:val="Hyperlink"/>
            <w:rFonts w:hint="cs"/>
            <w:vanish/>
            <w:szCs w:val="20"/>
            <w:shd w:val="clear" w:color="auto" w:fill="FFFF99"/>
            <w:rtl/>
          </w:rPr>
          <w:t>ה"ח 25</w:t>
        </w:r>
      </w:hyperlink>
      <w:r w:rsidRPr="00EC4F3A">
        <w:rPr>
          <w:rStyle w:val="default"/>
          <w:rFonts w:cs="FrankRuehl" w:hint="cs"/>
          <w:vanish/>
          <w:szCs w:val="20"/>
          <w:shd w:val="clear" w:color="auto" w:fill="FFFF99"/>
          <w:rtl/>
        </w:rPr>
        <w:t>)</w:t>
      </w:r>
    </w:p>
    <w:p w14:paraId="1072B539" w14:textId="77777777" w:rsidR="007C14BD" w:rsidRPr="00EC4F3A" w:rsidRDefault="007C14BD" w:rsidP="007C14BD">
      <w:pPr>
        <w:pStyle w:val="P00"/>
        <w:spacing w:before="0"/>
        <w:ind w:left="0" w:right="1134"/>
        <w:rPr>
          <w:rStyle w:val="default"/>
          <w:rFonts w:cs="FrankRuehl" w:hint="cs"/>
          <w:b/>
          <w:bCs/>
          <w:vanish/>
          <w:szCs w:val="20"/>
          <w:shd w:val="clear" w:color="auto" w:fill="FFFF99"/>
          <w:rtl/>
        </w:rPr>
      </w:pPr>
      <w:r w:rsidRPr="00EC4F3A">
        <w:rPr>
          <w:rStyle w:val="default"/>
          <w:rFonts w:cs="FrankRuehl" w:hint="cs"/>
          <w:b/>
          <w:bCs/>
          <w:vanish/>
          <w:szCs w:val="20"/>
          <w:shd w:val="clear" w:color="auto" w:fill="FFFF99"/>
          <w:rtl/>
        </w:rPr>
        <w:t>מחיקת פסקה (4) להגדרת "מוסד"</w:t>
      </w:r>
    </w:p>
    <w:p w14:paraId="1B9EFB97" w14:textId="77777777" w:rsidR="007C14BD" w:rsidRPr="00EC4F3A" w:rsidRDefault="007C14BD" w:rsidP="007C14BD">
      <w:pPr>
        <w:pStyle w:val="P00"/>
        <w:ind w:left="0" w:right="1134"/>
        <w:rPr>
          <w:rStyle w:val="default"/>
          <w:rFonts w:cs="FrankRuehl" w:hint="cs"/>
          <w:vanish/>
          <w:szCs w:val="20"/>
          <w:shd w:val="clear" w:color="auto" w:fill="FFFF99"/>
          <w:rtl/>
        </w:rPr>
      </w:pPr>
      <w:r w:rsidRPr="00EC4F3A">
        <w:rPr>
          <w:rStyle w:val="default"/>
          <w:rFonts w:cs="FrankRuehl" w:hint="cs"/>
          <w:vanish/>
          <w:szCs w:val="20"/>
          <w:shd w:val="clear" w:color="auto" w:fill="FFFF99"/>
          <w:rtl/>
        </w:rPr>
        <w:t>הנוסח הקודם:</w:t>
      </w:r>
    </w:p>
    <w:p w14:paraId="3D2685F4" w14:textId="77777777" w:rsidR="007C14BD" w:rsidRPr="007C14BD" w:rsidRDefault="007C14BD" w:rsidP="007C14BD">
      <w:pPr>
        <w:pStyle w:val="P00"/>
        <w:spacing w:before="0"/>
        <w:ind w:left="0" w:right="1134"/>
        <w:rPr>
          <w:rStyle w:val="default"/>
          <w:rFonts w:cs="FrankRuehl" w:hint="cs"/>
          <w:strike/>
          <w:sz w:val="2"/>
          <w:szCs w:val="2"/>
          <w:shd w:val="clear" w:color="auto" w:fill="FFFF99"/>
          <w:rtl/>
        </w:rPr>
      </w:pPr>
      <w:r w:rsidRPr="00EC4F3A">
        <w:rPr>
          <w:rStyle w:val="default"/>
          <w:rFonts w:cs="FrankRuehl" w:hint="cs"/>
          <w:strike/>
          <w:vanish/>
          <w:sz w:val="22"/>
          <w:szCs w:val="22"/>
          <w:shd w:val="clear" w:color="auto" w:fill="FFFF99"/>
          <w:rtl/>
        </w:rPr>
        <w:t>(4)</w:t>
      </w:r>
      <w:r w:rsidRPr="00EC4F3A">
        <w:rPr>
          <w:rStyle w:val="default"/>
          <w:rFonts w:cs="FrankRuehl" w:hint="cs"/>
          <w:strike/>
          <w:vanish/>
          <w:sz w:val="22"/>
          <w:szCs w:val="22"/>
          <w:shd w:val="clear" w:color="auto" w:fill="FFFF99"/>
          <w:rtl/>
        </w:rPr>
        <w:tab/>
        <w:t>מוסד שקיבל רישיון לפי סעיפים 25ג ו-25ד לחוק המועצה גבוהה או רישיון זמני לפי סעיף 25ט לחוק המועצה להשכלה גבוהה.</w:t>
      </w:r>
      <w:bookmarkEnd w:id="1"/>
    </w:p>
    <w:p w14:paraId="09EDC107" w14:textId="77777777" w:rsidR="002475BF" w:rsidRDefault="002475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מועצה להשכלה גבוהה" </w:t>
      </w:r>
      <w:r w:rsidR="002C73FF">
        <w:rPr>
          <w:rStyle w:val="default"/>
          <w:rFonts w:cs="FrankRuehl"/>
          <w:rtl/>
        </w:rPr>
        <w:t>–</w:t>
      </w:r>
      <w:r>
        <w:rPr>
          <w:rStyle w:val="default"/>
          <w:rFonts w:cs="FrankRuehl" w:hint="cs"/>
          <w:rtl/>
        </w:rPr>
        <w:t xml:space="preserve"> המועצה להשכלה גבוהה כמשמעותה בחוק המועצה להשכלה גבוהה;</w:t>
      </w:r>
    </w:p>
    <w:p w14:paraId="0112E5CA" w14:textId="77777777" w:rsidR="002475BF" w:rsidRDefault="002475BF" w:rsidP="00EC4F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סטודנט" </w:t>
      </w:r>
      <w:r w:rsidR="002C73FF">
        <w:rPr>
          <w:rStyle w:val="default"/>
          <w:rFonts w:cs="FrankRuehl"/>
          <w:rtl/>
        </w:rPr>
        <w:t>–</w:t>
      </w:r>
      <w:r>
        <w:rPr>
          <w:rStyle w:val="default"/>
          <w:rFonts w:cs="FrankRuehl" w:hint="cs"/>
          <w:rtl/>
        </w:rPr>
        <w:t xml:space="preserve"> אזרח ישראלי או תושב ישראל הלומד במוסד לקראת תואר אקדמי ראשון.</w:t>
      </w:r>
    </w:p>
    <w:p w14:paraId="4D062B5B" w14:textId="77777777" w:rsidR="002475BF" w:rsidRDefault="002475BF" w:rsidP="00EC4F3A">
      <w:pPr>
        <w:pStyle w:val="P00"/>
        <w:spacing w:before="72"/>
        <w:ind w:left="0" w:right="1134"/>
        <w:rPr>
          <w:rStyle w:val="default"/>
          <w:rFonts w:cs="FrankRuehl"/>
          <w:rtl/>
        </w:rPr>
      </w:pPr>
      <w:bookmarkStart w:id="2" w:name="Seif1"/>
      <w:bookmarkEnd w:id="2"/>
      <w:r>
        <w:rPr>
          <w:lang w:val="he-IL"/>
        </w:rPr>
        <w:pict w14:anchorId="3BFD3D1E">
          <v:rect id="_x0000_s1027" style="position:absolute;left:0;text-align:left;margin-left:464.5pt;margin-top:8.05pt;width:75.05pt;height:28.1pt;z-index:251654656" o:allowincell="f" filled="f" stroked="f" strokecolor="lime" strokeweight=".25pt">
            <v:textbox inset="0,0,0,0">
              <w:txbxContent>
                <w:p w14:paraId="65A99EEB" w14:textId="77777777" w:rsidR="00E317EF" w:rsidRDefault="00E317EF">
                  <w:pPr>
                    <w:spacing w:line="160" w:lineRule="exact"/>
                    <w:jc w:val="left"/>
                    <w:rPr>
                      <w:rFonts w:cs="Miriam" w:hint="cs"/>
                      <w:szCs w:val="18"/>
                      <w:rtl/>
                    </w:rPr>
                  </w:pPr>
                  <w:r>
                    <w:rPr>
                      <w:rFonts w:cs="Miriam"/>
                      <w:szCs w:val="18"/>
                      <w:rtl/>
                    </w:rPr>
                    <w:t>ז</w:t>
                  </w:r>
                  <w:r>
                    <w:rPr>
                      <w:rFonts w:cs="Miriam" w:hint="cs"/>
                      <w:szCs w:val="18"/>
                      <w:rtl/>
                    </w:rPr>
                    <w:t>כאו</w:t>
                  </w:r>
                  <w:r>
                    <w:rPr>
                      <w:rFonts w:cs="Miriam"/>
                      <w:szCs w:val="18"/>
                      <w:rtl/>
                    </w:rPr>
                    <w:t>ת</w:t>
                  </w:r>
                  <w:r>
                    <w:rPr>
                      <w:rFonts w:cs="Miriam" w:hint="cs"/>
                      <w:szCs w:val="18"/>
                      <w:rtl/>
                    </w:rPr>
                    <w:t xml:space="preserve"> ל</w:t>
                  </w:r>
                  <w:r>
                    <w:rPr>
                      <w:rFonts w:cs="Miriam"/>
                      <w:szCs w:val="18"/>
                      <w:rtl/>
                    </w:rPr>
                    <w:t>ה</w:t>
                  </w:r>
                  <w:r>
                    <w:rPr>
                      <w:rFonts w:cs="Miriam" w:hint="cs"/>
                      <w:szCs w:val="18"/>
                      <w:rtl/>
                    </w:rPr>
                    <w:t>לוואה</w:t>
                  </w:r>
                </w:p>
                <w:p w14:paraId="37428E10" w14:textId="77777777" w:rsidR="00E317EF" w:rsidRDefault="00E317EF" w:rsidP="00EC4F3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תשס"ג-2002</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סטודנט זכאי, בתקופת הזכאות לפי סעיף 3, לגבי כל אחת משנות הלימודים שהוא לומד בפועל בישראל או באזור, להלוואה בשיעור שלא יעלה על גובה שכר הלימוד השנתי במוסדות שהמדינה משתתפת בתקציביהם או בשיעור שלא יעלה על גובה שכר הלימוד שהוא נדרש לשלם בעבור לימודיו במוסד שבו הוא לומד, הנמוך מ</w:t>
      </w:r>
      <w:r>
        <w:rPr>
          <w:rStyle w:val="default"/>
          <w:rFonts w:cs="FrankRuehl"/>
          <w:rtl/>
        </w:rPr>
        <w:t>ב</w:t>
      </w:r>
      <w:r>
        <w:rPr>
          <w:rStyle w:val="default"/>
          <w:rFonts w:cs="FrankRuehl" w:hint="cs"/>
          <w:rtl/>
        </w:rPr>
        <w:t xml:space="preserve">יניהם; שר האוצר יקבע תנאים ואמות מידה לקביעת שיעור ההלוואה, בין השאר בהתחשב במצבו החברתי והכלכלי של הסטודנט; בסעיף קטן זה, "אזור" </w:t>
      </w:r>
      <w:r w:rsidR="002C73FF">
        <w:rPr>
          <w:rStyle w:val="default"/>
          <w:rFonts w:cs="FrankRuehl"/>
          <w:rtl/>
        </w:rPr>
        <w:t>–</w:t>
      </w:r>
      <w:r>
        <w:rPr>
          <w:rStyle w:val="default"/>
          <w:rFonts w:cs="FrankRuehl" w:hint="cs"/>
          <w:rtl/>
        </w:rPr>
        <w:t xml:space="preserve"> כהגדרתו בחוק להארכת תוקפן של תקנות שעת חירום (יהודה והשומרון וחבל עזה - שיפוט בעבירות ועזרה משפטית), תשכ"ח-1967.</w:t>
      </w:r>
    </w:p>
    <w:p w14:paraId="00BA2C03" w14:textId="77777777" w:rsidR="002475BF" w:rsidRDefault="002475BF" w:rsidP="00EC4F3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בסעיף קטן (א), סטודנט הזכאי להשתתפות, מלאה או חלקית, בשכר הלימוד שהוא נדרש לשלם בעבור לימודיו, במוסד שבו הוא לומד, מאוצר המדינה או מכספי רשויות מקומיות או מכוח הסכם קיבוצי (להלן </w:t>
      </w:r>
      <w:r w:rsidR="002C73FF">
        <w:rPr>
          <w:rStyle w:val="default"/>
          <w:rFonts w:cs="FrankRuehl"/>
          <w:rtl/>
        </w:rPr>
        <w:t>–</w:t>
      </w:r>
      <w:r>
        <w:rPr>
          <w:rStyle w:val="default"/>
          <w:rFonts w:cs="FrankRuehl" w:hint="cs"/>
          <w:rtl/>
        </w:rPr>
        <w:t xml:space="preserve"> סכום ההשתתפות), זכאי להלוואה כאמור בסעיף קטן</w:t>
      </w:r>
      <w:r>
        <w:rPr>
          <w:rStyle w:val="default"/>
          <w:rFonts w:cs="FrankRuehl"/>
          <w:rtl/>
        </w:rPr>
        <w:t xml:space="preserve"> (</w:t>
      </w:r>
      <w:r>
        <w:rPr>
          <w:rStyle w:val="default"/>
          <w:rFonts w:cs="FrankRuehl" w:hint="cs"/>
          <w:rtl/>
        </w:rPr>
        <w:t xml:space="preserve">א) בניכוי סכום ההשתתפות; שר האוצר ושר החינוך יקבעו תקנות לביצוע סעיף קטן זה; בסעיף קטן זה, "הסכם קיבוצי" </w:t>
      </w:r>
      <w:r w:rsidR="002C73FF">
        <w:rPr>
          <w:rStyle w:val="default"/>
          <w:rFonts w:cs="FrankRuehl"/>
          <w:rtl/>
        </w:rPr>
        <w:t>–</w:t>
      </w:r>
      <w:r>
        <w:rPr>
          <w:rStyle w:val="default"/>
          <w:rFonts w:cs="FrankRuehl" w:hint="cs"/>
          <w:rtl/>
        </w:rPr>
        <w:t xml:space="preserve"> הסכם קיבוצי כמשמעותו בחוק הסכמים קיבוציים, תשי"ז-1957, לרבות צו הרחבה, כמשמעותו בחוק האמור, והסדר קיבוצי בכתב.</w:t>
      </w:r>
    </w:p>
    <w:p w14:paraId="013727E4" w14:textId="77777777" w:rsidR="007C14BD" w:rsidRPr="00EC4F3A" w:rsidRDefault="007C14BD" w:rsidP="007C14BD">
      <w:pPr>
        <w:pStyle w:val="P00"/>
        <w:spacing w:before="0"/>
        <w:ind w:left="0" w:right="1134"/>
        <w:rPr>
          <w:rFonts w:hint="cs"/>
          <w:b/>
          <w:bCs/>
          <w:vanish/>
          <w:szCs w:val="20"/>
          <w:shd w:val="clear" w:color="auto" w:fill="FFFF99"/>
          <w:rtl/>
        </w:rPr>
      </w:pPr>
      <w:bookmarkStart w:id="3" w:name="Rov10"/>
      <w:r w:rsidRPr="00EC4F3A">
        <w:rPr>
          <w:rFonts w:hint="cs"/>
          <w:vanish/>
          <w:color w:val="FF0000"/>
          <w:szCs w:val="20"/>
          <w:shd w:val="clear" w:color="auto" w:fill="FFFF99"/>
          <w:rtl/>
        </w:rPr>
        <w:t>מיום 1.1.2003</w:t>
      </w:r>
    </w:p>
    <w:p w14:paraId="3C01FD2B" w14:textId="77777777" w:rsidR="007C14BD" w:rsidRPr="00EC4F3A" w:rsidRDefault="007C14BD" w:rsidP="007C14BD">
      <w:pPr>
        <w:pStyle w:val="P00"/>
        <w:spacing w:before="0"/>
        <w:ind w:left="0" w:right="1134"/>
        <w:rPr>
          <w:rFonts w:hint="cs"/>
          <w:b/>
          <w:bCs/>
          <w:vanish/>
          <w:szCs w:val="20"/>
          <w:shd w:val="clear" w:color="auto" w:fill="FFFF99"/>
          <w:rtl/>
        </w:rPr>
      </w:pPr>
      <w:r w:rsidRPr="00EC4F3A">
        <w:rPr>
          <w:rFonts w:hint="cs"/>
          <w:b/>
          <w:bCs/>
          <w:vanish/>
          <w:szCs w:val="20"/>
          <w:shd w:val="clear" w:color="auto" w:fill="FFFF99"/>
          <w:rtl/>
        </w:rPr>
        <w:t>תיקון מס' 1</w:t>
      </w:r>
    </w:p>
    <w:p w14:paraId="335A2775" w14:textId="77777777" w:rsidR="007C14BD" w:rsidRPr="00EC4F3A" w:rsidRDefault="007C14BD" w:rsidP="007C14BD">
      <w:pPr>
        <w:pStyle w:val="P00"/>
        <w:tabs>
          <w:tab w:val="clear" w:pos="6259"/>
        </w:tabs>
        <w:spacing w:before="0"/>
        <w:ind w:left="0" w:right="1134"/>
        <w:rPr>
          <w:rFonts w:hint="cs"/>
          <w:vanish/>
          <w:szCs w:val="20"/>
          <w:shd w:val="clear" w:color="auto" w:fill="FFFF99"/>
          <w:rtl/>
        </w:rPr>
      </w:pPr>
      <w:hyperlink r:id="rId8" w:history="1">
        <w:r w:rsidRPr="00EC4F3A">
          <w:rPr>
            <w:rStyle w:val="Hyperlink"/>
            <w:rFonts w:hint="cs"/>
            <w:vanish/>
            <w:szCs w:val="20"/>
            <w:shd w:val="clear" w:color="auto" w:fill="FFFF99"/>
            <w:rtl/>
          </w:rPr>
          <w:t>ס"ח תשס"ג מס' 1883</w:t>
        </w:r>
      </w:hyperlink>
      <w:r w:rsidRPr="00EC4F3A">
        <w:rPr>
          <w:rFonts w:hint="cs"/>
          <w:vanish/>
          <w:szCs w:val="20"/>
          <w:shd w:val="clear" w:color="auto" w:fill="FFFF99"/>
          <w:rtl/>
        </w:rPr>
        <w:t xml:space="preserve"> מיום 29.12.2002 עמ' 207 (</w:t>
      </w:r>
      <w:hyperlink r:id="rId9" w:history="1">
        <w:r w:rsidRPr="00EC4F3A">
          <w:rPr>
            <w:rStyle w:val="Hyperlink"/>
            <w:rFonts w:hint="cs"/>
            <w:vanish/>
            <w:szCs w:val="20"/>
            <w:shd w:val="clear" w:color="auto" w:fill="FFFF99"/>
            <w:rtl/>
          </w:rPr>
          <w:t>ה"ח 4</w:t>
        </w:r>
      </w:hyperlink>
      <w:r w:rsidRPr="00EC4F3A">
        <w:rPr>
          <w:rFonts w:hint="cs"/>
          <w:vanish/>
          <w:szCs w:val="20"/>
          <w:shd w:val="clear" w:color="auto" w:fill="FFFF99"/>
          <w:rtl/>
        </w:rPr>
        <w:t>)</w:t>
      </w:r>
    </w:p>
    <w:p w14:paraId="24A89403" w14:textId="77777777" w:rsidR="007C14BD" w:rsidRPr="007C14BD" w:rsidRDefault="007C14BD" w:rsidP="00EC4F3A">
      <w:pPr>
        <w:pStyle w:val="P00"/>
        <w:ind w:left="0" w:right="1134"/>
        <w:rPr>
          <w:rStyle w:val="default"/>
          <w:rFonts w:cs="FrankRuehl" w:hint="cs"/>
          <w:sz w:val="2"/>
          <w:szCs w:val="2"/>
          <w:rtl/>
        </w:rPr>
      </w:pPr>
      <w:r w:rsidRPr="00EC4F3A">
        <w:rPr>
          <w:rStyle w:val="default"/>
          <w:rFonts w:cs="FrankRuehl" w:hint="cs"/>
          <w:vanish/>
          <w:sz w:val="22"/>
          <w:szCs w:val="22"/>
          <w:shd w:val="clear" w:color="auto" w:fill="FFFF99"/>
          <w:rtl/>
        </w:rPr>
        <w:tab/>
      </w:r>
      <w:r w:rsidRPr="00EC4F3A">
        <w:rPr>
          <w:rStyle w:val="default"/>
          <w:rFonts w:cs="FrankRuehl"/>
          <w:vanish/>
          <w:sz w:val="22"/>
          <w:szCs w:val="22"/>
          <w:shd w:val="clear" w:color="auto" w:fill="FFFF99"/>
          <w:rtl/>
        </w:rPr>
        <w:t>(</w:t>
      </w:r>
      <w:r w:rsidRPr="00EC4F3A">
        <w:rPr>
          <w:rStyle w:val="default"/>
          <w:rFonts w:cs="FrankRuehl" w:hint="cs"/>
          <w:vanish/>
          <w:sz w:val="22"/>
          <w:szCs w:val="22"/>
          <w:shd w:val="clear" w:color="auto" w:fill="FFFF99"/>
          <w:rtl/>
        </w:rPr>
        <w:t>א)</w:t>
      </w:r>
      <w:r w:rsidRPr="00EC4F3A">
        <w:rPr>
          <w:rStyle w:val="default"/>
          <w:rFonts w:cs="FrankRuehl"/>
          <w:vanish/>
          <w:sz w:val="22"/>
          <w:szCs w:val="22"/>
          <w:shd w:val="clear" w:color="auto" w:fill="FFFF99"/>
          <w:rtl/>
        </w:rPr>
        <w:tab/>
      </w:r>
      <w:r w:rsidRPr="00EC4F3A">
        <w:rPr>
          <w:rStyle w:val="default"/>
          <w:rFonts w:cs="FrankRuehl" w:hint="cs"/>
          <w:vanish/>
          <w:sz w:val="22"/>
          <w:szCs w:val="22"/>
          <w:shd w:val="clear" w:color="auto" w:fill="FFFF99"/>
          <w:rtl/>
        </w:rPr>
        <w:t xml:space="preserve">סטודנט זכאי, בתקופת הזכאות לפי סעיף 3, לגבי כל אחת משנות הלימודים שהוא לומד בפועל בישראל או באזור, </w:t>
      </w:r>
      <w:r w:rsidRPr="00EC4F3A">
        <w:rPr>
          <w:rStyle w:val="default"/>
          <w:rFonts w:cs="FrankRuehl" w:hint="cs"/>
          <w:strike/>
          <w:vanish/>
          <w:sz w:val="22"/>
          <w:szCs w:val="22"/>
          <w:shd w:val="clear" w:color="auto" w:fill="FFFF99"/>
          <w:rtl/>
        </w:rPr>
        <w:t>להלוואה בגובה</w:t>
      </w:r>
      <w:r w:rsidRPr="00EC4F3A">
        <w:rPr>
          <w:rStyle w:val="default"/>
          <w:rFonts w:cs="FrankRuehl" w:hint="cs"/>
          <w:vanish/>
          <w:sz w:val="22"/>
          <w:szCs w:val="22"/>
          <w:shd w:val="clear" w:color="auto" w:fill="FFFF99"/>
          <w:rtl/>
        </w:rPr>
        <w:t xml:space="preserve"> </w:t>
      </w:r>
      <w:r w:rsidRPr="00EC4F3A">
        <w:rPr>
          <w:rStyle w:val="default"/>
          <w:rFonts w:cs="FrankRuehl" w:hint="cs"/>
          <w:vanish/>
          <w:sz w:val="22"/>
          <w:szCs w:val="22"/>
          <w:u w:val="single"/>
          <w:shd w:val="clear" w:color="auto" w:fill="FFFF99"/>
          <w:rtl/>
        </w:rPr>
        <w:t>להלוואה בשיעור שלא יעלה על גובה</w:t>
      </w:r>
      <w:r w:rsidRPr="00EC4F3A">
        <w:rPr>
          <w:rStyle w:val="default"/>
          <w:rFonts w:cs="FrankRuehl" w:hint="cs"/>
          <w:vanish/>
          <w:sz w:val="22"/>
          <w:szCs w:val="22"/>
          <w:shd w:val="clear" w:color="auto" w:fill="FFFF99"/>
          <w:rtl/>
        </w:rPr>
        <w:t xml:space="preserve"> שכר הלימוד השנתי במוסדות שהמדינה משתתפת בתקציביהם </w:t>
      </w:r>
      <w:r w:rsidRPr="00EC4F3A">
        <w:rPr>
          <w:rStyle w:val="default"/>
          <w:rFonts w:cs="FrankRuehl" w:hint="cs"/>
          <w:strike/>
          <w:vanish/>
          <w:sz w:val="22"/>
          <w:szCs w:val="22"/>
          <w:shd w:val="clear" w:color="auto" w:fill="FFFF99"/>
          <w:rtl/>
        </w:rPr>
        <w:t>או בגובה</w:t>
      </w:r>
      <w:r w:rsidRPr="00EC4F3A">
        <w:rPr>
          <w:rStyle w:val="default"/>
          <w:rFonts w:cs="FrankRuehl" w:hint="cs"/>
          <w:vanish/>
          <w:sz w:val="22"/>
          <w:szCs w:val="22"/>
          <w:shd w:val="clear" w:color="auto" w:fill="FFFF99"/>
          <w:rtl/>
        </w:rPr>
        <w:t xml:space="preserve"> </w:t>
      </w:r>
      <w:r w:rsidRPr="00EC4F3A">
        <w:rPr>
          <w:rStyle w:val="default"/>
          <w:rFonts w:cs="FrankRuehl" w:hint="cs"/>
          <w:vanish/>
          <w:sz w:val="22"/>
          <w:szCs w:val="22"/>
          <w:u w:val="single"/>
          <w:shd w:val="clear" w:color="auto" w:fill="FFFF99"/>
          <w:rtl/>
        </w:rPr>
        <w:t>או בשיעור שלא יעלה על גובה</w:t>
      </w:r>
      <w:r w:rsidRPr="00EC4F3A">
        <w:rPr>
          <w:rStyle w:val="default"/>
          <w:rFonts w:cs="FrankRuehl" w:hint="cs"/>
          <w:vanish/>
          <w:sz w:val="22"/>
          <w:szCs w:val="22"/>
          <w:shd w:val="clear" w:color="auto" w:fill="FFFF99"/>
          <w:rtl/>
        </w:rPr>
        <w:t xml:space="preserve"> שכר הלימוד שהוא נדרש לשלם בעבור לימודיו במוסד שבו הוא לומד, הנמוך מ</w:t>
      </w:r>
      <w:r w:rsidRPr="00EC4F3A">
        <w:rPr>
          <w:rStyle w:val="default"/>
          <w:rFonts w:cs="FrankRuehl"/>
          <w:vanish/>
          <w:sz w:val="22"/>
          <w:szCs w:val="22"/>
          <w:shd w:val="clear" w:color="auto" w:fill="FFFF99"/>
          <w:rtl/>
        </w:rPr>
        <w:t>ב</w:t>
      </w:r>
      <w:r w:rsidRPr="00EC4F3A">
        <w:rPr>
          <w:rStyle w:val="default"/>
          <w:rFonts w:cs="FrankRuehl" w:hint="cs"/>
          <w:vanish/>
          <w:sz w:val="22"/>
          <w:szCs w:val="22"/>
          <w:shd w:val="clear" w:color="auto" w:fill="FFFF99"/>
          <w:rtl/>
        </w:rPr>
        <w:t xml:space="preserve">יניהם; </w:t>
      </w:r>
      <w:r w:rsidRPr="00EC4F3A">
        <w:rPr>
          <w:rStyle w:val="default"/>
          <w:rFonts w:cs="FrankRuehl" w:hint="cs"/>
          <w:vanish/>
          <w:sz w:val="22"/>
          <w:szCs w:val="22"/>
          <w:u w:val="single"/>
          <w:shd w:val="clear" w:color="auto" w:fill="FFFF99"/>
          <w:rtl/>
        </w:rPr>
        <w:t>שר האוצר יקבע תנאים ואמות מידה לקביעת שיעור ההלוואה, בין השאר בהתחשב במצבו החברתי והכלכלי של הסטודנט</w:t>
      </w:r>
      <w:r w:rsidRPr="00EC4F3A">
        <w:rPr>
          <w:rStyle w:val="default"/>
          <w:rFonts w:cs="FrankRuehl" w:hint="cs"/>
          <w:vanish/>
          <w:sz w:val="22"/>
          <w:szCs w:val="22"/>
          <w:shd w:val="clear" w:color="auto" w:fill="FFFF99"/>
          <w:rtl/>
        </w:rPr>
        <w:t>; בסעיף קטן זה, "אזור" - כהגדרתו בחוק להארכת תוקפן של תקנות שעת חירום (יהודה והשומרון וחבל עזה - שיפוט בעבירות ועזרה משפטית), תשכ"ח-1967.</w:t>
      </w:r>
      <w:bookmarkEnd w:id="3"/>
    </w:p>
    <w:p w14:paraId="72430F21" w14:textId="77777777" w:rsidR="002475BF" w:rsidRDefault="002475BF">
      <w:pPr>
        <w:pStyle w:val="P00"/>
        <w:spacing w:before="72"/>
        <w:ind w:left="0" w:right="1134"/>
        <w:rPr>
          <w:rStyle w:val="default"/>
          <w:rFonts w:cs="FrankRuehl"/>
          <w:rtl/>
        </w:rPr>
      </w:pPr>
      <w:bookmarkStart w:id="4" w:name="Seif2"/>
      <w:bookmarkEnd w:id="4"/>
      <w:r>
        <w:rPr>
          <w:lang w:val="he-IL"/>
        </w:rPr>
        <w:pict w14:anchorId="7D1E7BE4">
          <v:rect id="_x0000_s1028" style="position:absolute;left:0;text-align:left;margin-left:464.5pt;margin-top:8.05pt;width:75.05pt;height:10pt;z-index:251655680" o:allowincell="f" filled="f" stroked="f" strokecolor="lime" strokeweight=".25pt">
            <v:textbox style="mso-next-textbox:#_x0000_s1028" inset="0,0,0,0">
              <w:txbxContent>
                <w:p w14:paraId="2C352CED" w14:textId="77777777" w:rsidR="00E317EF" w:rsidRDefault="00E317EF">
                  <w:pPr>
                    <w:spacing w:line="160" w:lineRule="exact"/>
                    <w:jc w:val="left"/>
                    <w:rPr>
                      <w:rFonts w:cs="Miriam"/>
                      <w:noProof/>
                      <w:szCs w:val="18"/>
                      <w:rtl/>
                    </w:rPr>
                  </w:pPr>
                  <w:r>
                    <w:rPr>
                      <w:rFonts w:cs="Miriam"/>
                      <w:szCs w:val="18"/>
                      <w:rtl/>
                    </w:rPr>
                    <w:t>ת</w:t>
                  </w:r>
                  <w:r>
                    <w:rPr>
                      <w:rFonts w:cs="Miriam" w:hint="cs"/>
                      <w:szCs w:val="18"/>
                      <w:rtl/>
                    </w:rPr>
                    <w:t>קופת הזכא</w:t>
                  </w:r>
                  <w:r>
                    <w:rPr>
                      <w:rFonts w:cs="Miriam"/>
                      <w:szCs w:val="18"/>
                      <w:rtl/>
                    </w:rPr>
                    <w:t>ו</w:t>
                  </w:r>
                  <w:r>
                    <w:rPr>
                      <w:rFonts w:cs="Miriam" w:hint="cs"/>
                      <w:szCs w:val="18"/>
                      <w:rtl/>
                    </w:rPr>
                    <w:t>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תקופת הזכאו</w:t>
      </w:r>
      <w:r>
        <w:rPr>
          <w:rStyle w:val="default"/>
          <w:rFonts w:cs="FrankRuehl"/>
          <w:rtl/>
        </w:rPr>
        <w:t>ת</w:t>
      </w:r>
      <w:r>
        <w:rPr>
          <w:rStyle w:val="default"/>
          <w:rFonts w:cs="FrankRuehl" w:hint="cs"/>
          <w:rtl/>
        </w:rPr>
        <w:t xml:space="preserve"> לפי חוק זה, תהיה למשך תקופת הלימודים לתואר אקדמי ראשון שלקראתו לומד הסטודנט, הנהוגה במוסדות שהמדינה משתתפת בתקציביהם, או למשך תקופת הלימודים לתואר כאמור, הנהוגה במוסד שבו לומד הסטודנט, הקצר שביניהם.</w:t>
      </w:r>
    </w:p>
    <w:p w14:paraId="11A84F3D" w14:textId="77777777" w:rsidR="002475BF" w:rsidRDefault="002475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 סעיף קטן (א), רשאי שר האוצר, בהסכמת ש</w:t>
      </w:r>
      <w:r>
        <w:rPr>
          <w:rStyle w:val="default"/>
          <w:rFonts w:cs="FrankRuehl"/>
          <w:rtl/>
        </w:rPr>
        <w:t>ר</w:t>
      </w:r>
      <w:r>
        <w:rPr>
          <w:rStyle w:val="default"/>
          <w:rFonts w:cs="FrankRuehl" w:hint="cs"/>
          <w:rtl/>
        </w:rPr>
        <w:t xml:space="preserve"> החינוך, ובהתייעצות עם המועצה להשכלה גבוהה, לקבוע תקופות זכאות אחרות, בשים לב, בין השאר, לסוג התואר או לסוג המוסד שבו מתקיימים הלימודים.</w:t>
      </w:r>
    </w:p>
    <w:p w14:paraId="00F4A085" w14:textId="77777777" w:rsidR="002475BF" w:rsidRDefault="002475BF">
      <w:pPr>
        <w:pStyle w:val="P00"/>
        <w:spacing w:before="72"/>
        <w:ind w:left="0" w:right="1134"/>
        <w:rPr>
          <w:rStyle w:val="default"/>
          <w:rFonts w:cs="FrankRuehl"/>
          <w:rtl/>
        </w:rPr>
      </w:pPr>
      <w:bookmarkStart w:id="5" w:name="Seif3"/>
      <w:bookmarkEnd w:id="5"/>
      <w:r>
        <w:rPr>
          <w:lang w:val="he-IL"/>
        </w:rPr>
        <w:pict w14:anchorId="1583CB6C">
          <v:rect id="_x0000_s1029" style="position:absolute;left:0;text-align:left;margin-left:464.5pt;margin-top:8.05pt;width:75.05pt;height:18.5pt;z-index:251656704" o:allowincell="f" filled="f" stroked="f" strokecolor="lime" strokeweight=".25pt">
            <v:textbox inset="0,0,0,0">
              <w:txbxContent>
                <w:p w14:paraId="72EEF353" w14:textId="77777777" w:rsidR="00E317EF" w:rsidRDefault="00E317EF" w:rsidP="00EC4F3A">
                  <w:pPr>
                    <w:spacing w:line="160" w:lineRule="exact"/>
                    <w:jc w:val="left"/>
                    <w:rPr>
                      <w:rFonts w:cs="Miriam"/>
                      <w:noProof/>
                      <w:szCs w:val="18"/>
                      <w:rtl/>
                    </w:rPr>
                  </w:pPr>
                  <w:r>
                    <w:rPr>
                      <w:rFonts w:cs="Miriam"/>
                      <w:szCs w:val="18"/>
                      <w:rtl/>
                    </w:rPr>
                    <w:t>ז</w:t>
                  </w:r>
                  <w:r>
                    <w:rPr>
                      <w:rFonts w:cs="Miriam" w:hint="cs"/>
                      <w:szCs w:val="18"/>
                      <w:rtl/>
                    </w:rPr>
                    <w:t xml:space="preserve">כאות להלוואה לתואר אחד </w:t>
                  </w:r>
                  <w:r>
                    <w:rPr>
                      <w:rFonts w:cs="Miriam"/>
                      <w:szCs w:val="18"/>
                      <w:rtl/>
                    </w:rPr>
                    <w:t>ב</w:t>
                  </w:r>
                  <w:r>
                    <w:rPr>
                      <w:rFonts w:cs="Miriam" w:hint="cs"/>
                      <w:szCs w:val="18"/>
                      <w:rtl/>
                    </w:rPr>
                    <w:t>לבד</w:t>
                  </w:r>
                </w:p>
              </w:txbxContent>
            </v:textbox>
            <w10:anchorlock/>
          </v:rect>
        </w:pict>
      </w:r>
      <w:r>
        <w:rPr>
          <w:rStyle w:val="big-number"/>
          <w:rtl/>
        </w:rPr>
        <w:t>4.</w:t>
      </w:r>
      <w:r>
        <w:rPr>
          <w:rStyle w:val="big-number"/>
          <w:rtl/>
        </w:rPr>
        <w:tab/>
      </w:r>
      <w:r>
        <w:rPr>
          <w:rStyle w:val="default"/>
          <w:rFonts w:cs="FrankRuehl"/>
          <w:rtl/>
        </w:rPr>
        <w:t>ס</w:t>
      </w:r>
      <w:r>
        <w:rPr>
          <w:rStyle w:val="default"/>
          <w:rFonts w:cs="FrankRuehl" w:hint="cs"/>
          <w:rtl/>
        </w:rPr>
        <w:t>טודנט זכאי להלוואה לפי הוראות חוק זה, בעבור לימודים לתואר אקדמי ראשון אחד בלבד.</w:t>
      </w:r>
    </w:p>
    <w:p w14:paraId="43BEBB20" w14:textId="77777777" w:rsidR="002475BF" w:rsidRDefault="002475BF">
      <w:pPr>
        <w:pStyle w:val="P00"/>
        <w:spacing w:before="72"/>
        <w:ind w:left="0" w:right="1134"/>
        <w:rPr>
          <w:rStyle w:val="default"/>
          <w:rFonts w:cs="FrankRuehl"/>
          <w:rtl/>
        </w:rPr>
      </w:pPr>
      <w:bookmarkStart w:id="6" w:name="Seif4"/>
      <w:bookmarkEnd w:id="6"/>
      <w:r>
        <w:rPr>
          <w:lang w:val="he-IL"/>
        </w:rPr>
        <w:pict w14:anchorId="7C1FAFCB">
          <v:rect id="_x0000_s1030" style="position:absolute;left:0;text-align:left;margin-left:464.5pt;margin-top:8.05pt;width:75.05pt;height:10pt;z-index:251657728" o:allowincell="f" filled="f" stroked="f" strokecolor="lime" strokeweight=".25pt">
            <v:textbox inset="0,0,0,0">
              <w:txbxContent>
                <w:p w14:paraId="2CF37BB4" w14:textId="77777777" w:rsidR="00E317EF" w:rsidRDefault="00E317EF">
                  <w:pPr>
                    <w:spacing w:line="160" w:lineRule="exact"/>
                    <w:jc w:val="left"/>
                    <w:rPr>
                      <w:rFonts w:cs="Miriam"/>
                      <w:noProof/>
                      <w:szCs w:val="18"/>
                      <w:rtl/>
                    </w:rPr>
                  </w:pPr>
                  <w:r>
                    <w:rPr>
                      <w:rFonts w:cs="Miriam"/>
                      <w:szCs w:val="18"/>
                      <w:rtl/>
                    </w:rPr>
                    <w:t>ה</w:t>
                  </w:r>
                  <w:r>
                    <w:rPr>
                      <w:rFonts w:cs="Miriam" w:hint="cs"/>
                      <w:szCs w:val="18"/>
                      <w:rtl/>
                    </w:rPr>
                    <w:t>ע</w:t>
                  </w:r>
                  <w:r>
                    <w:rPr>
                      <w:rFonts w:cs="Miriam"/>
                      <w:szCs w:val="18"/>
                      <w:rtl/>
                    </w:rPr>
                    <w:t>ב</w:t>
                  </w:r>
                  <w:r>
                    <w:rPr>
                      <w:rFonts w:cs="Miriam" w:hint="cs"/>
                      <w:szCs w:val="18"/>
                      <w:rtl/>
                    </w:rPr>
                    <w:t>רת ההלוואה</w:t>
                  </w:r>
                </w:p>
              </w:txbxContent>
            </v:textbox>
            <w10:anchorlock/>
          </v:rect>
        </w:pict>
      </w:r>
      <w:r>
        <w:rPr>
          <w:rStyle w:val="big-number"/>
          <w:rtl/>
        </w:rPr>
        <w:t>5.</w:t>
      </w:r>
      <w:r>
        <w:rPr>
          <w:rStyle w:val="big-number"/>
          <w:rtl/>
        </w:rPr>
        <w:tab/>
      </w:r>
      <w:r>
        <w:rPr>
          <w:rStyle w:val="default"/>
          <w:rFonts w:cs="FrankRuehl"/>
          <w:rtl/>
        </w:rPr>
        <w:t>ש</w:t>
      </w:r>
      <w:r>
        <w:rPr>
          <w:rStyle w:val="default"/>
          <w:rFonts w:cs="FrankRuehl" w:hint="cs"/>
          <w:rtl/>
        </w:rPr>
        <w:t>ר האוצר יקבע את אופן העברת ההלוואה לסטודנט.</w:t>
      </w:r>
    </w:p>
    <w:p w14:paraId="071D85EF" w14:textId="77777777" w:rsidR="002475BF" w:rsidRDefault="002475BF">
      <w:pPr>
        <w:pStyle w:val="P00"/>
        <w:spacing w:before="72"/>
        <w:ind w:left="0" w:right="1134"/>
        <w:rPr>
          <w:rStyle w:val="default"/>
          <w:rFonts w:cs="FrankRuehl"/>
          <w:rtl/>
        </w:rPr>
      </w:pPr>
      <w:bookmarkStart w:id="7" w:name="Seif5"/>
      <w:bookmarkEnd w:id="7"/>
      <w:r>
        <w:rPr>
          <w:lang w:val="he-IL"/>
        </w:rPr>
        <w:pict w14:anchorId="66A7FC79">
          <v:rect id="_x0000_s1031" style="position:absolute;left:0;text-align:left;margin-left:464.5pt;margin-top:8.05pt;width:75.05pt;height:10pt;z-index:251658752" o:allowincell="f" filled="f" stroked="f" strokecolor="lime" strokeweight=".25pt">
            <v:textbox inset="0,0,0,0">
              <w:txbxContent>
                <w:p w14:paraId="34277F9D" w14:textId="77777777" w:rsidR="00E317EF" w:rsidRDefault="00E317EF">
                  <w:pPr>
                    <w:spacing w:line="160" w:lineRule="exact"/>
                    <w:jc w:val="left"/>
                    <w:rPr>
                      <w:rFonts w:cs="Miriam"/>
                      <w:noProof/>
                      <w:szCs w:val="18"/>
                      <w:rtl/>
                    </w:rPr>
                  </w:pPr>
                  <w:r>
                    <w:rPr>
                      <w:rFonts w:cs="Miriam"/>
                      <w:szCs w:val="18"/>
                      <w:rtl/>
                    </w:rPr>
                    <w:t>ת</w:t>
                  </w:r>
                  <w:r>
                    <w:rPr>
                      <w:rFonts w:cs="Miriam" w:hint="cs"/>
                      <w:szCs w:val="18"/>
                      <w:rtl/>
                    </w:rPr>
                    <w:t>נאי ההלוואה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האוצר, בהסכמת שר החינוך, ובאישור ועדת החינוך והתרבות של הכנסת יקבע את תנאי ההלוואה, לרבות הבטוחות הנדרשות ממקבל ההלוואה, מועדי קבלת ההלוואה, גובה </w:t>
      </w:r>
      <w:r>
        <w:rPr>
          <w:rStyle w:val="default"/>
          <w:rFonts w:cs="FrankRuehl" w:hint="cs"/>
          <w:rtl/>
        </w:rPr>
        <w:lastRenderedPageBreak/>
        <w:t>הריבית שתישא ההלוואה,</w:t>
      </w:r>
      <w:r>
        <w:rPr>
          <w:rStyle w:val="default"/>
          <w:rFonts w:cs="FrankRuehl"/>
          <w:rtl/>
        </w:rPr>
        <w:t xml:space="preserve"> </w:t>
      </w:r>
      <w:r>
        <w:rPr>
          <w:rStyle w:val="default"/>
          <w:rFonts w:cs="FrankRuehl" w:hint="cs"/>
          <w:rtl/>
        </w:rPr>
        <w:t>התנאים להחזר ההלוואה ומועדי ההחזר, וכל תנאי אחר הקשור בהם.</w:t>
      </w:r>
    </w:p>
    <w:p w14:paraId="12A7CF75" w14:textId="77777777" w:rsidR="002475BF" w:rsidRDefault="002475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בתקנות לפי סעיף קטן (א) רשאי השר לקבוע כאמור באותו סעיף קטן, תנאי הלוואה שונים לסוגים שונים של סטודנטים, בהתאם לאמות מידה חברתיות וכלכליות שיקבע כאמור.</w:t>
      </w:r>
    </w:p>
    <w:p w14:paraId="4ACE86BB" w14:textId="77777777" w:rsidR="002475BF" w:rsidRDefault="002475BF">
      <w:pPr>
        <w:pStyle w:val="P00"/>
        <w:spacing w:before="72"/>
        <w:ind w:left="0" w:right="1134"/>
        <w:rPr>
          <w:rStyle w:val="default"/>
          <w:rFonts w:cs="FrankRuehl"/>
          <w:rtl/>
        </w:rPr>
      </w:pPr>
      <w:bookmarkStart w:id="8" w:name="Seif6"/>
      <w:bookmarkEnd w:id="8"/>
      <w:r>
        <w:rPr>
          <w:lang w:val="he-IL"/>
        </w:rPr>
        <w:pict w14:anchorId="558DA65E">
          <v:rect id="_x0000_s1032" style="position:absolute;left:0;text-align:left;margin-left:464.5pt;margin-top:8.05pt;width:75.05pt;height:10pt;z-index:251659776" o:allowincell="f" filled="f" stroked="f" strokecolor="lime" strokeweight=".25pt">
            <v:textbox inset="0,0,0,0">
              <w:txbxContent>
                <w:p w14:paraId="3AEC543A" w14:textId="77777777" w:rsidR="00E317EF" w:rsidRDefault="00E317EF">
                  <w:pPr>
                    <w:spacing w:line="160" w:lineRule="exact"/>
                    <w:jc w:val="left"/>
                    <w:rPr>
                      <w:rFonts w:cs="Miriam"/>
                      <w:noProof/>
                      <w:szCs w:val="18"/>
                      <w:rtl/>
                    </w:rPr>
                  </w:pPr>
                  <w:r>
                    <w:rPr>
                      <w:rFonts w:cs="Miriam"/>
                      <w:szCs w:val="18"/>
                      <w:rtl/>
                    </w:rPr>
                    <w:t>ב</w:t>
                  </w:r>
                  <w:r>
                    <w:rPr>
                      <w:rFonts w:cs="Miriam" w:hint="cs"/>
                      <w:szCs w:val="18"/>
                      <w:rtl/>
                    </w:rPr>
                    <w:t>י</w:t>
                  </w:r>
                  <w:r>
                    <w:rPr>
                      <w:rFonts w:cs="Miriam"/>
                      <w:szCs w:val="18"/>
                      <w:rtl/>
                    </w:rPr>
                    <w:t>צ</w:t>
                  </w:r>
                  <w:r>
                    <w:rPr>
                      <w:rFonts w:cs="Miriam" w:hint="cs"/>
                      <w:szCs w:val="18"/>
                      <w:rtl/>
                    </w:rPr>
                    <w:t>וע</w:t>
                  </w:r>
                  <w:r>
                    <w:rPr>
                      <w:rFonts w:cs="Miriam"/>
                      <w:szCs w:val="18"/>
                      <w:rtl/>
                    </w:rPr>
                    <w:t xml:space="preserve"> </w:t>
                  </w:r>
                  <w:r>
                    <w:rPr>
                      <w:rFonts w:cs="Miriam" w:hint="cs"/>
                      <w:szCs w:val="18"/>
                      <w:rtl/>
                    </w:rPr>
                    <w:t>ותקנות</w:t>
                  </w:r>
                </w:p>
              </w:txbxContent>
            </v:textbox>
            <w10:anchorlock/>
          </v:rect>
        </w:pict>
      </w:r>
      <w:r>
        <w:rPr>
          <w:rStyle w:val="big-number"/>
          <w:rtl/>
        </w:rPr>
        <w:t>7.</w:t>
      </w:r>
      <w:r>
        <w:rPr>
          <w:rStyle w:val="big-number"/>
          <w:rtl/>
        </w:rPr>
        <w:tab/>
      </w:r>
      <w:r>
        <w:rPr>
          <w:rStyle w:val="default"/>
          <w:rFonts w:cs="FrankRuehl"/>
          <w:rtl/>
        </w:rPr>
        <w:t>ש</w:t>
      </w:r>
      <w:r>
        <w:rPr>
          <w:rStyle w:val="default"/>
          <w:rFonts w:cs="FrankRuehl" w:hint="cs"/>
          <w:rtl/>
        </w:rPr>
        <w:t>ר האוצר ושר החינוך ממונים על ביצוע חוק זה, והם רשאים להתקין תקנות בכל הנוגע לביצועו.</w:t>
      </w:r>
    </w:p>
    <w:p w14:paraId="70139BDB" w14:textId="77777777" w:rsidR="002475BF" w:rsidRDefault="002475BF">
      <w:pPr>
        <w:pStyle w:val="P00"/>
        <w:spacing w:before="72"/>
        <w:ind w:left="0" w:right="1134"/>
        <w:rPr>
          <w:rStyle w:val="default"/>
          <w:rFonts w:cs="FrankRuehl" w:hint="cs"/>
          <w:rtl/>
        </w:rPr>
      </w:pPr>
      <w:bookmarkStart w:id="9" w:name="Seif7"/>
      <w:bookmarkEnd w:id="9"/>
      <w:r>
        <w:rPr>
          <w:lang w:val="he-IL"/>
        </w:rPr>
        <w:pict w14:anchorId="36343A04">
          <v:rect id="_x0000_s1033" style="position:absolute;left:0;text-align:left;margin-left:464.5pt;margin-top:8.05pt;width:75.05pt;height:30.8pt;z-index:251660800" o:allowincell="f" filled="f" stroked="f" strokecolor="lime" strokeweight=".25pt">
            <v:textbox inset="0,0,0,0">
              <w:txbxContent>
                <w:p w14:paraId="0EF3E81A" w14:textId="77777777" w:rsidR="00E317EF" w:rsidRDefault="00E317EF">
                  <w:pPr>
                    <w:spacing w:line="160" w:lineRule="exact"/>
                    <w:jc w:val="left"/>
                    <w:rPr>
                      <w:rFonts w:cs="Miriam" w:hint="cs"/>
                      <w:szCs w:val="18"/>
                      <w:rtl/>
                    </w:rPr>
                  </w:pPr>
                  <w:r>
                    <w:rPr>
                      <w:rFonts w:cs="Miriam"/>
                      <w:szCs w:val="18"/>
                      <w:rtl/>
                    </w:rPr>
                    <w:t>ת</w:t>
                  </w:r>
                  <w:r>
                    <w:rPr>
                      <w:rFonts w:cs="Miriam" w:hint="cs"/>
                      <w:szCs w:val="18"/>
                      <w:rtl/>
                    </w:rPr>
                    <w:t>חילה</w:t>
                  </w:r>
                </w:p>
                <w:p w14:paraId="3E1BF42E" w14:textId="77777777" w:rsidR="00E317EF" w:rsidRDefault="00E317EF">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תשס"ג-2002</w:t>
                  </w:r>
                </w:p>
              </w:txbxContent>
            </v:textbox>
            <w10:anchorlock/>
          </v:rect>
        </w:pict>
      </w:r>
      <w:r>
        <w:rPr>
          <w:rStyle w:val="big-number"/>
          <w:rtl/>
        </w:rPr>
        <w:t>8.</w:t>
      </w:r>
      <w:r>
        <w:rPr>
          <w:rStyle w:val="big-number"/>
          <w:rtl/>
        </w:rPr>
        <w:tab/>
      </w:r>
      <w:r>
        <w:rPr>
          <w:rStyle w:val="default"/>
          <w:rFonts w:cs="FrankRuehl"/>
          <w:rtl/>
        </w:rPr>
        <w:t>ת</w:t>
      </w:r>
      <w:r>
        <w:rPr>
          <w:rStyle w:val="default"/>
          <w:rFonts w:cs="FrankRuehl" w:hint="cs"/>
          <w:rtl/>
        </w:rPr>
        <w:t>חילתו של חוק זה ביום ה' בתשרי התשס"ד (1 באוקטובר 2003).</w:t>
      </w:r>
    </w:p>
    <w:p w14:paraId="3B4F1E4A" w14:textId="77777777" w:rsidR="007C14BD" w:rsidRPr="00EC4F3A" w:rsidRDefault="007C14BD" w:rsidP="007C14BD">
      <w:pPr>
        <w:pStyle w:val="P00"/>
        <w:spacing w:before="0"/>
        <w:ind w:left="0" w:right="1134"/>
        <w:rPr>
          <w:rFonts w:hint="cs"/>
          <w:b/>
          <w:bCs/>
          <w:vanish/>
          <w:szCs w:val="20"/>
          <w:shd w:val="clear" w:color="auto" w:fill="FFFF99"/>
          <w:rtl/>
        </w:rPr>
      </w:pPr>
      <w:bookmarkStart w:id="10" w:name="Rov11"/>
      <w:r w:rsidRPr="00EC4F3A">
        <w:rPr>
          <w:rFonts w:hint="cs"/>
          <w:vanish/>
          <w:color w:val="FF0000"/>
          <w:szCs w:val="20"/>
          <w:shd w:val="clear" w:color="auto" w:fill="FFFF99"/>
          <w:rtl/>
        </w:rPr>
        <w:t>מיום 1.1.2003</w:t>
      </w:r>
    </w:p>
    <w:p w14:paraId="6549CEED" w14:textId="77777777" w:rsidR="007C14BD" w:rsidRPr="00EC4F3A" w:rsidRDefault="007C14BD" w:rsidP="007C14BD">
      <w:pPr>
        <w:pStyle w:val="P00"/>
        <w:spacing w:before="0"/>
        <w:ind w:left="0" w:right="1134"/>
        <w:rPr>
          <w:rFonts w:hint="cs"/>
          <w:b/>
          <w:bCs/>
          <w:vanish/>
          <w:szCs w:val="20"/>
          <w:shd w:val="clear" w:color="auto" w:fill="FFFF99"/>
          <w:rtl/>
        </w:rPr>
      </w:pPr>
      <w:r w:rsidRPr="00EC4F3A">
        <w:rPr>
          <w:rFonts w:hint="cs"/>
          <w:b/>
          <w:bCs/>
          <w:vanish/>
          <w:szCs w:val="20"/>
          <w:shd w:val="clear" w:color="auto" w:fill="FFFF99"/>
          <w:rtl/>
        </w:rPr>
        <w:t>תיקון מס' 1</w:t>
      </w:r>
    </w:p>
    <w:p w14:paraId="5B945654" w14:textId="77777777" w:rsidR="007C14BD" w:rsidRPr="00EC4F3A" w:rsidRDefault="007C14BD" w:rsidP="007C14BD">
      <w:pPr>
        <w:pStyle w:val="P00"/>
        <w:tabs>
          <w:tab w:val="clear" w:pos="6259"/>
        </w:tabs>
        <w:spacing w:before="0"/>
        <w:ind w:left="0" w:right="1134"/>
        <w:rPr>
          <w:rFonts w:hint="cs"/>
          <w:vanish/>
          <w:szCs w:val="20"/>
          <w:shd w:val="clear" w:color="auto" w:fill="FFFF99"/>
          <w:rtl/>
        </w:rPr>
      </w:pPr>
      <w:hyperlink r:id="rId10" w:history="1">
        <w:r w:rsidRPr="00EC4F3A">
          <w:rPr>
            <w:rStyle w:val="Hyperlink"/>
            <w:rFonts w:hint="cs"/>
            <w:vanish/>
            <w:szCs w:val="20"/>
            <w:shd w:val="clear" w:color="auto" w:fill="FFFF99"/>
            <w:rtl/>
          </w:rPr>
          <w:t>ס"ח תשס"ג מס' 1883</w:t>
        </w:r>
      </w:hyperlink>
      <w:r w:rsidRPr="00EC4F3A">
        <w:rPr>
          <w:rFonts w:hint="cs"/>
          <w:vanish/>
          <w:szCs w:val="20"/>
          <w:shd w:val="clear" w:color="auto" w:fill="FFFF99"/>
          <w:rtl/>
        </w:rPr>
        <w:t xml:space="preserve"> מיום 29.12.2002 עמ' 207 (</w:t>
      </w:r>
      <w:hyperlink r:id="rId11" w:history="1">
        <w:r w:rsidRPr="00EC4F3A">
          <w:rPr>
            <w:rStyle w:val="Hyperlink"/>
            <w:rFonts w:hint="cs"/>
            <w:vanish/>
            <w:szCs w:val="20"/>
            <w:shd w:val="clear" w:color="auto" w:fill="FFFF99"/>
            <w:rtl/>
          </w:rPr>
          <w:t>ה"ח 4</w:t>
        </w:r>
      </w:hyperlink>
      <w:r w:rsidRPr="00EC4F3A">
        <w:rPr>
          <w:rFonts w:hint="cs"/>
          <w:vanish/>
          <w:szCs w:val="20"/>
          <w:shd w:val="clear" w:color="auto" w:fill="FFFF99"/>
          <w:rtl/>
        </w:rPr>
        <w:t>)</w:t>
      </w:r>
    </w:p>
    <w:p w14:paraId="64C0B47F" w14:textId="77777777" w:rsidR="007C14BD" w:rsidRPr="007C14BD" w:rsidRDefault="007C14BD" w:rsidP="007C14BD">
      <w:pPr>
        <w:pStyle w:val="P00"/>
        <w:ind w:left="0" w:right="1134"/>
        <w:rPr>
          <w:rStyle w:val="default"/>
          <w:rFonts w:cs="FrankRuehl" w:hint="cs"/>
          <w:sz w:val="2"/>
          <w:szCs w:val="2"/>
          <w:rtl/>
        </w:rPr>
      </w:pPr>
      <w:r w:rsidRPr="00EC4F3A">
        <w:rPr>
          <w:rStyle w:val="big-number"/>
          <w:rFonts w:cs="FrankRuehl"/>
          <w:vanish/>
          <w:sz w:val="22"/>
          <w:szCs w:val="22"/>
          <w:shd w:val="clear" w:color="auto" w:fill="FFFF99"/>
          <w:rtl/>
        </w:rPr>
        <w:t>8.</w:t>
      </w:r>
      <w:r w:rsidRPr="00EC4F3A">
        <w:rPr>
          <w:rStyle w:val="big-number"/>
          <w:rFonts w:cs="FrankRuehl"/>
          <w:vanish/>
          <w:sz w:val="22"/>
          <w:szCs w:val="22"/>
          <w:shd w:val="clear" w:color="auto" w:fill="FFFF99"/>
          <w:rtl/>
        </w:rPr>
        <w:tab/>
      </w:r>
      <w:r w:rsidRPr="00EC4F3A">
        <w:rPr>
          <w:rStyle w:val="default"/>
          <w:rFonts w:cs="FrankRuehl"/>
          <w:vanish/>
          <w:sz w:val="22"/>
          <w:szCs w:val="22"/>
          <w:shd w:val="clear" w:color="auto" w:fill="FFFF99"/>
          <w:rtl/>
        </w:rPr>
        <w:t>ת</w:t>
      </w:r>
      <w:r w:rsidRPr="00EC4F3A">
        <w:rPr>
          <w:rStyle w:val="default"/>
          <w:rFonts w:cs="FrankRuehl" w:hint="cs"/>
          <w:vanish/>
          <w:sz w:val="22"/>
          <w:szCs w:val="22"/>
          <w:shd w:val="clear" w:color="auto" w:fill="FFFF99"/>
          <w:rtl/>
        </w:rPr>
        <w:t xml:space="preserve">חילתו של חוק זה ביום </w:t>
      </w:r>
      <w:r w:rsidRPr="00EC4F3A">
        <w:rPr>
          <w:rStyle w:val="default"/>
          <w:rFonts w:cs="FrankRuehl" w:hint="cs"/>
          <w:strike/>
          <w:vanish/>
          <w:sz w:val="22"/>
          <w:szCs w:val="22"/>
          <w:shd w:val="clear" w:color="auto" w:fill="FFFF99"/>
          <w:rtl/>
        </w:rPr>
        <w:t>כ"ה בתשרי התשס"ג (1 באוקטובר 2002)</w:t>
      </w:r>
      <w:r w:rsidRPr="00EC4F3A">
        <w:rPr>
          <w:rStyle w:val="default"/>
          <w:rFonts w:cs="FrankRuehl" w:hint="cs"/>
          <w:vanish/>
          <w:sz w:val="22"/>
          <w:szCs w:val="22"/>
          <w:shd w:val="clear" w:color="auto" w:fill="FFFF99"/>
          <w:rtl/>
        </w:rPr>
        <w:t xml:space="preserve"> </w:t>
      </w:r>
      <w:r w:rsidRPr="00EC4F3A">
        <w:rPr>
          <w:rStyle w:val="default"/>
          <w:rFonts w:cs="FrankRuehl" w:hint="cs"/>
          <w:vanish/>
          <w:sz w:val="22"/>
          <w:szCs w:val="22"/>
          <w:u w:val="single"/>
          <w:shd w:val="clear" w:color="auto" w:fill="FFFF99"/>
          <w:rtl/>
        </w:rPr>
        <w:t>ה' בתשרי התשס"ד (1 באוקטובר 2003)</w:t>
      </w:r>
      <w:r w:rsidRPr="00EC4F3A">
        <w:rPr>
          <w:rStyle w:val="default"/>
          <w:rFonts w:cs="FrankRuehl" w:hint="cs"/>
          <w:vanish/>
          <w:sz w:val="22"/>
          <w:szCs w:val="22"/>
          <w:shd w:val="clear" w:color="auto" w:fill="FFFF99"/>
          <w:rtl/>
        </w:rPr>
        <w:t>.</w:t>
      </w:r>
      <w:bookmarkEnd w:id="10"/>
    </w:p>
    <w:p w14:paraId="4FD96020" w14:textId="77777777" w:rsidR="002475BF" w:rsidRDefault="002475BF">
      <w:pPr>
        <w:pStyle w:val="P00"/>
        <w:spacing w:before="72"/>
        <w:ind w:left="0" w:right="1134"/>
        <w:rPr>
          <w:rStyle w:val="default"/>
          <w:rFonts w:cs="FrankRuehl"/>
          <w:rtl/>
        </w:rPr>
      </w:pPr>
    </w:p>
    <w:p w14:paraId="61498C5B" w14:textId="77777777" w:rsidR="002475BF" w:rsidRDefault="002475BF">
      <w:pPr>
        <w:pStyle w:val="P00"/>
        <w:spacing w:before="72"/>
        <w:ind w:left="0" w:right="1134"/>
        <w:rPr>
          <w:rStyle w:val="default"/>
          <w:rFonts w:cs="FrankRuehl"/>
          <w:rtl/>
        </w:rPr>
      </w:pPr>
    </w:p>
    <w:p w14:paraId="5D9A6C01" w14:textId="77777777" w:rsidR="002475BF" w:rsidRDefault="002475BF" w:rsidP="002C73FF">
      <w:pPr>
        <w:pStyle w:val="sig-1"/>
        <w:widowControl/>
        <w:tabs>
          <w:tab w:val="clear" w:pos="851"/>
          <w:tab w:val="clear" w:pos="2835"/>
          <w:tab w:val="clear" w:pos="4820"/>
          <w:tab w:val="center" w:pos="1701"/>
          <w:tab w:val="center" w:pos="3969"/>
          <w:tab w:val="center" w:pos="6237"/>
        </w:tabs>
        <w:spacing w:before="72"/>
        <w:ind w:left="0" w:right="1134"/>
        <w:rPr>
          <w:rStyle w:val="default"/>
          <w:rFonts w:cs="FrankRuehl"/>
          <w:rtl/>
        </w:rPr>
      </w:pPr>
      <w:r>
        <w:rPr>
          <w:rtl/>
        </w:rPr>
        <w:tab/>
      </w:r>
      <w:r>
        <w:rPr>
          <w:rStyle w:val="default"/>
          <w:rFonts w:cs="FrankRuehl"/>
          <w:rtl/>
        </w:rPr>
        <w:t>א</w:t>
      </w:r>
      <w:r>
        <w:rPr>
          <w:rStyle w:val="default"/>
          <w:rFonts w:cs="FrankRuehl" w:hint="cs"/>
          <w:rtl/>
        </w:rPr>
        <w:t>ריאל שרון</w:t>
      </w:r>
      <w:r>
        <w:rPr>
          <w:rStyle w:val="default"/>
          <w:rFonts w:cs="FrankRuehl"/>
          <w:rtl/>
        </w:rPr>
        <w:tab/>
      </w:r>
      <w:r>
        <w:rPr>
          <w:rStyle w:val="default"/>
          <w:rFonts w:cs="FrankRuehl" w:hint="cs"/>
          <w:rtl/>
        </w:rPr>
        <w:t>סילבן שלום</w:t>
      </w:r>
      <w:r>
        <w:rPr>
          <w:rStyle w:val="default"/>
          <w:rFonts w:cs="FrankRuehl"/>
          <w:rtl/>
        </w:rPr>
        <w:tab/>
      </w:r>
      <w:r>
        <w:rPr>
          <w:rStyle w:val="default"/>
          <w:rFonts w:cs="FrankRuehl" w:hint="cs"/>
          <w:rtl/>
        </w:rPr>
        <w:t>לימור לבנת</w:t>
      </w:r>
    </w:p>
    <w:p w14:paraId="082E4041" w14:textId="77777777" w:rsidR="002475BF" w:rsidRPr="00EC4F3A" w:rsidRDefault="002475BF" w:rsidP="002C73FF">
      <w:pPr>
        <w:pStyle w:val="sig-1"/>
        <w:widowControl/>
        <w:tabs>
          <w:tab w:val="clear" w:pos="851"/>
          <w:tab w:val="clear" w:pos="2835"/>
          <w:tab w:val="clear" w:pos="4820"/>
          <w:tab w:val="center" w:pos="1701"/>
          <w:tab w:val="center" w:pos="3969"/>
          <w:tab w:val="center" w:pos="6237"/>
        </w:tabs>
        <w:ind w:left="0" w:right="1134"/>
        <w:rPr>
          <w:rStyle w:val="default"/>
          <w:rFonts w:cs="FrankRuehl"/>
          <w:sz w:val="22"/>
          <w:szCs w:val="22"/>
          <w:rtl/>
        </w:rPr>
      </w:pPr>
      <w:r w:rsidRPr="00EC4F3A">
        <w:rPr>
          <w:sz w:val="22"/>
          <w:rtl/>
        </w:rPr>
        <w:tab/>
      </w:r>
      <w:r w:rsidRPr="00EC4F3A">
        <w:rPr>
          <w:rStyle w:val="default"/>
          <w:rFonts w:cs="FrankRuehl"/>
          <w:sz w:val="22"/>
          <w:szCs w:val="22"/>
          <w:rtl/>
        </w:rPr>
        <w:t>ר</w:t>
      </w:r>
      <w:r w:rsidRPr="00EC4F3A">
        <w:rPr>
          <w:rStyle w:val="default"/>
          <w:rFonts w:cs="FrankRuehl" w:hint="cs"/>
          <w:sz w:val="22"/>
          <w:szCs w:val="22"/>
          <w:rtl/>
        </w:rPr>
        <w:t>אש הממשלה</w:t>
      </w:r>
      <w:r w:rsidRPr="00EC4F3A">
        <w:rPr>
          <w:rStyle w:val="default"/>
          <w:rFonts w:cs="FrankRuehl"/>
          <w:sz w:val="22"/>
          <w:szCs w:val="22"/>
          <w:rtl/>
        </w:rPr>
        <w:tab/>
      </w:r>
      <w:r w:rsidRPr="00EC4F3A">
        <w:rPr>
          <w:rStyle w:val="default"/>
          <w:rFonts w:cs="FrankRuehl" w:hint="cs"/>
          <w:sz w:val="22"/>
          <w:szCs w:val="22"/>
          <w:rtl/>
        </w:rPr>
        <w:t>שר האוצר</w:t>
      </w:r>
      <w:r w:rsidRPr="00EC4F3A">
        <w:rPr>
          <w:rStyle w:val="default"/>
          <w:rFonts w:cs="FrankRuehl"/>
          <w:sz w:val="22"/>
          <w:szCs w:val="22"/>
          <w:rtl/>
        </w:rPr>
        <w:tab/>
      </w:r>
      <w:r w:rsidRPr="00EC4F3A">
        <w:rPr>
          <w:rStyle w:val="default"/>
          <w:rFonts w:cs="FrankRuehl" w:hint="cs"/>
          <w:sz w:val="22"/>
          <w:szCs w:val="22"/>
          <w:rtl/>
        </w:rPr>
        <w:t>שרת החינוך</w:t>
      </w:r>
    </w:p>
    <w:p w14:paraId="7163A194" w14:textId="77777777" w:rsidR="002475BF" w:rsidRDefault="002475BF" w:rsidP="002C73FF">
      <w:pPr>
        <w:pStyle w:val="sig-1"/>
        <w:widowControl/>
        <w:tabs>
          <w:tab w:val="clear" w:pos="851"/>
          <w:tab w:val="clear" w:pos="4820"/>
          <w:tab w:val="center" w:pos="5103"/>
        </w:tabs>
        <w:spacing w:before="72"/>
        <w:ind w:left="0" w:right="1134"/>
        <w:rPr>
          <w:rStyle w:val="default"/>
          <w:rFonts w:cs="FrankRuehl" w:hint="cs"/>
          <w:rtl/>
        </w:rPr>
      </w:pPr>
      <w:r>
        <w:rPr>
          <w:rtl/>
        </w:rPr>
        <w:tab/>
      </w:r>
      <w:r>
        <w:rPr>
          <w:rStyle w:val="default"/>
          <w:rFonts w:cs="FrankRuehl"/>
          <w:rtl/>
        </w:rPr>
        <w:t>מ</w:t>
      </w:r>
      <w:r>
        <w:rPr>
          <w:rStyle w:val="default"/>
          <w:rFonts w:cs="FrankRuehl" w:hint="cs"/>
          <w:rtl/>
        </w:rPr>
        <w:t>שה קצב</w:t>
      </w:r>
      <w:r>
        <w:rPr>
          <w:rStyle w:val="default"/>
          <w:rFonts w:cs="FrankRuehl"/>
          <w:rtl/>
        </w:rPr>
        <w:tab/>
      </w:r>
      <w:r>
        <w:rPr>
          <w:rStyle w:val="default"/>
          <w:rFonts w:cs="FrankRuehl" w:hint="cs"/>
          <w:rtl/>
        </w:rPr>
        <w:t>אברהם ב</w:t>
      </w:r>
      <w:r>
        <w:rPr>
          <w:rStyle w:val="default"/>
          <w:rFonts w:cs="FrankRuehl"/>
          <w:rtl/>
        </w:rPr>
        <w:t>ו</w:t>
      </w:r>
      <w:r>
        <w:rPr>
          <w:rStyle w:val="default"/>
          <w:rFonts w:cs="FrankRuehl" w:hint="cs"/>
          <w:rtl/>
        </w:rPr>
        <w:t>רג</w:t>
      </w:r>
    </w:p>
    <w:p w14:paraId="163A8BCD" w14:textId="77777777" w:rsidR="002475BF" w:rsidRPr="00EC4F3A" w:rsidRDefault="002475BF" w:rsidP="002C73FF">
      <w:pPr>
        <w:pStyle w:val="sig-1"/>
        <w:widowControl/>
        <w:tabs>
          <w:tab w:val="clear" w:pos="851"/>
          <w:tab w:val="clear" w:pos="4820"/>
          <w:tab w:val="center" w:pos="5103"/>
        </w:tabs>
        <w:ind w:left="0" w:right="1134"/>
        <w:rPr>
          <w:rStyle w:val="default"/>
          <w:rFonts w:cs="FrankRuehl" w:hint="cs"/>
          <w:sz w:val="22"/>
          <w:szCs w:val="22"/>
          <w:rtl/>
        </w:rPr>
      </w:pPr>
      <w:r w:rsidRPr="00EC4F3A">
        <w:rPr>
          <w:sz w:val="22"/>
          <w:rtl/>
        </w:rPr>
        <w:tab/>
      </w:r>
      <w:r w:rsidRPr="00EC4F3A">
        <w:rPr>
          <w:rStyle w:val="default"/>
          <w:rFonts w:cs="FrankRuehl"/>
          <w:sz w:val="22"/>
          <w:szCs w:val="22"/>
          <w:rtl/>
        </w:rPr>
        <w:t>נ</w:t>
      </w:r>
      <w:r w:rsidRPr="00EC4F3A">
        <w:rPr>
          <w:rStyle w:val="default"/>
          <w:rFonts w:cs="FrankRuehl" w:hint="cs"/>
          <w:sz w:val="22"/>
          <w:szCs w:val="22"/>
          <w:rtl/>
        </w:rPr>
        <w:t>שיא המדינה</w:t>
      </w:r>
      <w:r w:rsidRPr="00EC4F3A">
        <w:rPr>
          <w:rStyle w:val="default"/>
          <w:rFonts w:cs="FrankRuehl"/>
          <w:sz w:val="22"/>
          <w:szCs w:val="22"/>
          <w:rtl/>
        </w:rPr>
        <w:tab/>
      </w:r>
      <w:r w:rsidRPr="00EC4F3A">
        <w:rPr>
          <w:rStyle w:val="default"/>
          <w:rFonts w:cs="FrankRuehl" w:hint="cs"/>
          <w:sz w:val="22"/>
          <w:szCs w:val="22"/>
          <w:rtl/>
        </w:rPr>
        <w:t>יושב ראש הכנסת</w:t>
      </w:r>
    </w:p>
    <w:p w14:paraId="5F11F3A3" w14:textId="77777777" w:rsidR="002475BF" w:rsidRPr="00EC4F3A" w:rsidRDefault="002475BF" w:rsidP="00EC4F3A">
      <w:pPr>
        <w:pStyle w:val="P00"/>
        <w:spacing w:before="72"/>
        <w:ind w:left="0" w:right="1134"/>
        <w:rPr>
          <w:rStyle w:val="default"/>
          <w:rFonts w:cs="FrankRuehl"/>
          <w:rtl/>
        </w:rPr>
      </w:pPr>
    </w:p>
    <w:p w14:paraId="4EBCAEF2" w14:textId="77777777" w:rsidR="002475BF" w:rsidRPr="00EC4F3A" w:rsidRDefault="002475BF" w:rsidP="00EC4F3A">
      <w:pPr>
        <w:pStyle w:val="P00"/>
        <w:spacing w:before="72"/>
        <w:ind w:left="0" w:right="1134"/>
        <w:rPr>
          <w:rStyle w:val="default"/>
          <w:rFonts w:cs="FrankRuehl"/>
          <w:rtl/>
        </w:rPr>
      </w:pPr>
    </w:p>
    <w:p w14:paraId="379067FC" w14:textId="77777777" w:rsidR="002475BF" w:rsidRPr="00EC4F3A" w:rsidRDefault="002475BF" w:rsidP="00EC4F3A">
      <w:pPr>
        <w:pStyle w:val="P00"/>
        <w:spacing w:before="72"/>
        <w:ind w:left="0" w:right="1134"/>
        <w:rPr>
          <w:rStyle w:val="default"/>
          <w:rFonts w:cs="FrankRuehl"/>
          <w:rtl/>
        </w:rPr>
      </w:pPr>
    </w:p>
    <w:sectPr w:rsidR="002475BF" w:rsidRPr="00EC4F3A">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94A56" w14:textId="77777777" w:rsidR="009329AF" w:rsidRDefault="009329AF">
      <w:r>
        <w:separator/>
      </w:r>
    </w:p>
  </w:endnote>
  <w:endnote w:type="continuationSeparator" w:id="0">
    <w:p w14:paraId="412B3CE3" w14:textId="77777777" w:rsidR="009329AF" w:rsidRDefault="00932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B60B" w14:textId="77777777" w:rsidR="00E317EF" w:rsidRDefault="00E317E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D2E8543" w14:textId="77777777" w:rsidR="00E317EF" w:rsidRDefault="00E317E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CBB16D6" w14:textId="77777777" w:rsidR="00E317EF" w:rsidRDefault="00E317E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D:\Yael\hakika\Revadim\152_058.doc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BE46" w14:textId="77777777" w:rsidR="00E317EF" w:rsidRDefault="00E317E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C73FF">
      <w:rPr>
        <w:rFonts w:hAnsi="FrankRuehl" w:cs="FrankRuehl"/>
        <w:noProof/>
        <w:sz w:val="24"/>
        <w:szCs w:val="24"/>
        <w:rtl/>
      </w:rPr>
      <w:t>2</w:t>
    </w:r>
    <w:r>
      <w:rPr>
        <w:rFonts w:hAnsi="FrankRuehl" w:cs="FrankRuehl"/>
        <w:sz w:val="24"/>
        <w:szCs w:val="24"/>
        <w:rtl/>
      </w:rPr>
      <w:fldChar w:fldCharType="end"/>
    </w:r>
  </w:p>
  <w:p w14:paraId="6C905360" w14:textId="77777777" w:rsidR="00E317EF" w:rsidRDefault="00E317E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7DB82CE" w14:textId="77777777" w:rsidR="00E317EF" w:rsidRDefault="00E317E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D:\Yael\hakika\Revadim\152_058.doc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28B71" w14:textId="77777777" w:rsidR="009329AF" w:rsidRDefault="009329AF" w:rsidP="00EA4EBA">
      <w:pPr>
        <w:spacing w:before="60" w:line="240" w:lineRule="auto"/>
        <w:ind w:right="1134"/>
      </w:pPr>
      <w:r>
        <w:separator/>
      </w:r>
    </w:p>
  </w:footnote>
  <w:footnote w:type="continuationSeparator" w:id="0">
    <w:p w14:paraId="7A5A7ECB" w14:textId="77777777" w:rsidR="009329AF" w:rsidRDefault="009329AF">
      <w:r>
        <w:continuationSeparator/>
      </w:r>
    </w:p>
  </w:footnote>
  <w:footnote w:id="1">
    <w:p w14:paraId="0C77DDFA" w14:textId="77777777" w:rsidR="00E317EF" w:rsidRDefault="00E317EF" w:rsidP="00EA4EB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A4EBA">
        <w:rPr>
          <w:sz w:val="20"/>
          <w:rtl/>
        </w:rPr>
        <w:t xml:space="preserve">* </w:t>
      </w:r>
      <w:r>
        <w:rPr>
          <w:sz w:val="20"/>
          <w:rtl/>
        </w:rPr>
        <w:t>פ</w:t>
      </w:r>
      <w:r>
        <w:rPr>
          <w:rFonts w:hint="cs"/>
          <w:sz w:val="20"/>
          <w:rtl/>
        </w:rPr>
        <w:t xml:space="preserve">ורסם </w:t>
      </w:r>
      <w:hyperlink r:id="rId1" w:history="1">
        <w:r w:rsidRPr="00D7536A">
          <w:rPr>
            <w:rStyle w:val="Hyperlink"/>
            <w:rFonts w:hint="cs"/>
            <w:sz w:val="20"/>
            <w:rtl/>
          </w:rPr>
          <w:t>ס"ח תש</w:t>
        </w:r>
        <w:r w:rsidRPr="00D7536A">
          <w:rPr>
            <w:rStyle w:val="Hyperlink"/>
            <w:rFonts w:hint="cs"/>
            <w:sz w:val="20"/>
            <w:rtl/>
          </w:rPr>
          <w:t>ס"ב מס' 1821</w:t>
        </w:r>
      </w:hyperlink>
      <w:r>
        <w:rPr>
          <w:rFonts w:hint="cs"/>
          <w:sz w:val="20"/>
          <w:rtl/>
        </w:rPr>
        <w:t xml:space="preserve"> מיום 7.1.2002 עמ' 92 (</w:t>
      </w:r>
      <w:hyperlink r:id="rId2" w:history="1">
        <w:r w:rsidRPr="00D7536A">
          <w:rPr>
            <w:rStyle w:val="Hyperlink"/>
            <w:rFonts w:hint="cs"/>
            <w:sz w:val="20"/>
            <w:rtl/>
          </w:rPr>
          <w:t>ה"ח תשנ"ט מס' 2797</w:t>
        </w:r>
      </w:hyperlink>
      <w:r>
        <w:rPr>
          <w:rFonts w:hint="cs"/>
          <w:sz w:val="20"/>
          <w:rtl/>
        </w:rPr>
        <w:t xml:space="preserve"> עמ' 359).</w:t>
      </w:r>
    </w:p>
    <w:p w14:paraId="6D8B8487" w14:textId="77777777" w:rsidR="00E317EF" w:rsidRDefault="00E317EF" w:rsidP="00EC4F3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sidRPr="00D7536A">
          <w:rPr>
            <w:rStyle w:val="Hyperlink"/>
            <w:rFonts w:hint="cs"/>
            <w:sz w:val="20"/>
            <w:rtl/>
          </w:rPr>
          <w:t>ס"ח תשס</w:t>
        </w:r>
        <w:r w:rsidRPr="00D7536A">
          <w:rPr>
            <w:rStyle w:val="Hyperlink"/>
            <w:rFonts w:hint="cs"/>
            <w:sz w:val="20"/>
            <w:rtl/>
          </w:rPr>
          <w:t>"ג מס' 1883</w:t>
        </w:r>
      </w:hyperlink>
      <w:r>
        <w:rPr>
          <w:rFonts w:hint="cs"/>
          <w:sz w:val="20"/>
          <w:rtl/>
        </w:rPr>
        <w:t xml:space="preserve"> מיום 29.12.2002 עמ' 207 (</w:t>
      </w:r>
      <w:hyperlink r:id="rId4" w:history="1">
        <w:r w:rsidRPr="00D7536A">
          <w:rPr>
            <w:rStyle w:val="Hyperlink"/>
            <w:rFonts w:hint="cs"/>
            <w:sz w:val="20"/>
            <w:rtl/>
          </w:rPr>
          <w:t>ה"ח ה</w:t>
        </w:r>
        <w:r w:rsidRPr="00D7536A">
          <w:rPr>
            <w:rStyle w:val="Hyperlink"/>
            <w:rFonts w:hint="cs"/>
            <w:sz w:val="20"/>
            <w:rtl/>
          </w:rPr>
          <w:t>מ</w:t>
        </w:r>
        <w:r w:rsidRPr="00D7536A">
          <w:rPr>
            <w:rStyle w:val="Hyperlink"/>
            <w:rFonts w:hint="cs"/>
            <w:sz w:val="20"/>
            <w:rtl/>
          </w:rPr>
          <w:t>משלה תשס"ד מס' 4</w:t>
        </w:r>
      </w:hyperlink>
      <w:r>
        <w:rPr>
          <w:rFonts w:hint="cs"/>
          <w:sz w:val="20"/>
          <w:rtl/>
        </w:rPr>
        <w:t xml:space="preserve"> עמ' 107) </w:t>
      </w:r>
      <w:r>
        <w:rPr>
          <w:sz w:val="20"/>
          <w:rtl/>
        </w:rPr>
        <w:t>–</w:t>
      </w:r>
      <w:r>
        <w:rPr>
          <w:rFonts w:hint="cs"/>
          <w:sz w:val="20"/>
          <w:rtl/>
        </w:rPr>
        <w:t xml:space="preserve"> תיקון מס' 1; תחילתו ביום 1.1.2003 ור' סעיף 4 לענין הוראה מיוחדת.</w:t>
      </w:r>
    </w:p>
    <w:p w14:paraId="1C681E8A" w14:textId="77777777" w:rsidR="00E317EF" w:rsidRPr="00EA4EBA" w:rsidRDefault="00E317EF" w:rsidP="00EA4EB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5" w:history="1">
        <w:r w:rsidRPr="007C14BD">
          <w:rPr>
            <w:rStyle w:val="Hyperlink"/>
            <w:rFonts w:hint="cs"/>
            <w:sz w:val="20"/>
            <w:rtl/>
          </w:rPr>
          <w:t>ס</w:t>
        </w:r>
        <w:r w:rsidRPr="007C14BD">
          <w:rPr>
            <w:rStyle w:val="Hyperlink"/>
            <w:rFonts w:hint="cs"/>
            <w:sz w:val="20"/>
            <w:rtl/>
          </w:rPr>
          <w:t>"ח תשס"ג מס' 1892</w:t>
        </w:r>
      </w:hyperlink>
      <w:r>
        <w:rPr>
          <w:rFonts w:hint="cs"/>
          <w:sz w:val="20"/>
          <w:rtl/>
        </w:rPr>
        <w:t xml:space="preserve"> מיום 1.6.2003 עמ' 394 (</w:t>
      </w:r>
      <w:hyperlink r:id="rId6" w:history="1">
        <w:r w:rsidRPr="00D7536A">
          <w:rPr>
            <w:rStyle w:val="Hyperlink"/>
            <w:rFonts w:hint="cs"/>
            <w:sz w:val="20"/>
            <w:rtl/>
          </w:rPr>
          <w:t>ה"ח הממשלה תשס"ג מס' 25</w:t>
        </w:r>
      </w:hyperlink>
      <w:r>
        <w:rPr>
          <w:rFonts w:hint="cs"/>
          <w:sz w:val="20"/>
          <w:rtl/>
        </w:rPr>
        <w:t xml:space="preserve"> עמ' 262) </w:t>
      </w:r>
      <w:r>
        <w:rPr>
          <w:sz w:val="20"/>
          <w:rtl/>
        </w:rPr>
        <w:t>–</w:t>
      </w:r>
      <w:r>
        <w:rPr>
          <w:rFonts w:hint="cs"/>
          <w:sz w:val="20"/>
          <w:rtl/>
        </w:rPr>
        <w:t xml:space="preserve"> תיקון מס' 2 בסעיף 15 </w:t>
      </w:r>
      <w:r>
        <w:rPr>
          <w:rFonts w:hint="cs"/>
          <w:rtl/>
        </w:rPr>
        <w:t>לחוק התכנית להבראת כלכלת ישראל (תיקוני חקיקה להשגת יעדי התקציב והמדיניות הכלכלית לשנות הכספים 2003 ו-2004), תשס"ג-2003; תחילתו ביום 1.6.2003.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A7AF4" w14:textId="77777777" w:rsidR="00E317EF" w:rsidRDefault="00E317E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הלוואות לשכר לימוד, תשס"ב- 2002</w:t>
    </w:r>
  </w:p>
  <w:p w14:paraId="51EBCE76" w14:textId="77777777" w:rsidR="00E317EF" w:rsidRDefault="00E317E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E5C6D51" w14:textId="77777777" w:rsidR="00E317EF" w:rsidRDefault="00E317E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432AA" w14:textId="77777777" w:rsidR="00E317EF" w:rsidRDefault="00E317E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הלוואות לשכר לימוד, תשס"ב-2002</w:t>
    </w:r>
  </w:p>
  <w:p w14:paraId="664894AC" w14:textId="77777777" w:rsidR="00E317EF" w:rsidRDefault="00E317E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97C806D" w14:textId="77777777" w:rsidR="00E317EF" w:rsidRDefault="00E317E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536A"/>
    <w:rsid w:val="002475BF"/>
    <w:rsid w:val="002C73FF"/>
    <w:rsid w:val="006C4A06"/>
    <w:rsid w:val="007C14BD"/>
    <w:rsid w:val="00914C9F"/>
    <w:rsid w:val="009329AF"/>
    <w:rsid w:val="00BC6A5F"/>
    <w:rsid w:val="00D7536A"/>
    <w:rsid w:val="00E317EF"/>
    <w:rsid w:val="00EA363F"/>
    <w:rsid w:val="00EA4EBA"/>
    <w:rsid w:val="00EC4F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295F0E01"/>
  <w15:chartTrackingRefBased/>
  <w15:docId w15:val="{160F6015-4FDC-4479-9D3D-D17F89B9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Body Text"/>
    <w:basedOn w:val="a"/>
    <w:rPr>
      <w:rFonts w:cs="Miriam"/>
      <w:sz w:val="18"/>
      <w:szCs w:val="18"/>
    </w:rPr>
  </w:style>
  <w:style w:type="character" w:styleId="FollowedHyperlink">
    <w:name w:val="FollowedHyperlink"/>
    <w:basedOn w:val="a0"/>
    <w:rsid w:val="007C14BD"/>
    <w:rPr>
      <w:color w:val="800080"/>
      <w:u w:val="single"/>
    </w:rPr>
  </w:style>
  <w:style w:type="paragraph" w:styleId="a6">
    <w:name w:val="footnote text"/>
    <w:basedOn w:val="a"/>
    <w:semiHidden/>
    <w:rsid w:val="00EA4EBA"/>
    <w:rPr>
      <w:sz w:val="20"/>
      <w:szCs w:val="20"/>
    </w:rPr>
  </w:style>
  <w:style w:type="character" w:styleId="a7">
    <w:name w:val="footnote reference"/>
    <w:basedOn w:val="a0"/>
    <w:semiHidden/>
    <w:rsid w:val="00EA4E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883.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15/MEMSHALA-25.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1892.pdf" TargetMode="External"/><Relationship Id="rId11" Type="http://schemas.openxmlformats.org/officeDocument/2006/relationships/hyperlink" Target="http://www.nevo.co.il/Law_word/law15/MEMSHALA-04.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14/LAW-1883.pdf" TargetMode="External"/><Relationship Id="rId4" Type="http://schemas.openxmlformats.org/officeDocument/2006/relationships/footnotes" Target="footnotes.xml"/><Relationship Id="rId9" Type="http://schemas.openxmlformats.org/officeDocument/2006/relationships/hyperlink" Target="http://www.nevo.co.il/Law_word/law15/MEMSHALA-04.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883.pdf" TargetMode="External"/><Relationship Id="rId2" Type="http://schemas.openxmlformats.org/officeDocument/2006/relationships/hyperlink" Target="http://www.nevo.co.il/Law_word/law17/PROP-2797.pdf" TargetMode="External"/><Relationship Id="rId1" Type="http://schemas.openxmlformats.org/officeDocument/2006/relationships/hyperlink" Target="http://www.nevo.co.il/Law_word/law14/LAW-1821.pdf" TargetMode="External"/><Relationship Id="rId6" Type="http://schemas.openxmlformats.org/officeDocument/2006/relationships/hyperlink" Target="http://www.nevo.co.il/Law_word/law15/MEMSHALA-25.pdf" TargetMode="External"/><Relationship Id="rId5" Type="http://schemas.openxmlformats.org/officeDocument/2006/relationships/hyperlink" Target="http://www.nevo.co.il/Law_word/law14/LAW-1892.pdf" TargetMode="External"/><Relationship Id="rId4" Type="http://schemas.openxmlformats.org/officeDocument/2006/relationships/hyperlink" Target="http://www.nevo.co.il/Law_word/law15/MEMSHALA-04c.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פרק 152</vt:lpstr>
    </vt:vector>
  </TitlesOfParts>
  <Company/>
  <LinksUpToDate>false</LinksUpToDate>
  <CharactersWithSpaces>4972</CharactersWithSpaces>
  <SharedDoc>false</SharedDoc>
  <HLinks>
    <vt:vector size="120" baseType="variant">
      <vt:variant>
        <vt:i4>2359385</vt:i4>
      </vt:variant>
      <vt:variant>
        <vt:i4>63</vt:i4>
      </vt:variant>
      <vt:variant>
        <vt:i4>0</vt:i4>
      </vt:variant>
      <vt:variant>
        <vt:i4>5</vt:i4>
      </vt:variant>
      <vt:variant>
        <vt:lpwstr>http://www.nevo.co.il/Law_word/law15/MEMSHALA-04.pdf</vt:lpwstr>
      </vt:variant>
      <vt:variant>
        <vt:lpwstr/>
      </vt:variant>
      <vt:variant>
        <vt:i4>7733250</vt:i4>
      </vt:variant>
      <vt:variant>
        <vt:i4>60</vt:i4>
      </vt:variant>
      <vt:variant>
        <vt:i4>0</vt:i4>
      </vt:variant>
      <vt:variant>
        <vt:i4>5</vt:i4>
      </vt:variant>
      <vt:variant>
        <vt:lpwstr>http://www.nevo.co.il/Law_word/law14/LAW-1883.pdf</vt:lpwstr>
      </vt:variant>
      <vt:variant>
        <vt:lpwstr/>
      </vt:variant>
      <vt:variant>
        <vt:i4>2359385</vt:i4>
      </vt:variant>
      <vt:variant>
        <vt:i4>57</vt:i4>
      </vt:variant>
      <vt:variant>
        <vt:i4>0</vt:i4>
      </vt:variant>
      <vt:variant>
        <vt:i4>5</vt:i4>
      </vt:variant>
      <vt:variant>
        <vt:lpwstr>http://www.nevo.co.il/Law_word/law15/MEMSHALA-04.pdf</vt:lpwstr>
      </vt:variant>
      <vt:variant>
        <vt:lpwstr/>
      </vt:variant>
      <vt:variant>
        <vt:i4>7733250</vt:i4>
      </vt:variant>
      <vt:variant>
        <vt:i4>54</vt:i4>
      </vt:variant>
      <vt:variant>
        <vt:i4>0</vt:i4>
      </vt:variant>
      <vt:variant>
        <vt:i4>5</vt:i4>
      </vt:variant>
      <vt:variant>
        <vt:lpwstr>http://www.nevo.co.il/Law_word/law14/LAW-1883.pdf</vt:lpwstr>
      </vt:variant>
      <vt:variant>
        <vt:lpwstr/>
      </vt:variant>
      <vt:variant>
        <vt:i4>2424923</vt:i4>
      </vt:variant>
      <vt:variant>
        <vt:i4>51</vt:i4>
      </vt:variant>
      <vt:variant>
        <vt:i4>0</vt:i4>
      </vt:variant>
      <vt:variant>
        <vt:i4>5</vt:i4>
      </vt:variant>
      <vt:variant>
        <vt:lpwstr>http://www.nevo.co.il/Law_word/law15/MEMSHALA-25.pdf</vt:lpwstr>
      </vt:variant>
      <vt:variant>
        <vt:lpwstr/>
      </vt:variant>
      <vt:variant>
        <vt:i4>7798787</vt:i4>
      </vt:variant>
      <vt:variant>
        <vt:i4>48</vt:i4>
      </vt:variant>
      <vt:variant>
        <vt:i4>0</vt:i4>
      </vt:variant>
      <vt:variant>
        <vt:i4>5</vt:i4>
      </vt:variant>
      <vt:variant>
        <vt:lpwstr>http://www.nevo.co.il/Law_word/law14/LAW-1892.pdf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2424923</vt:i4>
      </vt:variant>
      <vt:variant>
        <vt:i4>15</vt:i4>
      </vt:variant>
      <vt:variant>
        <vt:i4>0</vt:i4>
      </vt:variant>
      <vt:variant>
        <vt:i4>5</vt:i4>
      </vt:variant>
      <vt:variant>
        <vt:lpwstr>http://www.nevo.co.il/Law_word/law15/MEMSHALA-25.pdf</vt:lpwstr>
      </vt:variant>
      <vt:variant>
        <vt:lpwstr/>
      </vt:variant>
      <vt:variant>
        <vt:i4>7798787</vt:i4>
      </vt:variant>
      <vt:variant>
        <vt:i4>12</vt:i4>
      </vt:variant>
      <vt:variant>
        <vt:i4>0</vt:i4>
      </vt:variant>
      <vt:variant>
        <vt:i4>5</vt:i4>
      </vt:variant>
      <vt:variant>
        <vt:lpwstr>http://www.nevo.co.il/Law_word/law14/LAW-1892.pdf</vt:lpwstr>
      </vt:variant>
      <vt:variant>
        <vt:lpwstr/>
      </vt:variant>
      <vt:variant>
        <vt:i4>7864320</vt:i4>
      </vt:variant>
      <vt:variant>
        <vt:i4>9</vt:i4>
      </vt:variant>
      <vt:variant>
        <vt:i4>0</vt:i4>
      </vt:variant>
      <vt:variant>
        <vt:i4>5</vt:i4>
      </vt:variant>
      <vt:variant>
        <vt:lpwstr>http://www.nevo.co.il/Law_word/law15/MEMSHALA-04c.pdf</vt:lpwstr>
      </vt:variant>
      <vt:variant>
        <vt:lpwstr/>
      </vt:variant>
      <vt:variant>
        <vt:i4>7733250</vt:i4>
      </vt:variant>
      <vt:variant>
        <vt:i4>6</vt:i4>
      </vt:variant>
      <vt:variant>
        <vt:i4>0</vt:i4>
      </vt:variant>
      <vt:variant>
        <vt:i4>5</vt:i4>
      </vt:variant>
      <vt:variant>
        <vt:lpwstr>http://www.nevo.co.il/Law_word/law14/LAW-1883.pdf</vt:lpwstr>
      </vt:variant>
      <vt:variant>
        <vt:lpwstr/>
      </vt:variant>
      <vt:variant>
        <vt:i4>589942</vt:i4>
      </vt:variant>
      <vt:variant>
        <vt:i4>3</vt:i4>
      </vt:variant>
      <vt:variant>
        <vt:i4>0</vt:i4>
      </vt:variant>
      <vt:variant>
        <vt:i4>5</vt:i4>
      </vt:variant>
      <vt:variant>
        <vt:lpwstr>http://www.nevo.co.il/Law_word/law17/PROP-2797.pdf</vt:lpwstr>
      </vt:variant>
      <vt:variant>
        <vt:lpwstr/>
      </vt:variant>
      <vt:variant>
        <vt:i4>8126464</vt:i4>
      </vt:variant>
      <vt:variant>
        <vt:i4>0</vt:i4>
      </vt:variant>
      <vt:variant>
        <vt:i4>0</vt:i4>
      </vt:variant>
      <vt:variant>
        <vt:i4>5</vt:i4>
      </vt:variant>
      <vt:variant>
        <vt:lpwstr>http://www.nevo.co.il/Law_word/law14/LAW-1821.pdf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152</dc:title>
  <dc:subject/>
  <dc:creator>אורי אילן</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0152</vt:lpwstr>
  </property>
  <property fmtid="{D5CDD505-2E9C-101B-9397-08002B2CF9AE}" pid="3" name="CHNAME">
    <vt:lpwstr>חינוך</vt:lpwstr>
  </property>
  <property fmtid="{D5CDD505-2E9C-101B-9397-08002B2CF9AE}" pid="4" name="LAWNAME">
    <vt:lpwstr>חוק הלוואות לשכר לימוד, תשס"ב-2002</vt:lpwstr>
  </property>
  <property fmtid="{D5CDD505-2E9C-101B-9397-08002B2CF9AE}" pid="5" name="LAWNUMBER">
    <vt:lpwstr>0058</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חינוך</vt:lpwstr>
  </property>
  <property fmtid="{D5CDD505-2E9C-101B-9397-08002B2CF9AE}" pid="9" name="NOSE31">
    <vt:lpwstr>השכלה גבוהה</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