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E202" w14:textId="77777777" w:rsidR="00D078B6" w:rsidRDefault="00E65ADA" w:rsidP="006A5600">
      <w:pPr>
        <w:pStyle w:val="big-header"/>
        <w:ind w:left="0" w:right="1134"/>
        <w:rPr>
          <w:rFonts w:cs="FrankRuehl"/>
          <w:sz w:val="32"/>
        </w:rPr>
      </w:pPr>
      <w:r>
        <w:rPr>
          <w:rFonts w:cs="FrankRuehl" w:hint="cs"/>
          <w:sz w:val="32"/>
          <w:rtl/>
        </w:rPr>
        <w:t xml:space="preserve">חוק </w:t>
      </w:r>
      <w:r w:rsidR="00564525">
        <w:rPr>
          <w:rFonts w:cs="FrankRuehl" w:hint="cs"/>
          <w:sz w:val="32"/>
          <w:rtl/>
        </w:rPr>
        <w:t>המאבק בתופעת השכרות</w:t>
      </w:r>
      <w:r w:rsidR="001B185E">
        <w:rPr>
          <w:rFonts w:cs="FrankRuehl" w:hint="cs"/>
          <w:sz w:val="32"/>
          <w:rtl/>
        </w:rPr>
        <w:t>, תש"ע-2010</w:t>
      </w:r>
    </w:p>
    <w:p w14:paraId="09A42166" w14:textId="77777777" w:rsidR="007816DA" w:rsidRPr="007816DA" w:rsidRDefault="007816DA" w:rsidP="007816DA">
      <w:pPr>
        <w:spacing w:line="320" w:lineRule="auto"/>
        <w:rPr>
          <w:rFonts w:cs="FrankRuehl"/>
          <w:szCs w:val="26"/>
          <w:rtl/>
        </w:rPr>
      </w:pPr>
    </w:p>
    <w:p w14:paraId="78A20225" w14:textId="77777777" w:rsidR="007816DA" w:rsidRDefault="007816DA" w:rsidP="007816DA">
      <w:pPr>
        <w:spacing w:line="320" w:lineRule="auto"/>
        <w:rPr>
          <w:rtl/>
        </w:rPr>
      </w:pPr>
    </w:p>
    <w:p w14:paraId="7A393934" w14:textId="77777777" w:rsidR="007816DA" w:rsidRDefault="007816DA" w:rsidP="007816DA">
      <w:pPr>
        <w:spacing w:line="320" w:lineRule="auto"/>
        <w:rPr>
          <w:rFonts w:cs="FrankRuehl"/>
          <w:szCs w:val="26"/>
          <w:rtl/>
        </w:rPr>
      </w:pPr>
      <w:r w:rsidRPr="007816DA">
        <w:rPr>
          <w:rFonts w:cs="Miriam"/>
          <w:szCs w:val="22"/>
          <w:rtl/>
        </w:rPr>
        <w:t>בתי משפט וסדרי דין</w:t>
      </w:r>
      <w:r w:rsidRPr="007816DA">
        <w:rPr>
          <w:rFonts w:cs="FrankRuehl"/>
          <w:szCs w:val="26"/>
          <w:rtl/>
        </w:rPr>
        <w:t xml:space="preserve"> – סדר דין פלילי – מעצר וחיפוש</w:t>
      </w:r>
    </w:p>
    <w:p w14:paraId="00547229" w14:textId="77777777" w:rsidR="007816DA" w:rsidRPr="007816DA" w:rsidRDefault="007816DA" w:rsidP="007816DA">
      <w:pPr>
        <w:spacing w:line="320" w:lineRule="auto"/>
        <w:rPr>
          <w:rFonts w:cs="Miriam"/>
          <w:szCs w:val="22"/>
          <w:rtl/>
        </w:rPr>
      </w:pPr>
      <w:r w:rsidRPr="007816DA">
        <w:rPr>
          <w:rFonts w:cs="Miriam"/>
          <w:szCs w:val="22"/>
          <w:rtl/>
        </w:rPr>
        <w:t>עונשין ומשפט פלילי</w:t>
      </w:r>
      <w:r w:rsidRPr="007816DA">
        <w:rPr>
          <w:rFonts w:cs="FrankRuehl"/>
          <w:szCs w:val="26"/>
          <w:rtl/>
        </w:rPr>
        <w:t xml:space="preserve"> – עבירות</w:t>
      </w:r>
    </w:p>
    <w:p w14:paraId="42AC4285" w14:textId="77777777"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F400F" w:rsidRPr="006F400F" w14:paraId="5D2DD7B2" w14:textId="77777777">
        <w:tblPrEx>
          <w:tblCellMar>
            <w:top w:w="0" w:type="dxa"/>
            <w:bottom w:w="0" w:type="dxa"/>
          </w:tblCellMar>
        </w:tblPrEx>
        <w:tc>
          <w:tcPr>
            <w:tcW w:w="1247" w:type="dxa"/>
          </w:tcPr>
          <w:p w14:paraId="6580C7ED" w14:textId="77777777" w:rsidR="006F400F" w:rsidRPr="006F400F" w:rsidRDefault="006F400F" w:rsidP="006F400F">
            <w:pPr>
              <w:rPr>
                <w:rFonts w:cs="Frankruhel" w:hint="cs"/>
                <w:rtl/>
              </w:rPr>
            </w:pPr>
          </w:p>
        </w:tc>
        <w:tc>
          <w:tcPr>
            <w:tcW w:w="5669" w:type="dxa"/>
          </w:tcPr>
          <w:p w14:paraId="1882AEA2" w14:textId="77777777" w:rsidR="006F400F" w:rsidRPr="006F400F" w:rsidRDefault="006F400F" w:rsidP="006F400F">
            <w:pPr>
              <w:rPr>
                <w:rFonts w:cs="Frankruhel" w:hint="cs"/>
                <w:rtl/>
              </w:rPr>
            </w:pPr>
            <w:r>
              <w:rPr>
                <w:rtl/>
              </w:rPr>
              <w:t>פרק א': סמכות תפיסה והשמדה</w:t>
            </w:r>
          </w:p>
        </w:tc>
        <w:tc>
          <w:tcPr>
            <w:tcW w:w="567" w:type="dxa"/>
          </w:tcPr>
          <w:p w14:paraId="68724707" w14:textId="77777777" w:rsidR="006F400F" w:rsidRPr="006F400F" w:rsidRDefault="006F400F" w:rsidP="006F400F">
            <w:pPr>
              <w:rPr>
                <w:rStyle w:val="Hyperlink"/>
                <w:rFonts w:hint="cs"/>
                <w:rtl/>
              </w:rPr>
            </w:pPr>
            <w:hyperlink w:anchor="med0" w:tooltip="פרק א: סמכות תפיסה והשמדה" w:history="1">
              <w:r w:rsidRPr="006F400F">
                <w:rPr>
                  <w:rStyle w:val="Hyperlink"/>
                </w:rPr>
                <w:t>Go</w:t>
              </w:r>
            </w:hyperlink>
          </w:p>
        </w:tc>
        <w:tc>
          <w:tcPr>
            <w:tcW w:w="850" w:type="dxa"/>
          </w:tcPr>
          <w:p w14:paraId="031BD101" w14:textId="77777777" w:rsidR="006F400F" w:rsidRPr="006F400F" w:rsidRDefault="006F400F" w:rsidP="006F4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6F400F" w:rsidRPr="006F400F" w14:paraId="1249EA40" w14:textId="77777777">
        <w:tblPrEx>
          <w:tblCellMar>
            <w:top w:w="0" w:type="dxa"/>
            <w:bottom w:w="0" w:type="dxa"/>
          </w:tblCellMar>
        </w:tblPrEx>
        <w:tc>
          <w:tcPr>
            <w:tcW w:w="1247" w:type="dxa"/>
          </w:tcPr>
          <w:p w14:paraId="42B8BAAE" w14:textId="77777777" w:rsidR="006F400F" w:rsidRPr="006F400F" w:rsidRDefault="006F400F" w:rsidP="006F400F">
            <w:pPr>
              <w:rPr>
                <w:rFonts w:cs="Frankruhel" w:hint="cs"/>
                <w:rtl/>
              </w:rPr>
            </w:pPr>
            <w:r>
              <w:rPr>
                <w:rtl/>
              </w:rPr>
              <w:t xml:space="preserve">סעיף 1 </w:t>
            </w:r>
          </w:p>
        </w:tc>
        <w:tc>
          <w:tcPr>
            <w:tcW w:w="5669" w:type="dxa"/>
          </w:tcPr>
          <w:p w14:paraId="43DE8F16" w14:textId="77777777" w:rsidR="006F400F" w:rsidRPr="006F400F" w:rsidRDefault="006F400F" w:rsidP="006F400F">
            <w:pPr>
              <w:rPr>
                <w:rFonts w:cs="Frankruhel" w:hint="cs"/>
                <w:rtl/>
              </w:rPr>
            </w:pPr>
            <w:r>
              <w:rPr>
                <w:rtl/>
              </w:rPr>
              <w:t>הגדרות</w:t>
            </w:r>
          </w:p>
        </w:tc>
        <w:tc>
          <w:tcPr>
            <w:tcW w:w="567" w:type="dxa"/>
          </w:tcPr>
          <w:p w14:paraId="4C240BB8" w14:textId="77777777" w:rsidR="006F400F" w:rsidRPr="006F400F" w:rsidRDefault="006F400F" w:rsidP="006F400F">
            <w:pPr>
              <w:rPr>
                <w:rStyle w:val="Hyperlink"/>
                <w:rFonts w:hint="cs"/>
                <w:rtl/>
              </w:rPr>
            </w:pPr>
            <w:hyperlink w:anchor="Seif1" w:tooltip="הגדרות" w:history="1">
              <w:r w:rsidRPr="006F400F">
                <w:rPr>
                  <w:rStyle w:val="Hyperlink"/>
                </w:rPr>
                <w:t>Go</w:t>
              </w:r>
            </w:hyperlink>
          </w:p>
        </w:tc>
        <w:tc>
          <w:tcPr>
            <w:tcW w:w="850" w:type="dxa"/>
          </w:tcPr>
          <w:p w14:paraId="1DE26BAF" w14:textId="77777777" w:rsidR="006F400F" w:rsidRPr="006F400F" w:rsidRDefault="006F400F" w:rsidP="006F4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F400F" w:rsidRPr="006F400F" w14:paraId="7458BC55" w14:textId="77777777">
        <w:tblPrEx>
          <w:tblCellMar>
            <w:top w:w="0" w:type="dxa"/>
            <w:bottom w:w="0" w:type="dxa"/>
          </w:tblCellMar>
        </w:tblPrEx>
        <w:tc>
          <w:tcPr>
            <w:tcW w:w="1247" w:type="dxa"/>
          </w:tcPr>
          <w:p w14:paraId="38AC4C47" w14:textId="77777777" w:rsidR="006F400F" w:rsidRPr="006F400F" w:rsidRDefault="006F400F" w:rsidP="006F400F">
            <w:pPr>
              <w:rPr>
                <w:rFonts w:cs="Frankruhel" w:hint="cs"/>
                <w:rtl/>
              </w:rPr>
            </w:pPr>
            <w:r>
              <w:rPr>
                <w:rtl/>
              </w:rPr>
              <w:t xml:space="preserve">סעיף 2 </w:t>
            </w:r>
          </w:p>
        </w:tc>
        <w:tc>
          <w:tcPr>
            <w:tcW w:w="5669" w:type="dxa"/>
          </w:tcPr>
          <w:p w14:paraId="44F70E05" w14:textId="77777777" w:rsidR="006F400F" w:rsidRPr="006F400F" w:rsidRDefault="006F400F" w:rsidP="006F400F">
            <w:pPr>
              <w:rPr>
                <w:rFonts w:cs="Frankruhel" w:hint="cs"/>
                <w:rtl/>
              </w:rPr>
            </w:pPr>
            <w:r>
              <w:rPr>
                <w:rtl/>
              </w:rPr>
              <w:t>סמכות תפיסה והשמדה של משקה משכר וכלי קיבולו</w:t>
            </w:r>
          </w:p>
        </w:tc>
        <w:tc>
          <w:tcPr>
            <w:tcW w:w="567" w:type="dxa"/>
          </w:tcPr>
          <w:p w14:paraId="54E1A191" w14:textId="77777777" w:rsidR="006F400F" w:rsidRPr="006F400F" w:rsidRDefault="006F400F" w:rsidP="006F400F">
            <w:pPr>
              <w:rPr>
                <w:rStyle w:val="Hyperlink"/>
                <w:rFonts w:hint="cs"/>
                <w:rtl/>
              </w:rPr>
            </w:pPr>
            <w:hyperlink w:anchor="Seif2" w:tooltip="סמכות תפיסה והשמדה של משקה משכר וכלי קיבולו" w:history="1">
              <w:r w:rsidRPr="006F400F">
                <w:rPr>
                  <w:rStyle w:val="Hyperlink"/>
                </w:rPr>
                <w:t>Go</w:t>
              </w:r>
            </w:hyperlink>
          </w:p>
        </w:tc>
        <w:tc>
          <w:tcPr>
            <w:tcW w:w="850" w:type="dxa"/>
          </w:tcPr>
          <w:p w14:paraId="6F002A04" w14:textId="77777777" w:rsidR="006F400F" w:rsidRPr="006F400F" w:rsidRDefault="006F400F" w:rsidP="006F4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F400F" w:rsidRPr="006F400F" w14:paraId="1C12984B" w14:textId="77777777">
        <w:tblPrEx>
          <w:tblCellMar>
            <w:top w:w="0" w:type="dxa"/>
            <w:bottom w:w="0" w:type="dxa"/>
          </w:tblCellMar>
        </w:tblPrEx>
        <w:tc>
          <w:tcPr>
            <w:tcW w:w="1247" w:type="dxa"/>
          </w:tcPr>
          <w:p w14:paraId="0B3E03D7" w14:textId="77777777" w:rsidR="006F400F" w:rsidRPr="006F400F" w:rsidRDefault="006F400F" w:rsidP="006F400F">
            <w:pPr>
              <w:rPr>
                <w:rFonts w:cs="Frankruhel" w:hint="cs"/>
                <w:rtl/>
              </w:rPr>
            </w:pPr>
            <w:r>
              <w:rPr>
                <w:rtl/>
              </w:rPr>
              <w:t xml:space="preserve">סעיף 3 </w:t>
            </w:r>
          </w:p>
        </w:tc>
        <w:tc>
          <w:tcPr>
            <w:tcW w:w="5669" w:type="dxa"/>
          </w:tcPr>
          <w:p w14:paraId="6526056D" w14:textId="77777777" w:rsidR="006F400F" w:rsidRPr="006F400F" w:rsidRDefault="006F400F" w:rsidP="006F400F">
            <w:pPr>
              <w:rPr>
                <w:rFonts w:cs="Frankruhel" w:hint="cs"/>
                <w:rtl/>
              </w:rPr>
            </w:pPr>
            <w:r>
              <w:rPr>
                <w:rtl/>
              </w:rPr>
              <w:t>חזקה</w:t>
            </w:r>
          </w:p>
        </w:tc>
        <w:tc>
          <w:tcPr>
            <w:tcW w:w="567" w:type="dxa"/>
          </w:tcPr>
          <w:p w14:paraId="7EAB1AE2" w14:textId="77777777" w:rsidR="006F400F" w:rsidRPr="006F400F" w:rsidRDefault="006F400F" w:rsidP="006F400F">
            <w:pPr>
              <w:rPr>
                <w:rStyle w:val="Hyperlink"/>
                <w:rFonts w:hint="cs"/>
                <w:rtl/>
              </w:rPr>
            </w:pPr>
            <w:hyperlink w:anchor="Seif3" w:tooltip="חזקה" w:history="1">
              <w:r w:rsidRPr="006F400F">
                <w:rPr>
                  <w:rStyle w:val="Hyperlink"/>
                </w:rPr>
                <w:t>Go</w:t>
              </w:r>
            </w:hyperlink>
          </w:p>
        </w:tc>
        <w:tc>
          <w:tcPr>
            <w:tcW w:w="850" w:type="dxa"/>
          </w:tcPr>
          <w:p w14:paraId="05334CB6" w14:textId="77777777" w:rsidR="006F400F" w:rsidRPr="006F400F" w:rsidRDefault="006F400F" w:rsidP="006F4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F400F" w:rsidRPr="006F400F" w14:paraId="741D7B5A" w14:textId="77777777">
        <w:tblPrEx>
          <w:tblCellMar>
            <w:top w:w="0" w:type="dxa"/>
            <w:bottom w:w="0" w:type="dxa"/>
          </w:tblCellMar>
        </w:tblPrEx>
        <w:tc>
          <w:tcPr>
            <w:tcW w:w="1247" w:type="dxa"/>
          </w:tcPr>
          <w:p w14:paraId="1069353D" w14:textId="77777777" w:rsidR="006F400F" w:rsidRPr="006F400F" w:rsidRDefault="006F400F" w:rsidP="006F400F">
            <w:pPr>
              <w:rPr>
                <w:rFonts w:cs="Frankruhel" w:hint="cs"/>
                <w:rtl/>
              </w:rPr>
            </w:pPr>
          </w:p>
        </w:tc>
        <w:tc>
          <w:tcPr>
            <w:tcW w:w="5669" w:type="dxa"/>
          </w:tcPr>
          <w:p w14:paraId="2F2C1D48" w14:textId="77777777" w:rsidR="006F400F" w:rsidRPr="006F400F" w:rsidRDefault="006F400F" w:rsidP="006F400F">
            <w:pPr>
              <w:rPr>
                <w:rFonts w:cs="Frankruhel" w:hint="cs"/>
                <w:rtl/>
              </w:rPr>
            </w:pPr>
            <w:r>
              <w:rPr>
                <w:rtl/>
              </w:rPr>
              <w:t>פרק ב': תיקון עקיף</w:t>
            </w:r>
          </w:p>
        </w:tc>
        <w:tc>
          <w:tcPr>
            <w:tcW w:w="567" w:type="dxa"/>
          </w:tcPr>
          <w:p w14:paraId="4A6C2EDE" w14:textId="77777777" w:rsidR="006F400F" w:rsidRPr="006F400F" w:rsidRDefault="006F400F" w:rsidP="006F400F">
            <w:pPr>
              <w:rPr>
                <w:rStyle w:val="Hyperlink"/>
                <w:rFonts w:hint="cs"/>
                <w:rtl/>
              </w:rPr>
            </w:pPr>
            <w:hyperlink w:anchor="med1" w:tooltip="פרק ב: תיקון עקיף" w:history="1">
              <w:r w:rsidRPr="006F400F">
                <w:rPr>
                  <w:rStyle w:val="Hyperlink"/>
                </w:rPr>
                <w:t>Go</w:t>
              </w:r>
            </w:hyperlink>
          </w:p>
        </w:tc>
        <w:tc>
          <w:tcPr>
            <w:tcW w:w="850" w:type="dxa"/>
          </w:tcPr>
          <w:p w14:paraId="334EE114" w14:textId="77777777" w:rsidR="006F400F" w:rsidRPr="006F400F" w:rsidRDefault="006F400F" w:rsidP="006F4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6F400F" w:rsidRPr="006F400F" w14:paraId="0506C29C" w14:textId="77777777">
        <w:tblPrEx>
          <w:tblCellMar>
            <w:top w:w="0" w:type="dxa"/>
            <w:bottom w:w="0" w:type="dxa"/>
          </w:tblCellMar>
        </w:tblPrEx>
        <w:tc>
          <w:tcPr>
            <w:tcW w:w="1247" w:type="dxa"/>
          </w:tcPr>
          <w:p w14:paraId="2A1229A7" w14:textId="77777777" w:rsidR="006F400F" w:rsidRPr="006F400F" w:rsidRDefault="006F400F" w:rsidP="006F400F">
            <w:pPr>
              <w:rPr>
                <w:rFonts w:cs="Frankruhel" w:hint="cs"/>
                <w:rtl/>
              </w:rPr>
            </w:pPr>
          </w:p>
        </w:tc>
        <w:tc>
          <w:tcPr>
            <w:tcW w:w="5669" w:type="dxa"/>
          </w:tcPr>
          <w:p w14:paraId="15D4AC2F" w14:textId="77777777" w:rsidR="006F400F" w:rsidRPr="006F400F" w:rsidRDefault="006F400F" w:rsidP="006F400F">
            <w:pPr>
              <w:rPr>
                <w:rFonts w:cs="Frankruhel" w:hint="cs"/>
                <w:rtl/>
              </w:rPr>
            </w:pPr>
            <w:r>
              <w:rPr>
                <w:rtl/>
              </w:rPr>
              <w:t>פרק ג': הוראות שונות</w:t>
            </w:r>
          </w:p>
        </w:tc>
        <w:tc>
          <w:tcPr>
            <w:tcW w:w="567" w:type="dxa"/>
          </w:tcPr>
          <w:p w14:paraId="1ADE499D" w14:textId="77777777" w:rsidR="006F400F" w:rsidRPr="006F400F" w:rsidRDefault="006F400F" w:rsidP="006F400F">
            <w:pPr>
              <w:rPr>
                <w:rStyle w:val="Hyperlink"/>
                <w:rFonts w:hint="cs"/>
                <w:rtl/>
              </w:rPr>
            </w:pPr>
            <w:hyperlink w:anchor="med2" w:tooltip="פרק ג: הוראות שונות" w:history="1">
              <w:r w:rsidRPr="006F400F">
                <w:rPr>
                  <w:rStyle w:val="Hyperlink"/>
                </w:rPr>
                <w:t>Go</w:t>
              </w:r>
            </w:hyperlink>
          </w:p>
        </w:tc>
        <w:tc>
          <w:tcPr>
            <w:tcW w:w="850" w:type="dxa"/>
          </w:tcPr>
          <w:p w14:paraId="5CBACAE6" w14:textId="77777777" w:rsidR="006F400F" w:rsidRPr="006F400F" w:rsidRDefault="006F400F" w:rsidP="006F4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6F400F" w:rsidRPr="006F400F" w14:paraId="6D0E2362" w14:textId="77777777">
        <w:tblPrEx>
          <w:tblCellMar>
            <w:top w:w="0" w:type="dxa"/>
            <w:bottom w:w="0" w:type="dxa"/>
          </w:tblCellMar>
        </w:tblPrEx>
        <w:tc>
          <w:tcPr>
            <w:tcW w:w="1247" w:type="dxa"/>
          </w:tcPr>
          <w:p w14:paraId="6F64811C" w14:textId="77777777" w:rsidR="006F400F" w:rsidRPr="006F400F" w:rsidRDefault="006F400F" w:rsidP="006F400F">
            <w:pPr>
              <w:rPr>
                <w:rFonts w:cs="Frankruhel" w:hint="cs"/>
                <w:rtl/>
              </w:rPr>
            </w:pPr>
            <w:r>
              <w:rPr>
                <w:rtl/>
              </w:rPr>
              <w:t xml:space="preserve">סעיף 5 </w:t>
            </w:r>
          </w:p>
        </w:tc>
        <w:tc>
          <w:tcPr>
            <w:tcW w:w="5669" w:type="dxa"/>
          </w:tcPr>
          <w:p w14:paraId="7DB9EFFA" w14:textId="77777777" w:rsidR="006F400F" w:rsidRPr="006F400F" w:rsidRDefault="006F400F" w:rsidP="006F400F">
            <w:pPr>
              <w:rPr>
                <w:rFonts w:cs="Frankruhel" w:hint="cs"/>
                <w:rtl/>
              </w:rPr>
            </w:pPr>
            <w:r>
              <w:rPr>
                <w:rtl/>
              </w:rPr>
              <w:t>שמירת דינים</w:t>
            </w:r>
          </w:p>
        </w:tc>
        <w:tc>
          <w:tcPr>
            <w:tcW w:w="567" w:type="dxa"/>
          </w:tcPr>
          <w:p w14:paraId="61383DBC" w14:textId="77777777" w:rsidR="006F400F" w:rsidRPr="006F400F" w:rsidRDefault="006F400F" w:rsidP="006F400F">
            <w:pPr>
              <w:rPr>
                <w:rStyle w:val="Hyperlink"/>
                <w:rFonts w:hint="cs"/>
                <w:rtl/>
              </w:rPr>
            </w:pPr>
            <w:hyperlink w:anchor="Seif4" w:tooltip="שמירת דינים" w:history="1">
              <w:r w:rsidRPr="006F400F">
                <w:rPr>
                  <w:rStyle w:val="Hyperlink"/>
                </w:rPr>
                <w:t>Go</w:t>
              </w:r>
            </w:hyperlink>
          </w:p>
        </w:tc>
        <w:tc>
          <w:tcPr>
            <w:tcW w:w="850" w:type="dxa"/>
          </w:tcPr>
          <w:p w14:paraId="45A52F23" w14:textId="77777777" w:rsidR="006F400F" w:rsidRPr="006F400F" w:rsidRDefault="006F400F" w:rsidP="006F4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6F400F" w:rsidRPr="006F400F" w14:paraId="13BC62DF" w14:textId="77777777">
        <w:tblPrEx>
          <w:tblCellMar>
            <w:top w:w="0" w:type="dxa"/>
            <w:bottom w:w="0" w:type="dxa"/>
          </w:tblCellMar>
        </w:tblPrEx>
        <w:tc>
          <w:tcPr>
            <w:tcW w:w="1247" w:type="dxa"/>
          </w:tcPr>
          <w:p w14:paraId="5270665A" w14:textId="77777777" w:rsidR="006F400F" w:rsidRPr="006F400F" w:rsidRDefault="006F400F" w:rsidP="006F400F">
            <w:pPr>
              <w:rPr>
                <w:rFonts w:cs="Frankruhel" w:hint="cs"/>
                <w:rtl/>
              </w:rPr>
            </w:pPr>
            <w:r>
              <w:rPr>
                <w:rtl/>
              </w:rPr>
              <w:t xml:space="preserve">סעיף 6 </w:t>
            </w:r>
          </w:p>
        </w:tc>
        <w:tc>
          <w:tcPr>
            <w:tcW w:w="5669" w:type="dxa"/>
          </w:tcPr>
          <w:p w14:paraId="3D137F5C" w14:textId="77777777" w:rsidR="006F400F" w:rsidRPr="006F400F" w:rsidRDefault="006F400F" w:rsidP="006F400F">
            <w:pPr>
              <w:rPr>
                <w:rFonts w:cs="Frankruhel" w:hint="cs"/>
                <w:rtl/>
              </w:rPr>
            </w:pPr>
            <w:r>
              <w:rPr>
                <w:rtl/>
              </w:rPr>
              <w:t>ביצוע ותקנות</w:t>
            </w:r>
          </w:p>
        </w:tc>
        <w:tc>
          <w:tcPr>
            <w:tcW w:w="567" w:type="dxa"/>
          </w:tcPr>
          <w:p w14:paraId="3009BF25" w14:textId="77777777" w:rsidR="006F400F" w:rsidRPr="006F400F" w:rsidRDefault="006F400F" w:rsidP="006F400F">
            <w:pPr>
              <w:rPr>
                <w:rStyle w:val="Hyperlink"/>
                <w:rFonts w:hint="cs"/>
                <w:rtl/>
              </w:rPr>
            </w:pPr>
            <w:hyperlink w:anchor="Seif5" w:tooltip="ביצוע ותקנות" w:history="1">
              <w:r w:rsidRPr="006F400F">
                <w:rPr>
                  <w:rStyle w:val="Hyperlink"/>
                </w:rPr>
                <w:t>Go</w:t>
              </w:r>
            </w:hyperlink>
          </w:p>
        </w:tc>
        <w:tc>
          <w:tcPr>
            <w:tcW w:w="850" w:type="dxa"/>
          </w:tcPr>
          <w:p w14:paraId="00F6B64D" w14:textId="77777777" w:rsidR="006F400F" w:rsidRPr="006F400F" w:rsidRDefault="006F400F" w:rsidP="006F4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6F400F" w:rsidRPr="006F400F" w14:paraId="53B9EB63" w14:textId="77777777">
        <w:tblPrEx>
          <w:tblCellMar>
            <w:top w:w="0" w:type="dxa"/>
            <w:bottom w:w="0" w:type="dxa"/>
          </w:tblCellMar>
        </w:tblPrEx>
        <w:tc>
          <w:tcPr>
            <w:tcW w:w="1247" w:type="dxa"/>
          </w:tcPr>
          <w:p w14:paraId="3D29AFA6" w14:textId="77777777" w:rsidR="006F400F" w:rsidRPr="006F400F" w:rsidRDefault="006F400F" w:rsidP="006F400F">
            <w:pPr>
              <w:rPr>
                <w:rFonts w:cs="Frankruhel" w:hint="cs"/>
                <w:rtl/>
              </w:rPr>
            </w:pPr>
            <w:r>
              <w:rPr>
                <w:rtl/>
              </w:rPr>
              <w:t xml:space="preserve">סעיף 6א </w:t>
            </w:r>
          </w:p>
        </w:tc>
        <w:tc>
          <w:tcPr>
            <w:tcW w:w="5669" w:type="dxa"/>
          </w:tcPr>
          <w:p w14:paraId="03443FD9" w14:textId="77777777" w:rsidR="006F400F" w:rsidRPr="006F400F" w:rsidRDefault="006F400F" w:rsidP="006F400F">
            <w:pPr>
              <w:rPr>
                <w:rFonts w:cs="Frankruhel" w:hint="cs"/>
                <w:rtl/>
              </w:rPr>
            </w:pPr>
            <w:r>
              <w:rPr>
                <w:rtl/>
              </w:rPr>
              <w:t>שינוי התוספת</w:t>
            </w:r>
          </w:p>
        </w:tc>
        <w:tc>
          <w:tcPr>
            <w:tcW w:w="567" w:type="dxa"/>
          </w:tcPr>
          <w:p w14:paraId="6C521D07" w14:textId="77777777" w:rsidR="006F400F" w:rsidRPr="006F400F" w:rsidRDefault="006F400F" w:rsidP="006F400F">
            <w:pPr>
              <w:rPr>
                <w:rStyle w:val="Hyperlink"/>
                <w:rFonts w:hint="cs"/>
                <w:rtl/>
              </w:rPr>
            </w:pPr>
            <w:hyperlink w:anchor="Seif8" w:tooltip="שינוי התוספת" w:history="1">
              <w:r w:rsidRPr="006F400F">
                <w:rPr>
                  <w:rStyle w:val="Hyperlink"/>
                </w:rPr>
                <w:t>Go</w:t>
              </w:r>
            </w:hyperlink>
          </w:p>
        </w:tc>
        <w:tc>
          <w:tcPr>
            <w:tcW w:w="850" w:type="dxa"/>
          </w:tcPr>
          <w:p w14:paraId="25309467" w14:textId="77777777" w:rsidR="006F400F" w:rsidRPr="006F400F" w:rsidRDefault="006F400F" w:rsidP="006F4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6F400F" w:rsidRPr="006F400F" w14:paraId="72A49164" w14:textId="77777777">
        <w:tblPrEx>
          <w:tblCellMar>
            <w:top w:w="0" w:type="dxa"/>
            <w:bottom w:w="0" w:type="dxa"/>
          </w:tblCellMar>
        </w:tblPrEx>
        <w:tc>
          <w:tcPr>
            <w:tcW w:w="1247" w:type="dxa"/>
          </w:tcPr>
          <w:p w14:paraId="1E88291B" w14:textId="77777777" w:rsidR="006F400F" w:rsidRPr="006F400F" w:rsidRDefault="006F400F" w:rsidP="006F400F">
            <w:pPr>
              <w:rPr>
                <w:rFonts w:cs="Frankruhel" w:hint="cs"/>
                <w:rtl/>
              </w:rPr>
            </w:pPr>
            <w:r>
              <w:rPr>
                <w:rtl/>
              </w:rPr>
              <w:t xml:space="preserve">סעיף 7 </w:t>
            </w:r>
          </w:p>
        </w:tc>
        <w:tc>
          <w:tcPr>
            <w:tcW w:w="5669" w:type="dxa"/>
          </w:tcPr>
          <w:p w14:paraId="689DB91D" w14:textId="77777777" w:rsidR="006F400F" w:rsidRPr="006F400F" w:rsidRDefault="006F400F" w:rsidP="006F400F">
            <w:pPr>
              <w:rPr>
                <w:rFonts w:cs="Frankruhel" w:hint="cs"/>
                <w:rtl/>
              </w:rPr>
            </w:pPr>
            <w:r>
              <w:rPr>
                <w:rtl/>
              </w:rPr>
              <w:t>דיווח לכנסת</w:t>
            </w:r>
          </w:p>
        </w:tc>
        <w:tc>
          <w:tcPr>
            <w:tcW w:w="567" w:type="dxa"/>
          </w:tcPr>
          <w:p w14:paraId="05D3723E" w14:textId="77777777" w:rsidR="006F400F" w:rsidRPr="006F400F" w:rsidRDefault="006F400F" w:rsidP="006F400F">
            <w:pPr>
              <w:rPr>
                <w:rStyle w:val="Hyperlink"/>
                <w:rFonts w:hint="cs"/>
                <w:rtl/>
              </w:rPr>
            </w:pPr>
            <w:hyperlink w:anchor="Seif6" w:tooltip="דיווח לכנסת" w:history="1">
              <w:r w:rsidRPr="006F400F">
                <w:rPr>
                  <w:rStyle w:val="Hyperlink"/>
                </w:rPr>
                <w:t>Go</w:t>
              </w:r>
            </w:hyperlink>
          </w:p>
        </w:tc>
        <w:tc>
          <w:tcPr>
            <w:tcW w:w="850" w:type="dxa"/>
          </w:tcPr>
          <w:p w14:paraId="1BD26CCC" w14:textId="77777777" w:rsidR="006F400F" w:rsidRPr="006F400F" w:rsidRDefault="006F400F" w:rsidP="006F4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6F400F" w:rsidRPr="006F400F" w14:paraId="285B8A56" w14:textId="77777777">
        <w:tblPrEx>
          <w:tblCellMar>
            <w:top w:w="0" w:type="dxa"/>
            <w:bottom w:w="0" w:type="dxa"/>
          </w:tblCellMar>
        </w:tblPrEx>
        <w:tc>
          <w:tcPr>
            <w:tcW w:w="1247" w:type="dxa"/>
          </w:tcPr>
          <w:p w14:paraId="2E6AADE1" w14:textId="77777777" w:rsidR="006F400F" w:rsidRPr="006F400F" w:rsidRDefault="006F400F" w:rsidP="006F400F">
            <w:pPr>
              <w:rPr>
                <w:rFonts w:cs="Frankruhel" w:hint="cs"/>
                <w:rtl/>
              </w:rPr>
            </w:pPr>
            <w:r>
              <w:rPr>
                <w:rtl/>
              </w:rPr>
              <w:t xml:space="preserve">סעיף 8 </w:t>
            </w:r>
          </w:p>
        </w:tc>
        <w:tc>
          <w:tcPr>
            <w:tcW w:w="5669" w:type="dxa"/>
          </w:tcPr>
          <w:p w14:paraId="4D9D50A7" w14:textId="77777777" w:rsidR="006F400F" w:rsidRPr="006F400F" w:rsidRDefault="006F400F" w:rsidP="006F400F">
            <w:pPr>
              <w:rPr>
                <w:rFonts w:cs="Frankruhel" w:hint="cs"/>
                <w:rtl/>
              </w:rPr>
            </w:pPr>
            <w:r>
              <w:rPr>
                <w:rtl/>
              </w:rPr>
              <w:t>תחילה</w:t>
            </w:r>
          </w:p>
        </w:tc>
        <w:tc>
          <w:tcPr>
            <w:tcW w:w="567" w:type="dxa"/>
          </w:tcPr>
          <w:p w14:paraId="272BEE30" w14:textId="77777777" w:rsidR="006F400F" w:rsidRPr="006F400F" w:rsidRDefault="006F400F" w:rsidP="006F400F">
            <w:pPr>
              <w:rPr>
                <w:rStyle w:val="Hyperlink"/>
                <w:rFonts w:hint="cs"/>
                <w:rtl/>
              </w:rPr>
            </w:pPr>
            <w:hyperlink w:anchor="Seif7" w:tooltip="תחילה" w:history="1">
              <w:r w:rsidRPr="006F400F">
                <w:rPr>
                  <w:rStyle w:val="Hyperlink"/>
                </w:rPr>
                <w:t>Go</w:t>
              </w:r>
            </w:hyperlink>
          </w:p>
        </w:tc>
        <w:tc>
          <w:tcPr>
            <w:tcW w:w="850" w:type="dxa"/>
          </w:tcPr>
          <w:p w14:paraId="5B5D60E8" w14:textId="77777777" w:rsidR="006F400F" w:rsidRPr="006F400F" w:rsidRDefault="006F400F" w:rsidP="006F4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AD6C7DA" w14:textId="77777777" w:rsidR="00D078B6" w:rsidRDefault="00D078B6">
      <w:pPr>
        <w:pStyle w:val="big-header"/>
        <w:ind w:left="0" w:right="1134"/>
        <w:rPr>
          <w:rFonts w:cs="FrankRuehl" w:hint="cs"/>
          <w:sz w:val="32"/>
          <w:rtl/>
        </w:rPr>
      </w:pPr>
    </w:p>
    <w:p w14:paraId="7CBDE263" w14:textId="77777777" w:rsidR="00D078B6" w:rsidRDefault="00D078B6" w:rsidP="006A5600">
      <w:pPr>
        <w:pStyle w:val="big-header"/>
        <w:ind w:left="0" w:right="1134"/>
        <w:rPr>
          <w:rStyle w:val="default"/>
          <w:rFonts w:hint="cs"/>
          <w:sz w:val="22"/>
          <w:szCs w:val="22"/>
          <w:rtl/>
        </w:rPr>
      </w:pPr>
      <w:r>
        <w:rPr>
          <w:rFonts w:cs="FrankRuehl"/>
          <w:sz w:val="32"/>
          <w:rtl/>
        </w:rPr>
        <w:br w:type="page"/>
      </w:r>
      <w:r w:rsidR="006A5600">
        <w:rPr>
          <w:rFonts w:cs="FrankRuehl" w:hint="cs"/>
          <w:sz w:val="32"/>
          <w:rtl/>
          <w:lang w:eastAsia="en-US"/>
        </w:rPr>
        <w:lastRenderedPageBreak/>
        <w:pict w14:anchorId="5A4BB17D">
          <v:shapetype id="_x0000_t202" coordsize="21600,21600" o:spt="202" path="m,l,21600r21600,l21600,xe">
            <v:stroke joinstyle="miter"/>
            <v:path gradientshapeok="t" o:connecttype="rect"/>
          </v:shapetype>
          <v:shape id="_x0000_s2359" type="#_x0000_t202" style="position:absolute;left:0;text-align:left;margin-left:470.35pt;margin-top:19.85pt;width:1in;height:18pt;z-index:251660288" filled="f" stroked="f">
            <v:textbox inset="1mm,0,1mm,0">
              <w:txbxContent>
                <w:p w14:paraId="77CC2175" w14:textId="77777777" w:rsidR="006A5600" w:rsidRDefault="006A5600" w:rsidP="006A5600">
                  <w:pPr>
                    <w:spacing w:line="160" w:lineRule="exact"/>
                    <w:rPr>
                      <w:rFonts w:cs="Miriam" w:hint="cs"/>
                      <w:noProof/>
                      <w:sz w:val="18"/>
                      <w:szCs w:val="18"/>
                      <w:rtl/>
                    </w:rPr>
                  </w:pPr>
                  <w:r>
                    <w:rPr>
                      <w:rFonts w:cs="Miriam" w:hint="cs"/>
                      <w:sz w:val="18"/>
                      <w:szCs w:val="18"/>
                      <w:rtl/>
                    </w:rPr>
                    <w:t>(תיקון מס' 1) תשע"ג-2013</w:t>
                  </w:r>
                </w:p>
              </w:txbxContent>
            </v:textbox>
          </v:shape>
        </w:pict>
      </w:r>
      <w:r w:rsidR="00564525">
        <w:rPr>
          <w:rFonts w:cs="FrankRuehl" w:hint="cs"/>
          <w:sz w:val="32"/>
          <w:rtl/>
        </w:rPr>
        <w:t>חוק המאבק בתופעת השכרות, תש"ע-2010</w:t>
      </w:r>
      <w:r>
        <w:rPr>
          <w:rStyle w:val="default"/>
          <w:sz w:val="22"/>
          <w:szCs w:val="22"/>
          <w:rtl/>
        </w:rPr>
        <w:footnoteReference w:customMarkFollows="1" w:id="1"/>
        <w:t>*</w:t>
      </w:r>
    </w:p>
    <w:p w14:paraId="1BA2FB42" w14:textId="77777777" w:rsidR="006A5600" w:rsidRPr="00112A59" w:rsidRDefault="006A5600" w:rsidP="006A5600">
      <w:pPr>
        <w:pStyle w:val="P00"/>
        <w:spacing w:before="0"/>
        <w:ind w:left="0" w:right="1134"/>
        <w:rPr>
          <w:rStyle w:val="default"/>
          <w:rFonts w:cs="FrankRuehl" w:hint="cs"/>
          <w:vanish/>
          <w:color w:val="FF0000"/>
          <w:sz w:val="20"/>
          <w:szCs w:val="20"/>
          <w:shd w:val="clear" w:color="auto" w:fill="FFFF99"/>
          <w:rtl/>
        </w:rPr>
      </w:pPr>
      <w:bookmarkStart w:id="1" w:name="Rov12"/>
      <w:r w:rsidRPr="00112A59">
        <w:rPr>
          <w:rStyle w:val="default"/>
          <w:rFonts w:cs="FrankRuehl" w:hint="cs"/>
          <w:vanish/>
          <w:color w:val="FF0000"/>
          <w:sz w:val="20"/>
          <w:szCs w:val="20"/>
          <w:shd w:val="clear" w:color="auto" w:fill="FFFF99"/>
          <w:rtl/>
        </w:rPr>
        <w:t>מיום 1.5.2013</w:t>
      </w:r>
    </w:p>
    <w:p w14:paraId="568DE03A" w14:textId="77777777" w:rsidR="006A5600" w:rsidRPr="00112A59" w:rsidRDefault="006A5600" w:rsidP="006A5600">
      <w:pPr>
        <w:pStyle w:val="P00"/>
        <w:spacing w:before="0"/>
        <w:ind w:left="0" w:right="1134"/>
        <w:rPr>
          <w:rStyle w:val="default"/>
          <w:rFonts w:cs="FrankRuehl" w:hint="cs"/>
          <w:vanish/>
          <w:sz w:val="20"/>
          <w:szCs w:val="20"/>
          <w:shd w:val="clear" w:color="auto" w:fill="FFFF99"/>
          <w:rtl/>
        </w:rPr>
      </w:pPr>
      <w:r w:rsidRPr="00112A59">
        <w:rPr>
          <w:rStyle w:val="default"/>
          <w:rFonts w:cs="FrankRuehl" w:hint="cs"/>
          <w:b/>
          <w:bCs/>
          <w:vanish/>
          <w:sz w:val="20"/>
          <w:szCs w:val="20"/>
          <w:shd w:val="clear" w:color="auto" w:fill="FFFF99"/>
          <w:rtl/>
        </w:rPr>
        <w:t>תיקון מס' 1</w:t>
      </w:r>
    </w:p>
    <w:p w14:paraId="1BDFF554" w14:textId="77777777" w:rsidR="006A5600" w:rsidRPr="00112A59" w:rsidRDefault="006A5600" w:rsidP="006A5600">
      <w:pPr>
        <w:pStyle w:val="P00"/>
        <w:spacing w:before="0"/>
        <w:ind w:left="0" w:right="1134"/>
        <w:rPr>
          <w:rStyle w:val="default"/>
          <w:rFonts w:cs="FrankRuehl" w:hint="cs"/>
          <w:vanish/>
          <w:sz w:val="20"/>
          <w:szCs w:val="20"/>
          <w:shd w:val="clear" w:color="auto" w:fill="FFFF99"/>
          <w:rtl/>
        </w:rPr>
      </w:pPr>
      <w:hyperlink r:id="rId7" w:history="1">
        <w:r w:rsidRPr="00112A59">
          <w:rPr>
            <w:rStyle w:val="Hyperlink"/>
            <w:rFonts w:cs="FrankRuehl" w:hint="cs"/>
            <w:vanish/>
            <w:szCs w:val="20"/>
            <w:shd w:val="clear" w:color="auto" w:fill="FFFF99"/>
            <w:rtl/>
          </w:rPr>
          <w:t>ס"ח תשע"ג מס' 2393</w:t>
        </w:r>
      </w:hyperlink>
      <w:r w:rsidRPr="00112A59">
        <w:rPr>
          <w:rStyle w:val="default"/>
          <w:rFonts w:cs="FrankRuehl" w:hint="cs"/>
          <w:vanish/>
          <w:sz w:val="20"/>
          <w:szCs w:val="20"/>
          <w:shd w:val="clear" w:color="auto" w:fill="FFFF99"/>
          <w:rtl/>
        </w:rPr>
        <w:t xml:space="preserve"> מיום 1.5.2013 עמ' 58 (</w:t>
      </w:r>
      <w:hyperlink r:id="rId8" w:history="1">
        <w:r w:rsidRPr="00112A59">
          <w:rPr>
            <w:rStyle w:val="Hyperlink"/>
            <w:rFonts w:cs="FrankRuehl" w:hint="cs"/>
            <w:vanish/>
            <w:szCs w:val="20"/>
            <w:shd w:val="clear" w:color="auto" w:fill="FFFF99"/>
            <w:rtl/>
          </w:rPr>
          <w:t>ה"ח 750</w:t>
        </w:r>
      </w:hyperlink>
      <w:r w:rsidRPr="00112A59">
        <w:rPr>
          <w:rStyle w:val="default"/>
          <w:rFonts w:cs="FrankRuehl" w:hint="cs"/>
          <w:vanish/>
          <w:sz w:val="20"/>
          <w:szCs w:val="20"/>
          <w:shd w:val="clear" w:color="auto" w:fill="FFFF99"/>
          <w:rtl/>
        </w:rPr>
        <w:t>)</w:t>
      </w:r>
    </w:p>
    <w:p w14:paraId="79D34C56" w14:textId="77777777" w:rsidR="006A5600" w:rsidRPr="006A5600" w:rsidRDefault="006A5600" w:rsidP="006A5600">
      <w:pPr>
        <w:pStyle w:val="P00"/>
        <w:ind w:left="0" w:right="1134"/>
        <w:rPr>
          <w:rStyle w:val="default"/>
          <w:rFonts w:cs="FrankRuehl" w:hint="cs"/>
          <w:sz w:val="2"/>
          <w:szCs w:val="2"/>
          <w:rtl/>
        </w:rPr>
      </w:pPr>
      <w:r w:rsidRPr="00112A59">
        <w:rPr>
          <w:rStyle w:val="default"/>
          <w:rFonts w:cs="FrankRuehl" w:hint="cs"/>
          <w:vanish/>
          <w:sz w:val="22"/>
          <w:szCs w:val="22"/>
          <w:shd w:val="clear" w:color="auto" w:fill="FFFF99"/>
          <w:rtl/>
        </w:rPr>
        <w:t xml:space="preserve">חוק המאבק בתופעת השכרות </w:t>
      </w:r>
      <w:r w:rsidRPr="00112A59">
        <w:rPr>
          <w:rStyle w:val="default"/>
          <w:rFonts w:cs="FrankRuehl" w:hint="cs"/>
          <w:strike/>
          <w:vanish/>
          <w:sz w:val="22"/>
          <w:szCs w:val="22"/>
          <w:shd w:val="clear" w:color="auto" w:fill="FFFF99"/>
          <w:rtl/>
        </w:rPr>
        <w:t>(הוראת שעה ותיקון חקיקה)</w:t>
      </w:r>
      <w:r w:rsidRPr="00112A59">
        <w:rPr>
          <w:rStyle w:val="default"/>
          <w:rFonts w:cs="FrankRuehl" w:hint="cs"/>
          <w:vanish/>
          <w:sz w:val="22"/>
          <w:szCs w:val="22"/>
          <w:shd w:val="clear" w:color="auto" w:fill="FFFF99"/>
          <w:rtl/>
        </w:rPr>
        <w:t>, תש"ע-2010</w:t>
      </w:r>
      <w:bookmarkEnd w:id="1"/>
    </w:p>
    <w:p w14:paraId="3A24819E" w14:textId="77777777" w:rsidR="006411A2" w:rsidRPr="006411A2" w:rsidRDefault="006411A2" w:rsidP="00564525">
      <w:pPr>
        <w:pStyle w:val="medium2-header"/>
        <w:keepLines w:val="0"/>
        <w:spacing w:before="120"/>
        <w:ind w:left="0" w:right="1134"/>
        <w:outlineLvl w:val="0"/>
        <w:rPr>
          <w:rFonts w:cs="FrankRuehl" w:hint="cs"/>
          <w:noProof/>
          <w:rtl/>
        </w:rPr>
      </w:pPr>
      <w:bookmarkStart w:id="2" w:name="med0"/>
      <w:bookmarkEnd w:id="2"/>
      <w:r w:rsidRPr="006411A2">
        <w:rPr>
          <w:rFonts w:cs="FrankRuehl" w:hint="cs"/>
          <w:noProof/>
          <w:rtl/>
        </w:rPr>
        <w:t xml:space="preserve">פרק א': </w:t>
      </w:r>
      <w:r w:rsidR="00564525">
        <w:rPr>
          <w:rFonts w:cs="FrankRuehl" w:hint="cs"/>
          <w:noProof/>
          <w:rtl/>
        </w:rPr>
        <w:t>סמכות תפיסה והשמדה</w:t>
      </w:r>
    </w:p>
    <w:p w14:paraId="258D6656" w14:textId="77777777" w:rsidR="00D078B6" w:rsidRDefault="00D078B6" w:rsidP="006411A2">
      <w:pPr>
        <w:pStyle w:val="P00"/>
        <w:spacing w:before="72"/>
        <w:ind w:left="0" w:right="1134"/>
        <w:rPr>
          <w:rStyle w:val="default"/>
          <w:rFonts w:cs="FrankRuehl" w:hint="cs"/>
          <w:rtl/>
        </w:rPr>
      </w:pPr>
      <w:bookmarkStart w:id="3" w:name="Seif1"/>
      <w:bookmarkEnd w:id="3"/>
      <w:r>
        <w:rPr>
          <w:rFonts w:cs="Miriam"/>
          <w:lang w:val="he-IL"/>
        </w:rPr>
        <w:pict w14:anchorId="24E4F056">
          <v:rect id="_x0000_s2050" style="position:absolute;left:0;text-align:left;margin-left:464.35pt;margin-top:7.1pt;width:75.05pt;height:15.95pt;z-index:251652096" o:allowincell="f" filled="f" stroked="f" strokecolor="lime" strokeweight=".25pt">
            <v:textbox style="mso-next-textbox:#_x0000_s2050" inset="0,0,0,0">
              <w:txbxContent>
                <w:p w14:paraId="5DB0DDEB" w14:textId="77777777" w:rsidR="007A5885" w:rsidRDefault="007A5885"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6411A2">
        <w:rPr>
          <w:rStyle w:val="default"/>
          <w:rFonts w:cs="FrankRuehl" w:hint="cs"/>
          <w:rtl/>
        </w:rPr>
        <w:t xml:space="preserve">בחוק זה </w:t>
      </w:r>
      <w:r w:rsidR="006411A2">
        <w:rPr>
          <w:rStyle w:val="default"/>
          <w:rFonts w:cs="FrankRuehl"/>
          <w:rtl/>
        </w:rPr>
        <w:t>–</w:t>
      </w:r>
    </w:p>
    <w:p w14:paraId="3C9BC636" w14:textId="77777777" w:rsidR="00FA49BF" w:rsidRDefault="00FA49BF" w:rsidP="006411A2">
      <w:pPr>
        <w:pStyle w:val="P00"/>
        <w:spacing w:before="72"/>
        <w:ind w:left="0" w:right="1134"/>
        <w:rPr>
          <w:rStyle w:val="default"/>
          <w:rFonts w:cs="FrankRuehl" w:hint="cs"/>
          <w:rtl/>
        </w:rPr>
      </w:pPr>
      <w:r>
        <w:rPr>
          <w:rStyle w:val="default"/>
          <w:rFonts w:cs="FrankRuehl" w:hint="cs"/>
          <w:rtl/>
        </w:rPr>
        <w:tab/>
        <w:t xml:space="preserve">"החזקה" </w:t>
      </w:r>
      <w:r>
        <w:rPr>
          <w:rStyle w:val="default"/>
          <w:rFonts w:cs="FrankRuehl"/>
          <w:rtl/>
        </w:rPr>
        <w:t>–</w:t>
      </w:r>
      <w:r>
        <w:rPr>
          <w:rStyle w:val="default"/>
          <w:rFonts w:cs="FrankRuehl" w:hint="cs"/>
          <w:rtl/>
        </w:rPr>
        <w:t xml:space="preserve"> כהגדרתה בסעיף 34כד לחוק העונשין;</w:t>
      </w:r>
    </w:p>
    <w:p w14:paraId="3F0FDEB5" w14:textId="77777777" w:rsidR="00FA49BF" w:rsidRDefault="00FA49BF" w:rsidP="006411A2">
      <w:pPr>
        <w:pStyle w:val="P00"/>
        <w:spacing w:before="72"/>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14:paraId="5EDF9E78" w14:textId="77777777" w:rsidR="00FA49BF" w:rsidRDefault="00FA49BF" w:rsidP="006411A2">
      <w:pPr>
        <w:pStyle w:val="P00"/>
        <w:spacing w:before="72"/>
        <w:ind w:left="0" w:right="1134"/>
        <w:rPr>
          <w:rStyle w:val="default"/>
          <w:rFonts w:cs="FrankRuehl" w:hint="cs"/>
          <w:rtl/>
        </w:rPr>
      </w:pPr>
      <w:r>
        <w:rPr>
          <w:rStyle w:val="default"/>
          <w:rFonts w:cs="FrankRuehl" w:hint="cs"/>
          <w:rtl/>
        </w:rPr>
        <w:tab/>
        <w:t xml:space="preserve">"כלי קיבול סגור" </w:t>
      </w:r>
      <w:r>
        <w:rPr>
          <w:rStyle w:val="default"/>
          <w:rFonts w:cs="FrankRuehl"/>
          <w:rtl/>
        </w:rPr>
        <w:t>–</w:t>
      </w:r>
      <w:r>
        <w:rPr>
          <w:rStyle w:val="default"/>
          <w:rFonts w:cs="FrankRuehl" w:hint="cs"/>
          <w:rtl/>
        </w:rPr>
        <w:t xml:space="preserve"> כלי קיבול המכיל משקה משכר, שלא נפתח כלל מאז ייצורו;</w:t>
      </w:r>
    </w:p>
    <w:p w14:paraId="43CF3DD5" w14:textId="77777777" w:rsidR="00FA49BF" w:rsidRDefault="00FA49BF" w:rsidP="006411A2">
      <w:pPr>
        <w:pStyle w:val="P00"/>
        <w:spacing w:before="72"/>
        <w:ind w:left="0" w:right="1134"/>
        <w:rPr>
          <w:rStyle w:val="default"/>
          <w:rFonts w:cs="FrankRuehl" w:hint="cs"/>
          <w:rtl/>
        </w:rPr>
      </w:pPr>
      <w:r>
        <w:rPr>
          <w:rStyle w:val="default"/>
          <w:rFonts w:cs="FrankRuehl" w:hint="cs"/>
          <w:rtl/>
        </w:rPr>
        <w:tab/>
        <w:t xml:space="preserve">"מקום ציבורי" </w:t>
      </w:r>
      <w:r>
        <w:rPr>
          <w:rStyle w:val="default"/>
          <w:rFonts w:cs="FrankRuehl"/>
          <w:rtl/>
        </w:rPr>
        <w:t>–</w:t>
      </w:r>
      <w:r>
        <w:rPr>
          <w:rStyle w:val="default"/>
          <w:rFonts w:cs="FrankRuehl" w:hint="cs"/>
          <w:rtl/>
        </w:rPr>
        <w:t xml:space="preserve"> כהגדרתו בסעיף 34כד לחוק העונשין, למעט המקומות המפורטים בתוספת;</w:t>
      </w:r>
    </w:p>
    <w:p w14:paraId="0083DEDD" w14:textId="77777777" w:rsidR="00FA49BF" w:rsidRDefault="00FA49BF" w:rsidP="006411A2">
      <w:pPr>
        <w:pStyle w:val="P00"/>
        <w:spacing w:before="72"/>
        <w:ind w:left="0" w:right="1134"/>
        <w:rPr>
          <w:rStyle w:val="default"/>
          <w:rFonts w:cs="FrankRuehl" w:hint="cs"/>
          <w:rtl/>
        </w:rPr>
      </w:pPr>
      <w:r>
        <w:rPr>
          <w:rStyle w:val="default"/>
          <w:rFonts w:cs="FrankRuehl" w:hint="cs"/>
          <w:rtl/>
        </w:rPr>
        <w:tab/>
        <w:t xml:space="preserve">"משקה משכר" </w:t>
      </w:r>
      <w:r>
        <w:rPr>
          <w:rStyle w:val="default"/>
          <w:rFonts w:cs="FrankRuehl"/>
          <w:rtl/>
        </w:rPr>
        <w:t>–</w:t>
      </w:r>
      <w:r>
        <w:rPr>
          <w:rStyle w:val="default"/>
          <w:rFonts w:cs="FrankRuehl" w:hint="cs"/>
          <w:rtl/>
        </w:rPr>
        <w:t xml:space="preserve"> כהגדרתו בסעיף 2(ב) לחוק רישוי עסקים, התשכ"ח-1968, לרבות משקה שעל פי ריחו, הכלי המשמש לקיבולו או נסיבות העניין, ניתן להניח כי הוא משקה משכר;</w:t>
      </w:r>
    </w:p>
    <w:p w14:paraId="5E096687" w14:textId="77777777" w:rsidR="00FA49BF" w:rsidRDefault="00FA49BF" w:rsidP="006411A2">
      <w:pPr>
        <w:pStyle w:val="P00"/>
        <w:spacing w:before="72"/>
        <w:ind w:left="0" w:right="1134"/>
        <w:rPr>
          <w:rStyle w:val="default"/>
          <w:rFonts w:cs="FrankRuehl" w:hint="cs"/>
          <w:rtl/>
        </w:rPr>
      </w:pPr>
      <w:r>
        <w:rPr>
          <w:rStyle w:val="default"/>
          <w:rFonts w:cs="FrankRuehl" w:hint="cs"/>
          <w:rtl/>
        </w:rPr>
        <w:tab/>
        <w:t xml:space="preserve">"רכב" </w:t>
      </w:r>
      <w:r>
        <w:rPr>
          <w:rStyle w:val="default"/>
          <w:rFonts w:cs="FrankRuehl"/>
          <w:rtl/>
        </w:rPr>
        <w:t>–</w:t>
      </w:r>
      <w:r>
        <w:rPr>
          <w:rStyle w:val="default"/>
          <w:rFonts w:cs="FrankRuehl" w:hint="cs"/>
          <w:rtl/>
        </w:rPr>
        <w:t xml:space="preserve"> כהגדרתו בפקודת התעבורה.</w:t>
      </w:r>
    </w:p>
    <w:p w14:paraId="29AF2342" w14:textId="77777777" w:rsidR="00C14731" w:rsidRDefault="00C14731" w:rsidP="00FA49BF">
      <w:pPr>
        <w:pStyle w:val="P00"/>
        <w:spacing w:before="72"/>
        <w:ind w:left="0" w:right="1134"/>
        <w:rPr>
          <w:rStyle w:val="default"/>
          <w:rFonts w:cs="FrankRuehl" w:hint="cs"/>
          <w:rtl/>
        </w:rPr>
      </w:pPr>
      <w:bookmarkStart w:id="4" w:name="Seif2"/>
      <w:bookmarkEnd w:id="4"/>
      <w:r>
        <w:rPr>
          <w:rFonts w:cs="Miriam"/>
          <w:lang w:val="he-IL"/>
        </w:rPr>
        <w:pict w14:anchorId="7DE4EA9B">
          <v:rect id="_x0000_s2244" style="position:absolute;left:0;text-align:left;margin-left:464.35pt;margin-top:7.1pt;width:75.05pt;height:29.55pt;z-index:251653120" o:allowincell="f" filled="f" stroked="f" strokecolor="lime" strokeweight=".25pt">
            <v:textbox style="mso-next-textbox:#_x0000_s2244" inset="0,0,0,0">
              <w:txbxContent>
                <w:p w14:paraId="23C71EEA" w14:textId="77777777" w:rsidR="007A5885" w:rsidRDefault="00FA49BF" w:rsidP="00C14731">
                  <w:pPr>
                    <w:spacing w:line="160" w:lineRule="exact"/>
                    <w:rPr>
                      <w:rFonts w:cs="Miriam" w:hint="cs"/>
                      <w:noProof/>
                      <w:sz w:val="18"/>
                      <w:szCs w:val="18"/>
                      <w:rtl/>
                    </w:rPr>
                  </w:pPr>
                  <w:r>
                    <w:rPr>
                      <w:rFonts w:cs="Miriam" w:hint="cs"/>
                      <w:sz w:val="18"/>
                      <w:szCs w:val="18"/>
                      <w:rtl/>
                    </w:rPr>
                    <w:t>סמכות תפיסה והשמדה של משקה משכר וכלי קיבולו</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B3E87">
        <w:rPr>
          <w:rStyle w:val="default"/>
          <w:rFonts w:cs="FrankRuehl" w:hint="cs"/>
          <w:rtl/>
        </w:rPr>
        <w:t>(א)</w:t>
      </w:r>
      <w:r w:rsidR="007B3E87">
        <w:rPr>
          <w:rStyle w:val="default"/>
          <w:rFonts w:cs="FrankRuehl" w:hint="cs"/>
          <w:rtl/>
        </w:rPr>
        <w:tab/>
      </w:r>
      <w:r w:rsidR="00FA49BF">
        <w:rPr>
          <w:rStyle w:val="default"/>
          <w:rFonts w:cs="FrankRuehl" w:hint="cs"/>
          <w:rtl/>
        </w:rPr>
        <w:t xml:space="preserve">היה לשוטר יסוד סביר להניח כי אדם שותה משקה משכר או כי אדם המחזיק משקה משכר מתכוון לשתותו, במקום ציבורי או ברכב הנמצא במקום ציבורי, וכי שתיית המשקה המשכר עלולה להביא להפרת הסדר הציבורי או לפגיעה בשלום הציבור או ביטחונו, רשאי הוא לתפוס או להשמיד את המשקה המשכר או את כלי קיבולו; לעניין סעיף זה, "השמדה" </w:t>
      </w:r>
      <w:r w:rsidR="00FA49BF">
        <w:rPr>
          <w:rStyle w:val="default"/>
          <w:rFonts w:cs="FrankRuehl"/>
          <w:rtl/>
        </w:rPr>
        <w:t>–</w:t>
      </w:r>
      <w:r w:rsidR="00FA49BF">
        <w:rPr>
          <w:rStyle w:val="default"/>
          <w:rFonts w:cs="FrankRuehl" w:hint="cs"/>
          <w:rtl/>
        </w:rPr>
        <w:t xml:space="preserve"> לרבות שפיכה מיידית של המשקה המשכר והשלכת כלי קיבולו לפח אשפה.</w:t>
      </w:r>
    </w:p>
    <w:p w14:paraId="3EE87497" w14:textId="77777777" w:rsidR="00FA49BF" w:rsidRDefault="00FA49BF" w:rsidP="00FA49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היה לשוטר יסוד סביר להניח כי קטין שותה משקה משכר או כי קטין המחזיק משקה משכר מתכוון לשתותו, במקום ציבורי או ברכב הנמצא במקום ציבורי, שלא בנוכחות האחראי על הקטין ובהסכמתו או שלא בחוג משפחתו, רשאי הוא לתפוס או להשמיד את המשקה המשכר או את כלי קיבולו; בסעיף קטן זה, "אחראי על קטין" </w:t>
      </w:r>
      <w:r>
        <w:rPr>
          <w:rStyle w:val="default"/>
          <w:rFonts w:cs="FrankRuehl"/>
          <w:rtl/>
        </w:rPr>
        <w:t>–</w:t>
      </w:r>
      <w:r>
        <w:rPr>
          <w:rStyle w:val="default"/>
          <w:rFonts w:cs="FrankRuehl" w:hint="cs"/>
          <w:rtl/>
        </w:rPr>
        <w:t xml:space="preserve"> הורה, הורה חורג, אפוטרופוס או מי שהקטין נתון במשמורתו או בהשגחתו לפי דין.</w:t>
      </w:r>
    </w:p>
    <w:p w14:paraId="76CDA7FC" w14:textId="77777777" w:rsidR="00FA49BF" w:rsidRDefault="00FA49BF" w:rsidP="00FA49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לעניין אופן הטיפול במשקה ובכלי הקיבול לצורך תפיסתם או השמדתם ייקבעו בפקודות משטרת ישראל, בתוך שנה מיום תחילתו של חוק זה; עד לקביעת הוראות כאמור רשאי המפקח הכללי של משטרת ישראל לקבוע הוראות כאמור בנוהלי משטרת ישראל, ובלבד שיפורסמו באתר האינטרנט של המשרה.</w:t>
      </w:r>
    </w:p>
    <w:p w14:paraId="4AB2544D" w14:textId="77777777" w:rsidR="003033D8" w:rsidRDefault="00C14731" w:rsidP="00FA49BF">
      <w:pPr>
        <w:pStyle w:val="P00"/>
        <w:spacing w:before="72"/>
        <w:ind w:left="0" w:right="1134"/>
        <w:rPr>
          <w:rStyle w:val="default"/>
          <w:rFonts w:cs="FrankRuehl" w:hint="cs"/>
          <w:rtl/>
        </w:rPr>
      </w:pPr>
      <w:bookmarkStart w:id="5" w:name="Seif3"/>
      <w:bookmarkEnd w:id="5"/>
      <w:r>
        <w:rPr>
          <w:rFonts w:cs="Miriam"/>
          <w:lang w:val="he-IL"/>
        </w:rPr>
        <w:pict w14:anchorId="52093491">
          <v:rect id="_x0000_s2245" style="position:absolute;left:0;text-align:left;margin-left:464.35pt;margin-top:7.1pt;width:75.05pt;height:12.3pt;z-index:251654144" o:allowincell="f" filled="f" stroked="f" strokecolor="lime" strokeweight=".25pt">
            <v:textbox style="mso-next-textbox:#_x0000_s2245" inset="0,0,0,0">
              <w:txbxContent>
                <w:p w14:paraId="0D0868FB" w14:textId="77777777" w:rsidR="007A5885" w:rsidRDefault="00FA49BF" w:rsidP="00C14731">
                  <w:pPr>
                    <w:spacing w:line="160" w:lineRule="exact"/>
                    <w:rPr>
                      <w:rFonts w:cs="Miriam" w:hint="cs"/>
                      <w:noProof/>
                      <w:sz w:val="18"/>
                      <w:szCs w:val="18"/>
                      <w:rtl/>
                    </w:rPr>
                  </w:pPr>
                  <w:r>
                    <w:rPr>
                      <w:rFonts w:cs="Miriam" w:hint="cs"/>
                      <w:sz w:val="18"/>
                      <w:szCs w:val="18"/>
                      <w:rtl/>
                    </w:rPr>
                    <w:t>חזקה</w:t>
                  </w:r>
                </w:p>
              </w:txbxContent>
            </v:textbox>
            <w10:anchorlock/>
          </v:rect>
        </w:pict>
      </w:r>
      <w:r w:rsidR="00E516EE">
        <w:rPr>
          <w:rStyle w:val="big-number"/>
          <w:rFonts w:cs="Miriam" w:hint="cs"/>
          <w:rtl/>
        </w:rPr>
        <w:t>3</w:t>
      </w:r>
      <w:r>
        <w:rPr>
          <w:rStyle w:val="big-number"/>
          <w:rFonts w:cs="FrankRuehl"/>
          <w:sz w:val="26"/>
          <w:szCs w:val="26"/>
          <w:rtl/>
        </w:rPr>
        <w:t>.</w:t>
      </w:r>
      <w:r>
        <w:rPr>
          <w:rStyle w:val="big-number"/>
          <w:rFonts w:cs="FrankRuehl"/>
          <w:sz w:val="26"/>
          <w:szCs w:val="26"/>
          <w:rtl/>
        </w:rPr>
        <w:tab/>
      </w:r>
      <w:r w:rsidR="00FA49BF">
        <w:rPr>
          <w:rStyle w:val="default"/>
          <w:rFonts w:cs="FrankRuehl" w:hint="cs"/>
          <w:rtl/>
        </w:rPr>
        <w:t>לעניין סעיף 2, אדם המחזיק משקה משכר בכלי קיבול שאינו כלי קיבול סגור, במקום ציבורי או ברכב הנמצא במקום ציבורי, בין השעות 21:00 ל-06:00, חזקה כי בכוונתו לשתות את המשקה המשכר וכי שתייתו עלולה להביא להפרת הסדר הציבורי או לפגיעה בשלום הציבור או ביטחונו, אלא אם כן הוכח אחרת להנחת דעתו של השוטר.</w:t>
      </w:r>
    </w:p>
    <w:p w14:paraId="3658DB3A" w14:textId="77777777" w:rsidR="00FA49BF" w:rsidRPr="004515D8" w:rsidRDefault="00FA49BF" w:rsidP="004515D8">
      <w:pPr>
        <w:pStyle w:val="medium2-header"/>
        <w:keepLines w:val="0"/>
        <w:spacing w:before="120"/>
        <w:ind w:left="0" w:right="1134"/>
        <w:outlineLvl w:val="0"/>
        <w:rPr>
          <w:rFonts w:cs="FrankRuehl" w:hint="cs"/>
          <w:noProof/>
          <w:rtl/>
        </w:rPr>
      </w:pPr>
      <w:bookmarkStart w:id="6" w:name="med1"/>
      <w:bookmarkEnd w:id="6"/>
      <w:r w:rsidRPr="004515D8">
        <w:rPr>
          <w:rFonts w:cs="FrankRuehl" w:hint="cs"/>
          <w:noProof/>
          <w:rtl/>
        </w:rPr>
        <w:t>פרק ב': תיקון עקיף</w:t>
      </w:r>
    </w:p>
    <w:p w14:paraId="09DEFDF7" w14:textId="77777777" w:rsidR="00C14731" w:rsidRDefault="00C14731" w:rsidP="004515D8">
      <w:pPr>
        <w:pStyle w:val="P00"/>
        <w:spacing w:before="72"/>
        <w:ind w:left="0" w:right="1134"/>
        <w:rPr>
          <w:rStyle w:val="default"/>
          <w:rFonts w:cs="FrankRuehl" w:hint="cs"/>
          <w:rtl/>
        </w:rPr>
      </w:pPr>
      <w:r>
        <w:rPr>
          <w:rFonts w:cs="Miriam"/>
          <w:lang w:val="he-IL"/>
        </w:rPr>
        <w:pict w14:anchorId="46328D0C">
          <v:rect id="_x0000_s2246" style="position:absolute;left:0;text-align:left;margin-left:464.35pt;margin-top:7.1pt;width:75.05pt;height:17.4pt;z-index:251655168" o:allowincell="f" filled="f" stroked="f" strokecolor="lime" strokeweight=".25pt">
            <v:textbox style="mso-next-textbox:#_x0000_s2246" inset="0,0,0,0">
              <w:txbxContent>
                <w:p w14:paraId="7DD9CF9D" w14:textId="77777777" w:rsidR="007A5885" w:rsidRDefault="004515D8" w:rsidP="00C14731">
                  <w:pPr>
                    <w:spacing w:line="160" w:lineRule="exact"/>
                    <w:rPr>
                      <w:rFonts w:cs="Miriam" w:hint="cs"/>
                      <w:noProof/>
                      <w:sz w:val="18"/>
                      <w:szCs w:val="18"/>
                      <w:rtl/>
                    </w:rPr>
                  </w:pPr>
                  <w:r>
                    <w:rPr>
                      <w:rFonts w:cs="Miriam" w:hint="cs"/>
                      <w:sz w:val="18"/>
                      <w:szCs w:val="18"/>
                      <w:rtl/>
                    </w:rPr>
                    <w:t xml:space="preserve">תיקון חוק העונשין </w:t>
                  </w:r>
                  <w:r>
                    <w:rPr>
                      <w:rFonts w:cs="Miriam"/>
                      <w:sz w:val="18"/>
                      <w:szCs w:val="18"/>
                      <w:rtl/>
                    </w:rPr>
                    <w:t>–</w:t>
                  </w:r>
                  <w:r>
                    <w:rPr>
                      <w:rFonts w:cs="Miriam" w:hint="cs"/>
                      <w:sz w:val="18"/>
                      <w:szCs w:val="18"/>
                      <w:rtl/>
                    </w:rPr>
                    <w:t xml:space="preserve"> מס' 107</w:t>
                  </w:r>
                </w:p>
              </w:txbxContent>
            </v:textbox>
            <w10:anchorlock/>
          </v:rect>
        </w:pict>
      </w:r>
      <w:r w:rsidR="000B4D7F">
        <w:rPr>
          <w:rStyle w:val="big-number"/>
          <w:rFonts w:cs="Miriam" w:hint="cs"/>
          <w:rtl/>
        </w:rPr>
        <w:t>4</w:t>
      </w:r>
      <w:r>
        <w:rPr>
          <w:rStyle w:val="big-number"/>
          <w:rFonts w:cs="FrankRuehl"/>
          <w:sz w:val="26"/>
          <w:szCs w:val="26"/>
          <w:rtl/>
        </w:rPr>
        <w:t>.</w:t>
      </w:r>
      <w:r>
        <w:rPr>
          <w:rStyle w:val="big-number"/>
          <w:rFonts w:cs="FrankRuehl"/>
          <w:sz w:val="26"/>
          <w:szCs w:val="26"/>
          <w:rtl/>
        </w:rPr>
        <w:tab/>
      </w:r>
      <w:r w:rsidR="004515D8">
        <w:rPr>
          <w:rStyle w:val="default"/>
          <w:rFonts w:cs="FrankRuehl" w:hint="cs"/>
          <w:rtl/>
        </w:rPr>
        <w:t xml:space="preserve">בחוק העונשין, התשל"ז-1977, בסעיף 193א </w:t>
      </w:r>
      <w:r w:rsidR="004515D8">
        <w:rPr>
          <w:rStyle w:val="default"/>
          <w:rFonts w:cs="FrankRuehl"/>
          <w:rtl/>
        </w:rPr>
        <w:t>–</w:t>
      </w:r>
    </w:p>
    <w:p w14:paraId="4AC1A18E" w14:textId="77777777" w:rsidR="004515D8" w:rsidRDefault="004515D8" w:rsidP="002F0F6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קטן (א), במקום "אדם שלא מלאו לו שמונה עשרה שנים" יבוא "קטין";</w:t>
      </w:r>
    </w:p>
    <w:p w14:paraId="015FA09A" w14:textId="77777777" w:rsidR="004515D8" w:rsidRDefault="004515D8" w:rsidP="002F0F63">
      <w:pPr>
        <w:pStyle w:val="P00"/>
        <w:spacing w:before="72"/>
        <w:ind w:left="624" w:right="1134"/>
        <w:rPr>
          <w:rStyle w:val="default"/>
          <w:rFonts w:cs="FrankRuehl" w:hint="cs"/>
          <w:rtl/>
        </w:rPr>
      </w:pPr>
      <w:r>
        <w:rPr>
          <w:rStyle w:val="default"/>
          <w:rFonts w:cs="FrankRuehl" w:hint="cs"/>
          <w:rtl/>
        </w:rPr>
        <w:lastRenderedPageBreak/>
        <w:t>(2)</w:t>
      </w:r>
      <w:r>
        <w:rPr>
          <w:rStyle w:val="default"/>
          <w:rFonts w:cs="FrankRuehl" w:hint="cs"/>
          <w:rtl/>
        </w:rPr>
        <w:tab/>
        <w:t>בסעיף קטן (א1), במקום "לאדם שלא מלאו לו שמונה עשרה שנים" יבוא "לקטין";</w:t>
      </w:r>
    </w:p>
    <w:p w14:paraId="4CA0E985" w14:textId="77777777" w:rsidR="004515D8" w:rsidRDefault="004515D8" w:rsidP="002F0F6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אחרי סעיף קטן (א1) יבוא:</w:t>
      </w:r>
    </w:p>
    <w:p w14:paraId="542B6849" w14:textId="77777777" w:rsidR="004515D8" w:rsidRDefault="004515D8" w:rsidP="002F0F63">
      <w:pPr>
        <w:pStyle w:val="P00"/>
        <w:spacing w:before="72"/>
        <w:ind w:left="1021" w:right="1134"/>
        <w:rPr>
          <w:rStyle w:val="default"/>
          <w:rFonts w:cs="FrankRuehl" w:hint="cs"/>
          <w:rtl/>
        </w:rPr>
      </w:pPr>
      <w:r>
        <w:rPr>
          <w:rStyle w:val="default"/>
          <w:rFonts w:cs="FrankRuehl" w:hint="cs"/>
          <w:rtl/>
        </w:rPr>
        <w:t>"(א2)</w:t>
      </w:r>
      <w:r w:rsidR="002F0F63">
        <w:rPr>
          <w:rStyle w:val="default"/>
          <w:rFonts w:cs="FrankRuehl" w:hint="cs"/>
          <w:rtl/>
        </w:rPr>
        <w:t xml:space="preserve"> המספק משקה משכר לקטין או הרוכש משקה משכר בעבור קטין, במקום ציבורי, שלא הנוכחות האחראי על הקטין ובהסכמתו או שלא בחוג משפחתו, דינו </w:t>
      </w:r>
      <w:r w:rsidR="002F0F63">
        <w:rPr>
          <w:rStyle w:val="default"/>
          <w:rFonts w:cs="FrankRuehl"/>
          <w:rtl/>
        </w:rPr>
        <w:t>–</w:t>
      </w:r>
      <w:r w:rsidR="002F0F63">
        <w:rPr>
          <w:rStyle w:val="default"/>
          <w:rFonts w:cs="FrankRuehl" w:hint="cs"/>
          <w:rtl/>
        </w:rPr>
        <w:t xml:space="preserve"> מאסר שישה חודשים; בסעיף קטן זה, "אחראי על קטין" </w:t>
      </w:r>
      <w:r w:rsidR="002F0F63">
        <w:rPr>
          <w:rStyle w:val="default"/>
          <w:rFonts w:cs="FrankRuehl"/>
          <w:rtl/>
        </w:rPr>
        <w:t>–</w:t>
      </w:r>
      <w:r w:rsidR="002F0F63">
        <w:rPr>
          <w:rStyle w:val="default"/>
          <w:rFonts w:cs="FrankRuehl" w:hint="cs"/>
          <w:rtl/>
        </w:rPr>
        <w:t xml:space="preserve"> הורה, הורה חורג, אפוטרופוס, או מי שהקטין נתון במשמורתו או בהשגחתו, לפי דין או לפי הסכמה של הורהו, הורהו החורג או אפוטרופסו.";</w:t>
      </w:r>
    </w:p>
    <w:p w14:paraId="204C9D13" w14:textId="77777777" w:rsidR="002F0F63" w:rsidRDefault="002F0F63" w:rsidP="002F0F6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קטן (ב), במקום "לאדם שלא מלאו לו שמונה עשרה שנים" יבוא "לקטין";</w:t>
      </w:r>
    </w:p>
    <w:p w14:paraId="3632B29A" w14:textId="77777777" w:rsidR="002F0F63" w:rsidRDefault="002F0F63" w:rsidP="002F0F6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אחרי סעיף קטן (ג) יבוא:</w:t>
      </w:r>
    </w:p>
    <w:p w14:paraId="51FA8979" w14:textId="77777777" w:rsidR="002F0F63" w:rsidRDefault="002F0F63" w:rsidP="002F0F63">
      <w:pPr>
        <w:pStyle w:val="P00"/>
        <w:spacing w:before="72"/>
        <w:ind w:left="1021" w:right="1134"/>
        <w:rPr>
          <w:rStyle w:val="default"/>
          <w:rFonts w:cs="FrankRuehl" w:hint="cs"/>
          <w:rtl/>
        </w:rPr>
      </w:pPr>
      <w:r>
        <w:rPr>
          <w:rStyle w:val="default"/>
          <w:rFonts w:cs="FrankRuehl" w:hint="cs"/>
          <w:rtl/>
        </w:rPr>
        <w:t>"(ג1)</w:t>
      </w:r>
      <w:r>
        <w:rPr>
          <w:rStyle w:val="default"/>
          <w:rFonts w:cs="FrankRuehl" w:hint="cs"/>
          <w:rtl/>
        </w:rPr>
        <w:tab/>
        <w:t>בעל עסק או מי שעובד בעסק שבו נמכרים משקאות משכרים, אשר מכר, הגיש או סיפק משקה משכר לקטין בניגוד להוראות סעיפים קטנים (א1) עד (ב), חזקה כי היה מודע לכך שמכר, הגיש או סיפק משקה משכר לקטין, אלא אם כן הוכיח, ברמת ההוכחה הנדרשת במשפט אזרחי, שהקטין הציג לו תעודה כאמור בסעיף קטן (ג), ולפיה הוא אינו קטין.".</w:t>
      </w:r>
    </w:p>
    <w:p w14:paraId="1378C465" w14:textId="77777777" w:rsidR="002F0F63" w:rsidRPr="002F0F63" w:rsidRDefault="002F0F63" w:rsidP="002F0F63">
      <w:pPr>
        <w:pStyle w:val="medium2-header"/>
        <w:keepLines w:val="0"/>
        <w:spacing w:before="120"/>
        <w:ind w:left="0" w:right="1134"/>
        <w:outlineLvl w:val="0"/>
        <w:rPr>
          <w:rFonts w:cs="FrankRuehl" w:hint="cs"/>
          <w:noProof/>
          <w:rtl/>
        </w:rPr>
      </w:pPr>
      <w:bookmarkStart w:id="7" w:name="med2"/>
      <w:bookmarkEnd w:id="7"/>
      <w:r w:rsidRPr="002F0F63">
        <w:rPr>
          <w:rFonts w:cs="FrankRuehl" w:hint="cs"/>
          <w:noProof/>
          <w:rtl/>
        </w:rPr>
        <w:t>פרק ג': הוראות שונות</w:t>
      </w:r>
    </w:p>
    <w:p w14:paraId="1B131D93" w14:textId="77777777" w:rsidR="006411A2" w:rsidRDefault="006411A2" w:rsidP="002F0F63">
      <w:pPr>
        <w:pStyle w:val="P00"/>
        <w:spacing w:before="72"/>
        <w:ind w:left="0" w:right="1134"/>
        <w:rPr>
          <w:rStyle w:val="default"/>
          <w:rFonts w:cs="FrankRuehl" w:hint="cs"/>
          <w:rtl/>
        </w:rPr>
      </w:pPr>
      <w:bookmarkStart w:id="8" w:name="Seif4"/>
      <w:bookmarkEnd w:id="8"/>
      <w:r>
        <w:rPr>
          <w:rFonts w:cs="Miriam"/>
          <w:lang w:val="he-IL"/>
        </w:rPr>
        <w:pict w14:anchorId="1C59CE31">
          <v:rect id="_x0000_s2264" style="position:absolute;left:0;text-align:left;margin-left:464.35pt;margin-top:7.1pt;width:75.05pt;height:13.3pt;z-index:251656192" o:allowincell="f" filled="f" stroked="f" strokecolor="lime" strokeweight=".25pt">
            <v:textbox style="mso-next-textbox:#_x0000_s2264" inset="0,0,0,0">
              <w:txbxContent>
                <w:p w14:paraId="712D5410" w14:textId="77777777" w:rsidR="007A5885" w:rsidRDefault="002F0F63" w:rsidP="006411A2">
                  <w:pPr>
                    <w:spacing w:line="160" w:lineRule="exact"/>
                    <w:rPr>
                      <w:rFonts w:cs="Miriam" w:hint="cs"/>
                      <w:noProof/>
                      <w:sz w:val="18"/>
                      <w:szCs w:val="18"/>
                      <w:rtl/>
                    </w:rPr>
                  </w:pPr>
                  <w:r>
                    <w:rPr>
                      <w:rFonts w:cs="Miriam" w:hint="cs"/>
                      <w:sz w:val="18"/>
                      <w:szCs w:val="18"/>
                      <w:rtl/>
                    </w:rPr>
                    <w:t>שמירת דינים</w:t>
                  </w:r>
                </w:p>
              </w:txbxContent>
            </v:textbox>
            <w10:anchorlock/>
          </v:rect>
        </w:pict>
      </w:r>
      <w:r w:rsidR="00EF4FAC">
        <w:rPr>
          <w:rStyle w:val="big-number"/>
          <w:rFonts w:cs="Miriam" w:hint="cs"/>
          <w:rtl/>
        </w:rPr>
        <w:t>5</w:t>
      </w:r>
      <w:r>
        <w:rPr>
          <w:rStyle w:val="big-number"/>
          <w:rFonts w:cs="FrankRuehl"/>
          <w:sz w:val="26"/>
          <w:szCs w:val="26"/>
          <w:rtl/>
        </w:rPr>
        <w:t>.</w:t>
      </w:r>
      <w:r>
        <w:rPr>
          <w:rStyle w:val="big-number"/>
          <w:rFonts w:cs="FrankRuehl"/>
          <w:sz w:val="26"/>
          <w:szCs w:val="26"/>
          <w:rtl/>
        </w:rPr>
        <w:tab/>
      </w:r>
      <w:r w:rsidR="002F0F63">
        <w:rPr>
          <w:rStyle w:val="default"/>
          <w:rFonts w:cs="FrankRuehl" w:hint="cs"/>
          <w:rtl/>
        </w:rPr>
        <w:t>הוראות חוק זה באות להוסיף על הוראות כל דין, אלא אם כן נאמר אחרת בחוק זה.</w:t>
      </w:r>
    </w:p>
    <w:p w14:paraId="476263CC" w14:textId="77777777" w:rsidR="006411A2" w:rsidRDefault="006411A2" w:rsidP="002F0F63">
      <w:pPr>
        <w:pStyle w:val="P00"/>
        <w:spacing w:before="72"/>
        <w:ind w:left="0" w:right="1134"/>
        <w:rPr>
          <w:rStyle w:val="default"/>
          <w:rFonts w:cs="FrankRuehl" w:hint="cs"/>
          <w:rtl/>
        </w:rPr>
      </w:pPr>
      <w:bookmarkStart w:id="9" w:name="Seif5"/>
      <w:bookmarkEnd w:id="9"/>
      <w:r>
        <w:rPr>
          <w:rFonts w:cs="Miriam"/>
          <w:lang w:val="he-IL"/>
        </w:rPr>
        <w:pict w14:anchorId="3C47F68F">
          <v:rect id="_x0000_s2265" style="position:absolute;left:0;text-align:left;margin-left:464.35pt;margin-top:7.1pt;width:75.05pt;height:13.3pt;z-index:251657216" o:allowincell="f" filled="f" stroked="f" strokecolor="lime" strokeweight=".25pt">
            <v:textbox style="mso-next-textbox:#_x0000_s2265" inset="0,0,0,0">
              <w:txbxContent>
                <w:p w14:paraId="342E7DA0" w14:textId="77777777" w:rsidR="007A5885" w:rsidRDefault="002F0F63" w:rsidP="006411A2">
                  <w:pPr>
                    <w:spacing w:line="160" w:lineRule="exact"/>
                    <w:rPr>
                      <w:rFonts w:cs="Miriam" w:hint="cs"/>
                      <w:noProof/>
                      <w:sz w:val="18"/>
                      <w:szCs w:val="18"/>
                      <w:rtl/>
                    </w:rPr>
                  </w:pPr>
                  <w:r>
                    <w:rPr>
                      <w:rFonts w:cs="Miriam" w:hint="cs"/>
                      <w:sz w:val="18"/>
                      <w:szCs w:val="18"/>
                      <w:rtl/>
                    </w:rPr>
                    <w:t>ביצוע ותקנות</w:t>
                  </w:r>
                </w:p>
              </w:txbxContent>
            </v:textbox>
            <w10:anchorlock/>
          </v:rect>
        </w:pict>
      </w:r>
      <w:r w:rsidR="003C0065">
        <w:rPr>
          <w:rStyle w:val="big-number"/>
          <w:rFonts w:cs="Miriam" w:hint="cs"/>
          <w:rtl/>
        </w:rPr>
        <w:t>6</w:t>
      </w:r>
      <w:r>
        <w:rPr>
          <w:rStyle w:val="big-number"/>
          <w:rFonts w:cs="FrankRuehl"/>
          <w:sz w:val="26"/>
          <w:szCs w:val="26"/>
          <w:rtl/>
        </w:rPr>
        <w:t>.</w:t>
      </w:r>
      <w:r>
        <w:rPr>
          <w:rStyle w:val="big-number"/>
          <w:rFonts w:cs="FrankRuehl"/>
          <w:sz w:val="26"/>
          <w:szCs w:val="26"/>
          <w:rtl/>
        </w:rPr>
        <w:tab/>
      </w:r>
      <w:r w:rsidR="002F0F63">
        <w:rPr>
          <w:rStyle w:val="default"/>
          <w:rFonts w:cs="FrankRuehl" w:hint="cs"/>
          <w:rtl/>
        </w:rPr>
        <w:t>השר לביטחון הפנים ממונה על ביצוע הוראות חוק זה והוא רשאי, בהסכמת שר המשפטים, להתקין תקנות לביצועו</w:t>
      </w:r>
      <w:r w:rsidR="003C0065">
        <w:rPr>
          <w:rStyle w:val="default"/>
          <w:rFonts w:cs="FrankRuehl" w:hint="cs"/>
          <w:rtl/>
        </w:rPr>
        <w:t>.</w:t>
      </w:r>
    </w:p>
    <w:p w14:paraId="249B6952" w14:textId="77777777" w:rsidR="006A5600" w:rsidRDefault="006A5600" w:rsidP="006A5600">
      <w:pPr>
        <w:pStyle w:val="P00"/>
        <w:spacing w:before="72"/>
        <w:ind w:left="0" w:right="1134"/>
        <w:rPr>
          <w:rStyle w:val="default"/>
          <w:rFonts w:cs="FrankRuehl"/>
          <w:rtl/>
        </w:rPr>
      </w:pPr>
      <w:bookmarkStart w:id="10" w:name="Seif8"/>
      <w:bookmarkEnd w:id="10"/>
      <w:r>
        <w:rPr>
          <w:rFonts w:cs="Miriam"/>
          <w:lang w:val="he-IL"/>
        </w:rPr>
        <w:pict w14:anchorId="2FCA8DBD">
          <v:rect id="_x0000_s2360" style="position:absolute;left:0;text-align:left;margin-left:464.35pt;margin-top:7.1pt;width:75.05pt;height:42.55pt;z-index:251661312" o:allowincell="f" filled="f" stroked="f" strokecolor="lime" strokeweight=".25pt">
            <v:textbox style="mso-next-textbox:#_x0000_s2360" inset="0,0,0,0">
              <w:txbxContent>
                <w:p w14:paraId="78805182" w14:textId="77777777" w:rsidR="006A5600" w:rsidRDefault="006A5600" w:rsidP="006A5600">
                  <w:pPr>
                    <w:spacing w:line="160" w:lineRule="exact"/>
                    <w:rPr>
                      <w:rFonts w:cs="Miriam" w:hint="cs"/>
                      <w:sz w:val="18"/>
                      <w:szCs w:val="18"/>
                      <w:rtl/>
                    </w:rPr>
                  </w:pPr>
                  <w:r>
                    <w:rPr>
                      <w:rFonts w:cs="Miriam" w:hint="cs"/>
                      <w:sz w:val="18"/>
                      <w:szCs w:val="18"/>
                      <w:rtl/>
                    </w:rPr>
                    <w:t>שינוי התוספת</w:t>
                  </w:r>
                </w:p>
                <w:p w14:paraId="6DC3E6A1" w14:textId="77777777" w:rsidR="006A5600" w:rsidRDefault="006A5600" w:rsidP="006A5600">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תשע"ג-2013</w:t>
                  </w:r>
                </w:p>
                <w:p w14:paraId="0F7398D1" w14:textId="77777777" w:rsidR="007449D4" w:rsidRDefault="007449D4" w:rsidP="006A5600">
                  <w:pPr>
                    <w:spacing w:line="160" w:lineRule="exact"/>
                    <w:rPr>
                      <w:rFonts w:cs="Miriam" w:hint="cs"/>
                      <w:noProof/>
                      <w:sz w:val="18"/>
                      <w:szCs w:val="18"/>
                      <w:rtl/>
                    </w:rPr>
                  </w:pPr>
                  <w:r>
                    <w:rPr>
                      <w:rFonts w:cs="Miriam" w:hint="cs"/>
                      <w:noProof/>
                      <w:sz w:val="18"/>
                      <w:szCs w:val="18"/>
                      <w:rtl/>
                    </w:rPr>
                    <w:t xml:space="preserve">(תיקון מס' </w:t>
                  </w:r>
                  <w:r w:rsidR="00B97E96">
                    <w:rPr>
                      <w:rFonts w:cs="Miriam" w:hint="cs"/>
                      <w:noProof/>
                      <w:sz w:val="18"/>
                      <w:szCs w:val="18"/>
                      <w:rtl/>
                    </w:rPr>
                    <w:t xml:space="preserve">3) </w:t>
                  </w:r>
                  <w:r w:rsidR="00B97E96">
                    <w:rPr>
                      <w:rFonts w:cs="Miriam"/>
                      <w:noProof/>
                      <w:sz w:val="18"/>
                      <w:szCs w:val="18"/>
                      <w:rtl/>
                    </w:rPr>
                    <w:br/>
                  </w:r>
                  <w:r w:rsidR="00B97E96">
                    <w:rPr>
                      <w:rFonts w:cs="Miriam" w:hint="cs"/>
                      <w:noProof/>
                      <w:sz w:val="18"/>
                      <w:szCs w:val="18"/>
                      <w:rtl/>
                    </w:rPr>
                    <w:t>תשפ"ג-2023</w:t>
                  </w:r>
                </w:p>
              </w:txbxContent>
            </v:textbox>
            <w10:anchorlock/>
          </v:rect>
        </w:pict>
      </w:r>
      <w:r>
        <w:rPr>
          <w:rStyle w:val="big-number"/>
          <w:rFonts w:cs="Miriam" w:hint="cs"/>
          <w:rtl/>
        </w:rPr>
        <w:t>6</w:t>
      </w:r>
      <w:r>
        <w:rPr>
          <w:rStyle w:val="default"/>
          <w:rFonts w:cs="FrankRuehl" w:hint="cs"/>
          <w:rtl/>
        </w:rPr>
        <w:t>א</w:t>
      </w:r>
      <w:r w:rsidRPr="006A5600">
        <w:rPr>
          <w:rStyle w:val="default"/>
          <w:rFonts w:cs="FrankRuehl"/>
          <w:rtl/>
        </w:rPr>
        <w:t>.</w:t>
      </w:r>
      <w:r w:rsidRPr="006A5600">
        <w:rPr>
          <w:rStyle w:val="default"/>
          <w:rFonts w:cs="FrankRuehl"/>
          <w:rtl/>
        </w:rPr>
        <w:tab/>
      </w:r>
      <w:r>
        <w:rPr>
          <w:rStyle w:val="default"/>
          <w:rFonts w:cs="FrankRuehl" w:hint="cs"/>
          <w:rtl/>
        </w:rPr>
        <w:t xml:space="preserve">השר לביטחון הפנים, באישור </w:t>
      </w:r>
      <w:r w:rsidR="00B97E96">
        <w:rPr>
          <w:rStyle w:val="default"/>
          <w:rFonts w:cs="FrankRuehl" w:hint="cs"/>
          <w:rtl/>
        </w:rPr>
        <w:t>הוועדה לביטחון לאומי</w:t>
      </w:r>
      <w:r w:rsidR="00236A33" w:rsidRPr="00236A33">
        <w:rPr>
          <w:rStyle w:val="default"/>
          <w:rFonts w:cs="FrankRuehl" w:hint="cs"/>
          <w:rtl/>
        </w:rPr>
        <w:t xml:space="preserve"> </w:t>
      </w:r>
      <w:r>
        <w:rPr>
          <w:rStyle w:val="default"/>
          <w:rFonts w:cs="FrankRuehl" w:hint="cs"/>
          <w:rtl/>
        </w:rPr>
        <w:t>של הכנסת, רשאי, בצו, לשנות את התוספת.</w:t>
      </w:r>
    </w:p>
    <w:p w14:paraId="79242AF4" w14:textId="77777777" w:rsidR="007449D4" w:rsidRPr="00112A59" w:rsidRDefault="007449D4" w:rsidP="007449D4">
      <w:pPr>
        <w:pStyle w:val="P00"/>
        <w:spacing w:before="0"/>
        <w:ind w:left="0" w:right="1134"/>
        <w:rPr>
          <w:rStyle w:val="default"/>
          <w:rFonts w:cs="FrankRuehl" w:hint="cs"/>
          <w:vanish/>
          <w:color w:val="FF0000"/>
          <w:sz w:val="20"/>
          <w:szCs w:val="20"/>
          <w:shd w:val="clear" w:color="auto" w:fill="FFFF99"/>
          <w:rtl/>
        </w:rPr>
      </w:pPr>
      <w:bookmarkStart w:id="11" w:name="Rov16"/>
      <w:r w:rsidRPr="00112A59">
        <w:rPr>
          <w:rStyle w:val="default"/>
          <w:rFonts w:cs="FrankRuehl" w:hint="cs"/>
          <w:vanish/>
          <w:color w:val="FF0000"/>
          <w:sz w:val="20"/>
          <w:szCs w:val="20"/>
          <w:shd w:val="clear" w:color="auto" w:fill="FFFF99"/>
          <w:rtl/>
        </w:rPr>
        <w:t>מיום 1.5.2013</w:t>
      </w:r>
    </w:p>
    <w:p w14:paraId="7B90CD5F" w14:textId="77777777" w:rsidR="007449D4" w:rsidRPr="00112A59" w:rsidRDefault="007449D4" w:rsidP="007449D4">
      <w:pPr>
        <w:pStyle w:val="P00"/>
        <w:spacing w:before="0"/>
        <w:ind w:left="0" w:right="1134"/>
        <w:rPr>
          <w:rStyle w:val="default"/>
          <w:rFonts w:cs="FrankRuehl" w:hint="cs"/>
          <w:vanish/>
          <w:sz w:val="20"/>
          <w:szCs w:val="20"/>
          <w:shd w:val="clear" w:color="auto" w:fill="FFFF99"/>
          <w:rtl/>
        </w:rPr>
      </w:pPr>
      <w:r w:rsidRPr="00112A59">
        <w:rPr>
          <w:rStyle w:val="default"/>
          <w:rFonts w:cs="FrankRuehl" w:hint="cs"/>
          <w:b/>
          <w:bCs/>
          <w:vanish/>
          <w:sz w:val="20"/>
          <w:szCs w:val="20"/>
          <w:shd w:val="clear" w:color="auto" w:fill="FFFF99"/>
          <w:rtl/>
        </w:rPr>
        <w:t>תיקון מס' 1</w:t>
      </w:r>
    </w:p>
    <w:p w14:paraId="7D23A3BA" w14:textId="77777777" w:rsidR="007449D4" w:rsidRPr="00112A59" w:rsidRDefault="007449D4" w:rsidP="007449D4">
      <w:pPr>
        <w:pStyle w:val="P00"/>
        <w:spacing w:before="0"/>
        <w:ind w:left="0" w:right="1134"/>
        <w:rPr>
          <w:rStyle w:val="default"/>
          <w:rFonts w:cs="FrankRuehl" w:hint="cs"/>
          <w:vanish/>
          <w:sz w:val="20"/>
          <w:szCs w:val="20"/>
          <w:shd w:val="clear" w:color="auto" w:fill="FFFF99"/>
          <w:rtl/>
        </w:rPr>
      </w:pPr>
      <w:hyperlink r:id="rId9" w:history="1">
        <w:r w:rsidRPr="00112A59">
          <w:rPr>
            <w:rStyle w:val="Hyperlink"/>
            <w:rFonts w:cs="FrankRuehl" w:hint="cs"/>
            <w:vanish/>
            <w:szCs w:val="20"/>
            <w:shd w:val="clear" w:color="auto" w:fill="FFFF99"/>
            <w:rtl/>
          </w:rPr>
          <w:t>ס"ח תשע"ג מס' 2393</w:t>
        </w:r>
      </w:hyperlink>
      <w:r w:rsidRPr="00112A59">
        <w:rPr>
          <w:rStyle w:val="default"/>
          <w:rFonts w:cs="FrankRuehl" w:hint="cs"/>
          <w:vanish/>
          <w:sz w:val="20"/>
          <w:szCs w:val="20"/>
          <w:shd w:val="clear" w:color="auto" w:fill="FFFF99"/>
          <w:rtl/>
        </w:rPr>
        <w:t xml:space="preserve"> מיום 1.5.2013 עמ' 58 (</w:t>
      </w:r>
      <w:hyperlink r:id="rId10" w:history="1">
        <w:r w:rsidRPr="00112A59">
          <w:rPr>
            <w:rStyle w:val="Hyperlink"/>
            <w:rFonts w:cs="FrankRuehl" w:hint="cs"/>
            <w:vanish/>
            <w:szCs w:val="20"/>
            <w:shd w:val="clear" w:color="auto" w:fill="FFFF99"/>
            <w:rtl/>
          </w:rPr>
          <w:t>ה"ח 750</w:t>
        </w:r>
      </w:hyperlink>
      <w:r w:rsidRPr="00112A59">
        <w:rPr>
          <w:rStyle w:val="default"/>
          <w:rFonts w:cs="FrankRuehl" w:hint="cs"/>
          <w:vanish/>
          <w:sz w:val="20"/>
          <w:szCs w:val="20"/>
          <w:shd w:val="clear" w:color="auto" w:fill="FFFF99"/>
          <w:rtl/>
        </w:rPr>
        <w:t>)</w:t>
      </w:r>
    </w:p>
    <w:p w14:paraId="5B4D1E44" w14:textId="77777777" w:rsidR="007449D4" w:rsidRPr="00112A59" w:rsidRDefault="007449D4" w:rsidP="007449D4">
      <w:pPr>
        <w:pStyle w:val="P00"/>
        <w:spacing w:before="0"/>
        <w:ind w:left="0" w:right="1134"/>
        <w:rPr>
          <w:rStyle w:val="default"/>
          <w:rFonts w:cs="FrankRuehl"/>
          <w:vanish/>
          <w:sz w:val="20"/>
          <w:szCs w:val="20"/>
          <w:shd w:val="clear" w:color="auto" w:fill="FFFF99"/>
          <w:rtl/>
        </w:rPr>
      </w:pPr>
      <w:r w:rsidRPr="00112A59">
        <w:rPr>
          <w:rStyle w:val="default"/>
          <w:rFonts w:cs="FrankRuehl" w:hint="cs"/>
          <w:b/>
          <w:bCs/>
          <w:vanish/>
          <w:sz w:val="20"/>
          <w:szCs w:val="20"/>
          <w:shd w:val="clear" w:color="auto" w:fill="FFFF99"/>
          <w:rtl/>
        </w:rPr>
        <w:t>הוספת סעיף 6א</w:t>
      </w:r>
    </w:p>
    <w:p w14:paraId="388EEEBF" w14:textId="77777777" w:rsidR="007449D4" w:rsidRPr="00112A59" w:rsidRDefault="007449D4" w:rsidP="007449D4">
      <w:pPr>
        <w:pStyle w:val="P00"/>
        <w:spacing w:before="0"/>
        <w:ind w:left="0" w:right="1134"/>
        <w:rPr>
          <w:rStyle w:val="default"/>
          <w:rFonts w:ascii="FrankRuehl" w:hAnsi="FrankRuehl" w:cs="FrankRuehl"/>
          <w:vanish/>
          <w:sz w:val="20"/>
          <w:szCs w:val="20"/>
          <w:shd w:val="clear" w:color="auto" w:fill="FFFF99"/>
          <w:rtl/>
        </w:rPr>
      </w:pPr>
    </w:p>
    <w:p w14:paraId="5E69D945" w14:textId="77777777" w:rsidR="007449D4" w:rsidRPr="00112A59" w:rsidRDefault="007449D4" w:rsidP="007449D4">
      <w:pPr>
        <w:pStyle w:val="P00"/>
        <w:spacing w:before="0"/>
        <w:ind w:left="0" w:right="1134"/>
        <w:rPr>
          <w:rStyle w:val="default"/>
          <w:rFonts w:ascii="FrankRuehl" w:hAnsi="FrankRuehl" w:cs="FrankRuehl"/>
          <w:vanish/>
          <w:color w:val="FF0000"/>
          <w:sz w:val="20"/>
          <w:szCs w:val="20"/>
          <w:shd w:val="clear" w:color="auto" w:fill="FFFF99"/>
          <w:rtl/>
        </w:rPr>
      </w:pPr>
      <w:r w:rsidRPr="00112A59">
        <w:rPr>
          <w:rStyle w:val="default"/>
          <w:rFonts w:ascii="FrankRuehl" w:hAnsi="FrankRuehl" w:cs="FrankRuehl"/>
          <w:vanish/>
          <w:color w:val="FF0000"/>
          <w:sz w:val="20"/>
          <w:szCs w:val="20"/>
          <w:shd w:val="clear" w:color="auto" w:fill="FFFF99"/>
          <w:rtl/>
        </w:rPr>
        <w:t>מיום 12.10.2021 עד תום כהונתה של הכנסת ה-24</w:t>
      </w:r>
    </w:p>
    <w:p w14:paraId="1DC11BA3" w14:textId="77777777" w:rsidR="007449D4" w:rsidRPr="00112A59" w:rsidRDefault="007449D4" w:rsidP="007449D4">
      <w:pPr>
        <w:pStyle w:val="P00"/>
        <w:spacing w:before="0"/>
        <w:ind w:left="0" w:right="1134"/>
        <w:rPr>
          <w:rStyle w:val="default"/>
          <w:rFonts w:ascii="FrankRuehl" w:hAnsi="FrankRuehl" w:cs="FrankRuehl"/>
          <w:vanish/>
          <w:sz w:val="20"/>
          <w:szCs w:val="20"/>
          <w:shd w:val="clear" w:color="auto" w:fill="FFFF99"/>
          <w:rtl/>
        </w:rPr>
      </w:pPr>
      <w:r w:rsidRPr="00112A59">
        <w:rPr>
          <w:rStyle w:val="default"/>
          <w:rFonts w:ascii="FrankRuehl" w:hAnsi="FrankRuehl" w:cs="FrankRuehl"/>
          <w:b/>
          <w:bCs/>
          <w:vanish/>
          <w:sz w:val="20"/>
          <w:szCs w:val="20"/>
          <w:shd w:val="clear" w:color="auto" w:fill="FFFF99"/>
          <w:rtl/>
        </w:rPr>
        <w:t xml:space="preserve">תיקון מס' </w:t>
      </w:r>
      <w:r w:rsidRPr="00112A59">
        <w:rPr>
          <w:rStyle w:val="default"/>
          <w:rFonts w:ascii="FrankRuehl" w:hAnsi="FrankRuehl" w:cs="FrankRuehl" w:hint="cs"/>
          <w:b/>
          <w:bCs/>
          <w:vanish/>
          <w:sz w:val="20"/>
          <w:szCs w:val="20"/>
          <w:shd w:val="clear" w:color="auto" w:fill="FFFF99"/>
          <w:rtl/>
        </w:rPr>
        <w:t>2</w:t>
      </w:r>
    </w:p>
    <w:p w14:paraId="144E0174" w14:textId="77777777" w:rsidR="007449D4" w:rsidRPr="00112A59" w:rsidRDefault="007449D4" w:rsidP="007449D4">
      <w:pPr>
        <w:pStyle w:val="P00"/>
        <w:spacing w:before="0"/>
        <w:ind w:left="0" w:right="1134"/>
        <w:rPr>
          <w:rStyle w:val="default"/>
          <w:rFonts w:ascii="FrankRuehl" w:hAnsi="FrankRuehl" w:cs="FrankRuehl"/>
          <w:vanish/>
          <w:sz w:val="20"/>
          <w:szCs w:val="20"/>
          <w:shd w:val="clear" w:color="auto" w:fill="FFFF99"/>
          <w:rtl/>
        </w:rPr>
      </w:pPr>
      <w:hyperlink r:id="rId11" w:history="1">
        <w:r w:rsidRPr="00112A59">
          <w:rPr>
            <w:rStyle w:val="Hyperlink"/>
            <w:rFonts w:ascii="FrankRuehl" w:hAnsi="FrankRuehl" w:cs="FrankRuehl"/>
            <w:vanish/>
            <w:szCs w:val="20"/>
            <w:shd w:val="clear" w:color="auto" w:fill="FFFF99"/>
            <w:rtl/>
          </w:rPr>
          <w:t>ס"ח תשפ"ב מס' 2929</w:t>
        </w:r>
      </w:hyperlink>
      <w:r w:rsidRPr="00112A59">
        <w:rPr>
          <w:rStyle w:val="default"/>
          <w:rFonts w:ascii="FrankRuehl" w:hAnsi="FrankRuehl" w:cs="FrankRuehl"/>
          <w:vanish/>
          <w:sz w:val="20"/>
          <w:szCs w:val="20"/>
          <w:shd w:val="clear" w:color="auto" w:fill="FFFF99"/>
          <w:rtl/>
        </w:rPr>
        <w:t xml:space="preserve"> מיום 12.10.2021 עמ' </w:t>
      </w:r>
      <w:r w:rsidRPr="00112A59">
        <w:rPr>
          <w:rStyle w:val="default"/>
          <w:rFonts w:ascii="FrankRuehl" w:hAnsi="FrankRuehl" w:cs="FrankRuehl" w:hint="cs"/>
          <w:vanish/>
          <w:sz w:val="20"/>
          <w:szCs w:val="20"/>
          <w:shd w:val="clear" w:color="auto" w:fill="FFFF99"/>
          <w:rtl/>
        </w:rPr>
        <w:t>7</w:t>
      </w:r>
      <w:r w:rsidRPr="00112A59">
        <w:rPr>
          <w:rStyle w:val="default"/>
          <w:rFonts w:ascii="FrankRuehl" w:hAnsi="FrankRuehl" w:cs="FrankRuehl"/>
          <w:vanish/>
          <w:sz w:val="20"/>
          <w:szCs w:val="20"/>
          <w:shd w:val="clear" w:color="auto" w:fill="FFFF99"/>
          <w:rtl/>
        </w:rPr>
        <w:t xml:space="preserve"> (</w:t>
      </w:r>
      <w:hyperlink r:id="rId12" w:history="1">
        <w:r w:rsidRPr="00112A59">
          <w:rPr>
            <w:rStyle w:val="Hyperlink"/>
            <w:rFonts w:ascii="FrankRuehl" w:hAnsi="FrankRuehl" w:cs="FrankRuehl"/>
            <w:vanish/>
            <w:szCs w:val="20"/>
            <w:shd w:val="clear" w:color="auto" w:fill="FFFF99"/>
            <w:rtl/>
          </w:rPr>
          <w:t>ה"ח 873</w:t>
        </w:r>
      </w:hyperlink>
      <w:r w:rsidRPr="00112A59">
        <w:rPr>
          <w:rStyle w:val="default"/>
          <w:rFonts w:ascii="FrankRuehl" w:hAnsi="FrankRuehl" w:cs="FrankRuehl"/>
          <w:vanish/>
          <w:sz w:val="20"/>
          <w:szCs w:val="20"/>
          <w:shd w:val="clear" w:color="auto" w:fill="FFFF99"/>
          <w:rtl/>
        </w:rPr>
        <w:t>)</w:t>
      </w:r>
    </w:p>
    <w:p w14:paraId="0F9A6C53" w14:textId="77777777" w:rsidR="00B97E96" w:rsidRPr="00112A59" w:rsidRDefault="00B97E96" w:rsidP="00B97E96">
      <w:pPr>
        <w:pStyle w:val="P00"/>
        <w:ind w:left="0" w:right="1134"/>
        <w:rPr>
          <w:rStyle w:val="default"/>
          <w:rFonts w:cs="FrankRuehl"/>
          <w:vanish/>
          <w:sz w:val="22"/>
          <w:szCs w:val="22"/>
          <w:shd w:val="clear" w:color="auto" w:fill="FFFF99"/>
          <w:rtl/>
        </w:rPr>
      </w:pPr>
      <w:r w:rsidRPr="00112A59">
        <w:rPr>
          <w:rStyle w:val="default"/>
          <w:rFonts w:cs="FrankRuehl" w:hint="cs"/>
          <w:vanish/>
          <w:sz w:val="22"/>
          <w:szCs w:val="22"/>
          <w:shd w:val="clear" w:color="auto" w:fill="FFFF99"/>
          <w:rtl/>
        </w:rPr>
        <w:t>6א</w:t>
      </w:r>
      <w:r w:rsidRPr="00112A59">
        <w:rPr>
          <w:rStyle w:val="default"/>
          <w:rFonts w:cs="FrankRuehl"/>
          <w:vanish/>
          <w:sz w:val="22"/>
          <w:szCs w:val="22"/>
          <w:shd w:val="clear" w:color="auto" w:fill="FFFF99"/>
          <w:rtl/>
        </w:rPr>
        <w:t>.</w:t>
      </w:r>
      <w:r w:rsidRPr="00112A59">
        <w:rPr>
          <w:rStyle w:val="default"/>
          <w:rFonts w:cs="FrankRuehl"/>
          <w:vanish/>
          <w:sz w:val="22"/>
          <w:szCs w:val="22"/>
          <w:shd w:val="clear" w:color="auto" w:fill="FFFF99"/>
          <w:rtl/>
        </w:rPr>
        <w:tab/>
      </w:r>
      <w:r w:rsidRPr="00112A59">
        <w:rPr>
          <w:rStyle w:val="default"/>
          <w:rFonts w:cs="FrankRuehl" w:hint="cs"/>
          <w:vanish/>
          <w:sz w:val="22"/>
          <w:szCs w:val="22"/>
          <w:shd w:val="clear" w:color="auto" w:fill="FFFF99"/>
          <w:rtl/>
        </w:rPr>
        <w:t xml:space="preserve">השר לביטחון הפנים, באישור ועדת </w:t>
      </w:r>
      <w:r w:rsidRPr="00112A59">
        <w:rPr>
          <w:rStyle w:val="default"/>
          <w:rFonts w:cs="FrankRuehl" w:hint="cs"/>
          <w:strike/>
          <w:vanish/>
          <w:sz w:val="22"/>
          <w:szCs w:val="22"/>
          <w:shd w:val="clear" w:color="auto" w:fill="FFFF99"/>
          <w:rtl/>
        </w:rPr>
        <w:t>הפנים והגנת הסביבה</w:t>
      </w:r>
      <w:r w:rsidRPr="00112A59">
        <w:rPr>
          <w:rStyle w:val="default"/>
          <w:rFonts w:cs="FrankRuehl" w:hint="cs"/>
          <w:vanish/>
          <w:sz w:val="22"/>
          <w:szCs w:val="22"/>
          <w:shd w:val="clear" w:color="auto" w:fill="FFFF99"/>
          <w:rtl/>
        </w:rPr>
        <w:t xml:space="preserve"> </w:t>
      </w:r>
      <w:r w:rsidRPr="00112A59">
        <w:rPr>
          <w:rStyle w:val="default"/>
          <w:rFonts w:cs="FrankRuehl" w:hint="cs"/>
          <w:vanish/>
          <w:sz w:val="22"/>
          <w:szCs w:val="22"/>
          <w:u w:val="single"/>
          <w:shd w:val="clear" w:color="auto" w:fill="FFFF99"/>
          <w:rtl/>
        </w:rPr>
        <w:t>ביטחון הפנים</w:t>
      </w:r>
      <w:r w:rsidRPr="00112A59">
        <w:rPr>
          <w:rStyle w:val="default"/>
          <w:rFonts w:cs="FrankRuehl" w:hint="cs"/>
          <w:vanish/>
          <w:sz w:val="22"/>
          <w:szCs w:val="22"/>
          <w:shd w:val="clear" w:color="auto" w:fill="FFFF99"/>
          <w:rtl/>
        </w:rPr>
        <w:t xml:space="preserve"> של הכנסת, רשאי, בצו, לשנות את התוספת.</w:t>
      </w:r>
    </w:p>
    <w:p w14:paraId="323A73EF" w14:textId="77777777" w:rsidR="00B97E96" w:rsidRPr="00112A59" w:rsidRDefault="00B97E96" w:rsidP="00B97E96">
      <w:pPr>
        <w:pStyle w:val="P00"/>
        <w:spacing w:before="0"/>
        <w:ind w:left="0" w:right="1134"/>
        <w:rPr>
          <w:rStyle w:val="big-number"/>
          <w:rFonts w:cs="FrankRuehl"/>
          <w:vanish/>
          <w:sz w:val="20"/>
          <w:szCs w:val="20"/>
          <w:shd w:val="clear" w:color="auto" w:fill="FFFF99"/>
          <w:rtl/>
        </w:rPr>
      </w:pPr>
    </w:p>
    <w:p w14:paraId="077E721E" w14:textId="77777777" w:rsidR="00B97E96" w:rsidRPr="00112A59" w:rsidRDefault="00B97E96" w:rsidP="00B97E96">
      <w:pPr>
        <w:pStyle w:val="P00"/>
        <w:tabs>
          <w:tab w:val="clear" w:pos="6259"/>
        </w:tabs>
        <w:spacing w:before="0"/>
        <w:ind w:left="0" w:right="1134"/>
        <w:rPr>
          <w:rFonts w:ascii="FrankRuehl" w:hAnsi="FrankRuehl" w:cs="FrankRuehl"/>
          <w:vanish/>
          <w:color w:val="FF0000"/>
          <w:szCs w:val="20"/>
          <w:shd w:val="clear" w:color="auto" w:fill="FFFF99"/>
          <w:rtl/>
        </w:rPr>
      </w:pPr>
      <w:r w:rsidRPr="00112A59">
        <w:rPr>
          <w:rFonts w:ascii="FrankRuehl" w:hAnsi="FrankRuehl" w:cs="FrankRuehl"/>
          <w:vanish/>
          <w:color w:val="FF0000"/>
          <w:szCs w:val="20"/>
          <w:shd w:val="clear" w:color="auto" w:fill="FFFF99"/>
          <w:rtl/>
        </w:rPr>
        <w:t>מיום 9.2.2023</w:t>
      </w:r>
    </w:p>
    <w:p w14:paraId="18EC97A8" w14:textId="77777777" w:rsidR="00B97E96" w:rsidRPr="00112A59" w:rsidRDefault="00B97E96" w:rsidP="00B97E96">
      <w:pPr>
        <w:pStyle w:val="P00"/>
        <w:tabs>
          <w:tab w:val="clear" w:pos="6259"/>
        </w:tabs>
        <w:spacing w:before="0"/>
        <w:ind w:left="0" w:right="1134"/>
        <w:rPr>
          <w:rFonts w:ascii="FrankRuehl" w:hAnsi="FrankRuehl" w:cs="FrankRuehl"/>
          <w:vanish/>
          <w:szCs w:val="20"/>
          <w:shd w:val="clear" w:color="auto" w:fill="FFFF99"/>
          <w:rtl/>
        </w:rPr>
      </w:pPr>
      <w:r w:rsidRPr="00112A59">
        <w:rPr>
          <w:rFonts w:ascii="FrankRuehl" w:hAnsi="FrankRuehl" w:cs="FrankRuehl"/>
          <w:b/>
          <w:bCs/>
          <w:vanish/>
          <w:szCs w:val="20"/>
          <w:shd w:val="clear" w:color="auto" w:fill="FFFF99"/>
          <w:rtl/>
        </w:rPr>
        <w:t xml:space="preserve">תיקון מס' </w:t>
      </w:r>
      <w:r w:rsidRPr="00112A59">
        <w:rPr>
          <w:rFonts w:ascii="FrankRuehl" w:hAnsi="FrankRuehl" w:cs="FrankRuehl" w:hint="cs"/>
          <w:b/>
          <w:bCs/>
          <w:vanish/>
          <w:szCs w:val="20"/>
          <w:shd w:val="clear" w:color="auto" w:fill="FFFF99"/>
          <w:rtl/>
        </w:rPr>
        <w:t>3</w:t>
      </w:r>
    </w:p>
    <w:p w14:paraId="4782C8B2" w14:textId="77777777" w:rsidR="00B97E96" w:rsidRPr="00112A59" w:rsidRDefault="00B97E96" w:rsidP="00B97E96">
      <w:pPr>
        <w:pStyle w:val="P00"/>
        <w:tabs>
          <w:tab w:val="clear" w:pos="6259"/>
        </w:tabs>
        <w:spacing w:before="0"/>
        <w:ind w:left="0" w:right="1134"/>
        <w:rPr>
          <w:rFonts w:ascii="FrankRuehl" w:hAnsi="FrankRuehl" w:cs="FrankRuehl"/>
          <w:vanish/>
          <w:szCs w:val="20"/>
          <w:shd w:val="clear" w:color="auto" w:fill="FFFF99"/>
          <w:rtl/>
        </w:rPr>
      </w:pPr>
      <w:hyperlink r:id="rId13" w:history="1">
        <w:r w:rsidRPr="00112A59">
          <w:rPr>
            <w:rStyle w:val="Hyperlink"/>
            <w:rFonts w:ascii="FrankRuehl" w:hAnsi="FrankRuehl" w:cs="FrankRuehl"/>
            <w:vanish/>
            <w:szCs w:val="20"/>
            <w:shd w:val="clear" w:color="auto" w:fill="FFFF99"/>
            <w:rtl/>
          </w:rPr>
          <w:t>ס"ח תשפ"ג מס' 3016</w:t>
        </w:r>
      </w:hyperlink>
      <w:r w:rsidRPr="00112A59">
        <w:rPr>
          <w:rFonts w:ascii="FrankRuehl" w:hAnsi="FrankRuehl" w:cs="FrankRuehl"/>
          <w:vanish/>
          <w:szCs w:val="20"/>
          <w:shd w:val="clear" w:color="auto" w:fill="FFFF99"/>
          <w:rtl/>
        </w:rPr>
        <w:t xml:space="preserve"> מיום 9.2.2023 עמ' 2</w:t>
      </w:r>
      <w:r w:rsidRPr="00112A59">
        <w:rPr>
          <w:rFonts w:ascii="FrankRuehl" w:hAnsi="FrankRuehl" w:cs="FrankRuehl" w:hint="cs"/>
          <w:vanish/>
          <w:szCs w:val="20"/>
          <w:shd w:val="clear" w:color="auto" w:fill="FFFF99"/>
          <w:rtl/>
        </w:rPr>
        <w:t>4</w:t>
      </w:r>
      <w:r w:rsidRPr="00112A59">
        <w:rPr>
          <w:rFonts w:ascii="FrankRuehl" w:hAnsi="FrankRuehl" w:cs="FrankRuehl"/>
          <w:vanish/>
          <w:szCs w:val="20"/>
          <w:shd w:val="clear" w:color="auto" w:fill="FFFF99"/>
          <w:rtl/>
        </w:rPr>
        <w:t xml:space="preserve"> (</w:t>
      </w:r>
      <w:hyperlink r:id="rId14" w:history="1">
        <w:r w:rsidRPr="00112A59">
          <w:rPr>
            <w:rStyle w:val="Hyperlink"/>
            <w:rFonts w:ascii="FrankRuehl" w:hAnsi="FrankRuehl" w:cs="FrankRuehl"/>
            <w:vanish/>
            <w:szCs w:val="20"/>
            <w:shd w:val="clear" w:color="auto" w:fill="FFFF99"/>
            <w:rtl/>
          </w:rPr>
          <w:t>ה"ח 945</w:t>
        </w:r>
      </w:hyperlink>
      <w:r w:rsidRPr="00112A59">
        <w:rPr>
          <w:rFonts w:ascii="FrankRuehl" w:hAnsi="FrankRuehl" w:cs="FrankRuehl"/>
          <w:vanish/>
          <w:szCs w:val="20"/>
          <w:shd w:val="clear" w:color="auto" w:fill="FFFF99"/>
          <w:rtl/>
        </w:rPr>
        <w:t>)</w:t>
      </w:r>
    </w:p>
    <w:p w14:paraId="7F5A2522" w14:textId="77777777" w:rsidR="007449D4" w:rsidRPr="007449D4" w:rsidRDefault="007449D4" w:rsidP="007449D4">
      <w:pPr>
        <w:pStyle w:val="P00"/>
        <w:ind w:left="0" w:right="1134"/>
        <w:rPr>
          <w:rStyle w:val="default"/>
          <w:rFonts w:cs="FrankRuehl" w:hint="cs"/>
          <w:sz w:val="2"/>
          <w:szCs w:val="2"/>
          <w:rtl/>
        </w:rPr>
      </w:pPr>
      <w:r w:rsidRPr="00112A59">
        <w:rPr>
          <w:rStyle w:val="default"/>
          <w:rFonts w:cs="FrankRuehl" w:hint="cs"/>
          <w:vanish/>
          <w:sz w:val="22"/>
          <w:szCs w:val="22"/>
          <w:shd w:val="clear" w:color="auto" w:fill="FFFF99"/>
          <w:rtl/>
        </w:rPr>
        <w:t>6א</w:t>
      </w:r>
      <w:r w:rsidRPr="00112A59">
        <w:rPr>
          <w:rStyle w:val="default"/>
          <w:rFonts w:cs="FrankRuehl"/>
          <w:vanish/>
          <w:sz w:val="22"/>
          <w:szCs w:val="22"/>
          <w:shd w:val="clear" w:color="auto" w:fill="FFFF99"/>
          <w:rtl/>
        </w:rPr>
        <w:t>.</w:t>
      </w:r>
      <w:r w:rsidRPr="00112A59">
        <w:rPr>
          <w:rStyle w:val="default"/>
          <w:rFonts w:cs="FrankRuehl"/>
          <w:vanish/>
          <w:sz w:val="22"/>
          <w:szCs w:val="22"/>
          <w:shd w:val="clear" w:color="auto" w:fill="FFFF99"/>
          <w:rtl/>
        </w:rPr>
        <w:tab/>
      </w:r>
      <w:r w:rsidRPr="00112A59">
        <w:rPr>
          <w:rStyle w:val="default"/>
          <w:rFonts w:cs="FrankRuehl" w:hint="cs"/>
          <w:vanish/>
          <w:sz w:val="22"/>
          <w:szCs w:val="22"/>
          <w:shd w:val="clear" w:color="auto" w:fill="FFFF99"/>
          <w:rtl/>
        </w:rPr>
        <w:t xml:space="preserve">השר לביטחון הפנים, באישור </w:t>
      </w:r>
      <w:r w:rsidRPr="00112A59">
        <w:rPr>
          <w:rStyle w:val="default"/>
          <w:rFonts w:cs="FrankRuehl" w:hint="cs"/>
          <w:strike/>
          <w:vanish/>
          <w:sz w:val="22"/>
          <w:szCs w:val="22"/>
          <w:shd w:val="clear" w:color="auto" w:fill="FFFF99"/>
          <w:rtl/>
        </w:rPr>
        <w:t>ועדת הפנים והגנת הסביבה</w:t>
      </w:r>
      <w:r w:rsidRPr="00112A59">
        <w:rPr>
          <w:rStyle w:val="default"/>
          <w:rFonts w:cs="FrankRuehl" w:hint="cs"/>
          <w:vanish/>
          <w:sz w:val="22"/>
          <w:szCs w:val="22"/>
          <w:shd w:val="clear" w:color="auto" w:fill="FFFF99"/>
          <w:rtl/>
        </w:rPr>
        <w:t xml:space="preserve"> </w:t>
      </w:r>
      <w:r w:rsidR="00B97E96" w:rsidRPr="00112A59">
        <w:rPr>
          <w:rStyle w:val="default"/>
          <w:rFonts w:cs="FrankRuehl" w:hint="cs"/>
          <w:vanish/>
          <w:sz w:val="22"/>
          <w:szCs w:val="22"/>
          <w:u w:val="single"/>
          <w:shd w:val="clear" w:color="auto" w:fill="FFFF99"/>
          <w:rtl/>
        </w:rPr>
        <w:t>הוועדה לביטחון לאומי</w:t>
      </w:r>
      <w:r w:rsidRPr="00112A59">
        <w:rPr>
          <w:rStyle w:val="default"/>
          <w:rFonts w:cs="FrankRuehl" w:hint="cs"/>
          <w:vanish/>
          <w:sz w:val="22"/>
          <w:szCs w:val="22"/>
          <w:shd w:val="clear" w:color="auto" w:fill="FFFF99"/>
          <w:rtl/>
        </w:rPr>
        <w:t xml:space="preserve"> של הכנסת, רשאי, בצו, לשנות את התוספת.</w:t>
      </w:r>
      <w:bookmarkEnd w:id="11"/>
    </w:p>
    <w:p w14:paraId="404F8CB3" w14:textId="77777777" w:rsidR="007449D4" w:rsidRDefault="007449D4" w:rsidP="006A5600">
      <w:pPr>
        <w:pStyle w:val="P00"/>
        <w:spacing w:before="72"/>
        <w:ind w:left="0" w:right="1134"/>
        <w:rPr>
          <w:rStyle w:val="default"/>
          <w:rFonts w:cs="FrankRuehl" w:hint="cs"/>
          <w:rtl/>
        </w:rPr>
      </w:pPr>
    </w:p>
    <w:p w14:paraId="46D598E7" w14:textId="77777777" w:rsidR="006411A2" w:rsidRDefault="006411A2" w:rsidP="002F0F63">
      <w:pPr>
        <w:pStyle w:val="P00"/>
        <w:spacing w:before="72"/>
        <w:ind w:left="0" w:right="1134"/>
        <w:rPr>
          <w:rStyle w:val="default"/>
          <w:rFonts w:cs="FrankRuehl" w:hint="cs"/>
          <w:rtl/>
        </w:rPr>
      </w:pPr>
      <w:bookmarkStart w:id="12" w:name="Seif6"/>
      <w:bookmarkEnd w:id="12"/>
      <w:r>
        <w:rPr>
          <w:rFonts w:cs="Miriam"/>
          <w:lang w:val="he-IL"/>
        </w:rPr>
        <w:pict w14:anchorId="08AC5192">
          <v:rect id="_x0000_s2266" style="position:absolute;left:0;text-align:left;margin-left:464.35pt;margin-top:7.1pt;width:75.05pt;height:42.55pt;z-index:251658240" o:allowincell="f" filled="f" stroked="f" strokecolor="lime" strokeweight=".25pt">
            <v:textbox style="mso-next-textbox:#_x0000_s2266" inset="0,0,0,0">
              <w:txbxContent>
                <w:p w14:paraId="62627AA4" w14:textId="77777777" w:rsidR="007A5885" w:rsidRDefault="002F0F63" w:rsidP="006411A2">
                  <w:pPr>
                    <w:spacing w:line="160" w:lineRule="exact"/>
                    <w:rPr>
                      <w:rFonts w:cs="Miriam" w:hint="cs"/>
                      <w:noProof/>
                      <w:sz w:val="18"/>
                      <w:szCs w:val="18"/>
                      <w:rtl/>
                    </w:rPr>
                  </w:pPr>
                  <w:r>
                    <w:rPr>
                      <w:rFonts w:cs="Miriam" w:hint="cs"/>
                      <w:sz w:val="18"/>
                      <w:szCs w:val="18"/>
                      <w:rtl/>
                    </w:rPr>
                    <w:t>דיווח לכנסת</w:t>
                  </w:r>
                </w:p>
                <w:p w14:paraId="7707DBBD" w14:textId="77777777" w:rsidR="009F5C99" w:rsidRDefault="009F5C99" w:rsidP="009F5C99">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תשע"ג-2013</w:t>
                  </w:r>
                </w:p>
                <w:p w14:paraId="0385CCA9" w14:textId="77777777" w:rsidR="007449D4" w:rsidRDefault="007449D4" w:rsidP="009F5C99">
                  <w:pPr>
                    <w:spacing w:line="160" w:lineRule="exact"/>
                    <w:rPr>
                      <w:rFonts w:cs="Miriam" w:hint="cs"/>
                      <w:noProof/>
                      <w:sz w:val="18"/>
                      <w:szCs w:val="18"/>
                      <w:rtl/>
                    </w:rPr>
                  </w:pPr>
                  <w:r>
                    <w:rPr>
                      <w:rFonts w:cs="Miriam" w:hint="cs"/>
                      <w:noProof/>
                      <w:sz w:val="18"/>
                      <w:szCs w:val="18"/>
                      <w:rtl/>
                    </w:rPr>
                    <w:t xml:space="preserve">(תיקון מס' </w:t>
                  </w:r>
                  <w:r w:rsidR="00B97E96">
                    <w:rPr>
                      <w:rFonts w:cs="Miriam" w:hint="cs"/>
                      <w:noProof/>
                      <w:sz w:val="18"/>
                      <w:szCs w:val="18"/>
                      <w:rtl/>
                    </w:rPr>
                    <w:t xml:space="preserve">3) </w:t>
                  </w:r>
                  <w:r w:rsidR="00B97E96">
                    <w:rPr>
                      <w:rFonts w:cs="Miriam"/>
                      <w:noProof/>
                      <w:sz w:val="18"/>
                      <w:szCs w:val="18"/>
                      <w:rtl/>
                    </w:rPr>
                    <w:br/>
                  </w:r>
                  <w:r w:rsidR="00B97E96">
                    <w:rPr>
                      <w:rFonts w:cs="Miriam" w:hint="cs"/>
                      <w:noProof/>
                      <w:sz w:val="18"/>
                      <w:szCs w:val="18"/>
                      <w:rtl/>
                    </w:rPr>
                    <w:t>תשפ"ג-2023</w:t>
                  </w:r>
                </w:p>
              </w:txbxContent>
            </v:textbox>
            <w10:anchorlock/>
          </v:rect>
        </w:pict>
      </w:r>
      <w:r w:rsidR="003C0065">
        <w:rPr>
          <w:rStyle w:val="big-number"/>
          <w:rFonts w:cs="Miriam" w:hint="cs"/>
          <w:rtl/>
        </w:rPr>
        <w:t>7</w:t>
      </w:r>
      <w:r>
        <w:rPr>
          <w:rStyle w:val="big-number"/>
          <w:rFonts w:cs="FrankRuehl"/>
          <w:sz w:val="26"/>
          <w:szCs w:val="26"/>
          <w:rtl/>
        </w:rPr>
        <w:t>.</w:t>
      </w:r>
      <w:r>
        <w:rPr>
          <w:rStyle w:val="big-number"/>
          <w:rFonts w:cs="FrankRuehl"/>
          <w:sz w:val="26"/>
          <w:szCs w:val="26"/>
          <w:rtl/>
        </w:rPr>
        <w:tab/>
      </w:r>
      <w:r w:rsidR="009F5C99">
        <w:rPr>
          <w:rStyle w:val="big-number"/>
          <w:rFonts w:cs="FrankRuehl" w:hint="cs"/>
          <w:sz w:val="26"/>
          <w:szCs w:val="26"/>
          <w:rtl/>
        </w:rPr>
        <w:t>(א)</w:t>
      </w:r>
      <w:r w:rsidR="009F5C99">
        <w:rPr>
          <w:rStyle w:val="big-number"/>
          <w:rFonts w:cs="FrankRuehl" w:hint="cs"/>
          <w:sz w:val="26"/>
          <w:szCs w:val="26"/>
          <w:rtl/>
        </w:rPr>
        <w:tab/>
      </w:r>
      <w:r w:rsidR="002F0F63">
        <w:rPr>
          <w:rStyle w:val="default"/>
          <w:rFonts w:cs="FrankRuehl" w:hint="cs"/>
          <w:rtl/>
        </w:rPr>
        <w:t xml:space="preserve">השר לביטחון הפנים ידווח, בתום 18 חודשים ובתום שלוש שנים מיום תחילתו של חוק זה, </w:t>
      </w:r>
      <w:r w:rsidR="00B97E96">
        <w:rPr>
          <w:rStyle w:val="default"/>
          <w:rFonts w:cs="FrankRuehl" w:hint="cs"/>
          <w:rtl/>
        </w:rPr>
        <w:t>לוועדה לביטחון לאומי</w:t>
      </w:r>
      <w:r w:rsidR="00236A33" w:rsidRPr="00236A33">
        <w:rPr>
          <w:rStyle w:val="default"/>
          <w:rFonts w:cs="FrankRuehl" w:hint="cs"/>
          <w:rtl/>
        </w:rPr>
        <w:t xml:space="preserve"> </w:t>
      </w:r>
      <w:r w:rsidR="00D6143E">
        <w:rPr>
          <w:rStyle w:val="default"/>
          <w:rFonts w:cs="FrankRuehl" w:hint="cs"/>
          <w:rtl/>
        </w:rPr>
        <w:t xml:space="preserve">של הכנסת ולוועדת החוקה חוק ומשפט של הכנסת על השימוש בסמכות תפיסה והשמדה לפי סעיף 2, לרבות תדירות השימוש והשפעתו על המאבק בתופעת השכרות, וכן על מספר המקרים שבהם </w:t>
      </w:r>
      <w:r w:rsidR="00D6143E">
        <w:rPr>
          <w:rStyle w:val="default"/>
          <w:rFonts w:cs="FrankRuehl"/>
          <w:rtl/>
        </w:rPr>
        <w:t>–</w:t>
      </w:r>
    </w:p>
    <w:p w14:paraId="0B57A2A6" w14:textId="77777777" w:rsidR="00D6143E" w:rsidRDefault="00D6143E" w:rsidP="009F5C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נפתחו חקירות בשל חשד לעבירות לפי סעיף 193א לחוק העונשין;</w:t>
      </w:r>
    </w:p>
    <w:p w14:paraId="3C076DC8" w14:textId="77777777" w:rsidR="00D6143E" w:rsidRDefault="00D6143E" w:rsidP="009F5C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הסתיימו חקירות כאמור בפסקה (1) בלא הגשת כתב אישום והעילות לכך;</w:t>
      </w:r>
    </w:p>
    <w:p w14:paraId="040B6355" w14:textId="77777777" w:rsidR="00D6143E" w:rsidRDefault="00D6143E" w:rsidP="009F5C9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הוגשו כתבי אישום בשל עבירות כאמור בפסקה (1);</w:t>
      </w:r>
    </w:p>
    <w:p w14:paraId="43EE66E8" w14:textId="77777777" w:rsidR="00D6143E" w:rsidRDefault="00D6143E" w:rsidP="009F5C9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ניתנו פסקי דין וגזרי דין בהליכים פליליים שהתקיימו בשל עבירות כאמור בפסקה (1), ותוצאותיהם.</w:t>
      </w:r>
    </w:p>
    <w:p w14:paraId="2BEEA082" w14:textId="77777777" w:rsidR="009F5C99" w:rsidRDefault="009F5C99" w:rsidP="009F5C99">
      <w:pPr>
        <w:pStyle w:val="P00"/>
        <w:spacing w:before="72"/>
        <w:ind w:left="0" w:right="1134"/>
        <w:rPr>
          <w:rStyle w:val="default"/>
          <w:rFonts w:cs="FrankRuehl" w:hint="cs"/>
          <w:rtl/>
        </w:rPr>
      </w:pPr>
      <w:r>
        <w:rPr>
          <w:rFonts w:cs="FrankRuehl" w:hint="cs"/>
          <w:sz w:val="26"/>
          <w:rtl/>
          <w:lang w:eastAsia="en-US"/>
        </w:rPr>
        <w:pict w14:anchorId="55C21392">
          <v:shape id="_x0000_s2364" type="#_x0000_t202" style="position:absolute;left:0;text-align:left;margin-left:470.35pt;margin-top:7.1pt;width:1in;height:18pt;z-index:251662336" filled="f" stroked="f">
            <v:textbox inset="1mm,0,1mm,0">
              <w:txbxContent>
                <w:p w14:paraId="5EBEFD56" w14:textId="77777777" w:rsidR="009F5C99" w:rsidRDefault="009F5C99" w:rsidP="009F5C99">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תשע"ג-2013</w:t>
                  </w:r>
                </w:p>
              </w:txbxContent>
            </v:textbox>
          </v:shape>
        </w:pict>
      </w:r>
      <w:r>
        <w:rPr>
          <w:rStyle w:val="default"/>
          <w:rFonts w:cs="FrankRuehl" w:hint="cs"/>
          <w:rtl/>
        </w:rPr>
        <w:tab/>
        <w:t>(ב)</w:t>
      </w:r>
      <w:r>
        <w:rPr>
          <w:rStyle w:val="default"/>
          <w:rFonts w:cs="FrankRuehl" w:hint="cs"/>
          <w:rtl/>
        </w:rPr>
        <w:tab/>
        <w:t xml:space="preserve">במשך שלוש שנים מיום תחילתו של חוק המאבק בתופעת השכרות (הוראת שעה ותיקון חקיקה) (תיקון), התשע"ג-2013, יימסר דיווח כאמור בסעיף קטן (א), אחת לשנה, ונוסף על האמור באותו סעיף קטן יכלול גם </w:t>
      </w:r>
      <w:r>
        <w:rPr>
          <w:rStyle w:val="default"/>
          <w:rFonts w:cs="FrankRuehl"/>
          <w:rtl/>
        </w:rPr>
        <w:t>–</w:t>
      </w:r>
    </w:p>
    <w:p w14:paraId="7C9066FA" w14:textId="77777777" w:rsidR="009F5C99" w:rsidRDefault="009F5C99" w:rsidP="009F5C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השימוש בסמכות תפיסה והשמדה לפי סעיף 2 </w:t>
      </w:r>
      <w:r>
        <w:rPr>
          <w:rStyle w:val="default"/>
          <w:rFonts w:cs="FrankRuehl"/>
          <w:rtl/>
        </w:rPr>
        <w:t>–</w:t>
      </w:r>
      <w:r>
        <w:rPr>
          <w:rStyle w:val="default"/>
          <w:rFonts w:cs="FrankRuehl" w:hint="cs"/>
          <w:rtl/>
        </w:rPr>
        <w:t xml:space="preserve"> הבחנה בין פעולות שננקטו כלפי בגירים וכלפי קטינים;</w:t>
      </w:r>
    </w:p>
    <w:p w14:paraId="4ACB7729" w14:textId="77777777" w:rsidR="009F5C99" w:rsidRDefault="009F5C99" w:rsidP="009F5C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דיווח כאמור בפסקאות (1) עד (4) שבסעיף קטן (א) על הליכים בשל עבירה לפי סעיף 14 לחוק רישוי עסקים, התשכ"ח-1968 (בסעיף זה </w:t>
      </w:r>
      <w:r>
        <w:rPr>
          <w:rStyle w:val="default"/>
          <w:rFonts w:cs="FrankRuehl"/>
          <w:rtl/>
        </w:rPr>
        <w:t>–</w:t>
      </w:r>
      <w:r>
        <w:rPr>
          <w:rStyle w:val="default"/>
          <w:rFonts w:cs="FrankRuehl" w:hint="cs"/>
          <w:rtl/>
        </w:rPr>
        <w:t xml:space="preserve"> חוק רישוי עסקים) בשל הפרת חובה לפי סעיף 2(א1) לחוק האמור, וכן על מספר המקרים שבהם הוטלו קנסות בשל עבירה כאמור לפי סעיף 14א1 לחוק רישוי עסקים;</w:t>
      </w:r>
    </w:p>
    <w:p w14:paraId="7AA740EC" w14:textId="77777777" w:rsidR="009F5C99" w:rsidRDefault="009F5C99" w:rsidP="009F5C9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דיווח על צווי סגירה שניתנו לפי סעיף 23(א1) ו-(א2) לחוק רישוי עסקים.</w:t>
      </w:r>
    </w:p>
    <w:p w14:paraId="7D72A68D" w14:textId="77777777" w:rsidR="009F5C99" w:rsidRPr="00112A59" w:rsidRDefault="009F5C99" w:rsidP="009F5C99">
      <w:pPr>
        <w:pStyle w:val="P00"/>
        <w:spacing w:before="0"/>
        <w:ind w:left="0" w:right="1134"/>
        <w:rPr>
          <w:rStyle w:val="default"/>
          <w:rFonts w:cs="FrankRuehl" w:hint="cs"/>
          <w:vanish/>
          <w:color w:val="FF0000"/>
          <w:sz w:val="20"/>
          <w:szCs w:val="20"/>
          <w:shd w:val="clear" w:color="auto" w:fill="FFFF99"/>
          <w:rtl/>
        </w:rPr>
      </w:pPr>
      <w:bookmarkStart w:id="13" w:name="Rov17"/>
      <w:r w:rsidRPr="00112A59">
        <w:rPr>
          <w:rStyle w:val="default"/>
          <w:rFonts w:cs="FrankRuehl" w:hint="cs"/>
          <w:vanish/>
          <w:color w:val="FF0000"/>
          <w:sz w:val="20"/>
          <w:szCs w:val="20"/>
          <w:shd w:val="clear" w:color="auto" w:fill="FFFF99"/>
          <w:rtl/>
        </w:rPr>
        <w:t>מיום 1.5.2013</w:t>
      </w:r>
    </w:p>
    <w:p w14:paraId="326C6323" w14:textId="77777777" w:rsidR="009F5C99" w:rsidRPr="00112A59" w:rsidRDefault="009F5C99" w:rsidP="009F5C99">
      <w:pPr>
        <w:pStyle w:val="P00"/>
        <w:spacing w:before="0"/>
        <w:ind w:left="0" w:right="1134"/>
        <w:rPr>
          <w:rStyle w:val="default"/>
          <w:rFonts w:cs="FrankRuehl" w:hint="cs"/>
          <w:vanish/>
          <w:sz w:val="20"/>
          <w:szCs w:val="20"/>
          <w:shd w:val="clear" w:color="auto" w:fill="FFFF99"/>
          <w:rtl/>
        </w:rPr>
      </w:pPr>
      <w:r w:rsidRPr="00112A59">
        <w:rPr>
          <w:rStyle w:val="default"/>
          <w:rFonts w:cs="FrankRuehl" w:hint="cs"/>
          <w:b/>
          <w:bCs/>
          <w:vanish/>
          <w:sz w:val="20"/>
          <w:szCs w:val="20"/>
          <w:shd w:val="clear" w:color="auto" w:fill="FFFF99"/>
          <w:rtl/>
        </w:rPr>
        <w:t>תיקון מס' 1</w:t>
      </w:r>
    </w:p>
    <w:p w14:paraId="03240F8F" w14:textId="77777777" w:rsidR="009F5C99" w:rsidRPr="00112A59" w:rsidRDefault="009F5C99" w:rsidP="009F5C99">
      <w:pPr>
        <w:pStyle w:val="P00"/>
        <w:spacing w:before="0"/>
        <w:ind w:left="0" w:right="1134"/>
        <w:rPr>
          <w:rStyle w:val="default"/>
          <w:rFonts w:cs="FrankRuehl" w:hint="cs"/>
          <w:vanish/>
          <w:sz w:val="20"/>
          <w:szCs w:val="20"/>
          <w:shd w:val="clear" w:color="auto" w:fill="FFFF99"/>
          <w:rtl/>
        </w:rPr>
      </w:pPr>
      <w:hyperlink r:id="rId15" w:history="1">
        <w:r w:rsidRPr="00112A59">
          <w:rPr>
            <w:rStyle w:val="Hyperlink"/>
            <w:rFonts w:cs="FrankRuehl" w:hint="cs"/>
            <w:vanish/>
            <w:szCs w:val="20"/>
            <w:shd w:val="clear" w:color="auto" w:fill="FFFF99"/>
            <w:rtl/>
          </w:rPr>
          <w:t>ס"ח תשע"ג מס' 2393</w:t>
        </w:r>
      </w:hyperlink>
      <w:r w:rsidRPr="00112A59">
        <w:rPr>
          <w:rStyle w:val="default"/>
          <w:rFonts w:cs="FrankRuehl" w:hint="cs"/>
          <w:vanish/>
          <w:sz w:val="20"/>
          <w:szCs w:val="20"/>
          <w:shd w:val="clear" w:color="auto" w:fill="FFFF99"/>
          <w:rtl/>
        </w:rPr>
        <w:t xml:space="preserve"> מיום 1.5.2013 עמ' 58 (</w:t>
      </w:r>
      <w:hyperlink r:id="rId16" w:history="1">
        <w:r w:rsidRPr="00112A59">
          <w:rPr>
            <w:rStyle w:val="Hyperlink"/>
            <w:rFonts w:cs="FrankRuehl" w:hint="cs"/>
            <w:vanish/>
            <w:szCs w:val="20"/>
            <w:shd w:val="clear" w:color="auto" w:fill="FFFF99"/>
            <w:rtl/>
          </w:rPr>
          <w:t>ה"ח 750</w:t>
        </w:r>
      </w:hyperlink>
      <w:r w:rsidRPr="00112A59">
        <w:rPr>
          <w:rStyle w:val="default"/>
          <w:rFonts w:cs="FrankRuehl" w:hint="cs"/>
          <w:vanish/>
          <w:sz w:val="20"/>
          <w:szCs w:val="20"/>
          <w:shd w:val="clear" w:color="auto" w:fill="FFFF99"/>
          <w:rtl/>
        </w:rPr>
        <w:t>)</w:t>
      </w:r>
    </w:p>
    <w:p w14:paraId="19758C43" w14:textId="77777777" w:rsidR="009F5C99" w:rsidRPr="00112A59" w:rsidRDefault="009F5C99" w:rsidP="009F5C99">
      <w:pPr>
        <w:pStyle w:val="P00"/>
        <w:ind w:left="0" w:right="1134"/>
        <w:rPr>
          <w:rStyle w:val="default"/>
          <w:rFonts w:cs="FrankRuehl" w:hint="cs"/>
          <w:vanish/>
          <w:sz w:val="22"/>
          <w:szCs w:val="22"/>
          <w:shd w:val="clear" w:color="auto" w:fill="FFFF99"/>
          <w:rtl/>
        </w:rPr>
      </w:pPr>
      <w:r w:rsidRPr="00112A59">
        <w:rPr>
          <w:rStyle w:val="default"/>
          <w:rFonts w:cs="FrankRuehl" w:hint="cs"/>
          <w:vanish/>
          <w:sz w:val="22"/>
          <w:szCs w:val="22"/>
          <w:shd w:val="clear" w:color="auto" w:fill="FFFF99"/>
          <w:rtl/>
        </w:rPr>
        <w:t>7</w:t>
      </w:r>
      <w:r w:rsidRPr="00112A59">
        <w:rPr>
          <w:rStyle w:val="default"/>
          <w:rFonts w:cs="FrankRuehl"/>
          <w:vanish/>
          <w:sz w:val="22"/>
          <w:szCs w:val="22"/>
          <w:shd w:val="clear" w:color="auto" w:fill="FFFF99"/>
          <w:rtl/>
        </w:rPr>
        <w:t>.</w:t>
      </w:r>
      <w:r w:rsidRPr="00112A59">
        <w:rPr>
          <w:rStyle w:val="default"/>
          <w:rFonts w:cs="FrankRuehl"/>
          <w:vanish/>
          <w:sz w:val="22"/>
          <w:szCs w:val="22"/>
          <w:shd w:val="clear" w:color="auto" w:fill="FFFF99"/>
          <w:rtl/>
        </w:rPr>
        <w:tab/>
      </w:r>
      <w:r w:rsidRPr="00112A59">
        <w:rPr>
          <w:rStyle w:val="default"/>
          <w:rFonts w:cs="FrankRuehl" w:hint="cs"/>
          <w:vanish/>
          <w:sz w:val="22"/>
          <w:szCs w:val="22"/>
          <w:u w:val="single"/>
          <w:shd w:val="clear" w:color="auto" w:fill="FFFF99"/>
          <w:rtl/>
        </w:rPr>
        <w:t>(א)</w:t>
      </w:r>
      <w:r w:rsidRPr="00112A59">
        <w:rPr>
          <w:rStyle w:val="default"/>
          <w:rFonts w:cs="FrankRuehl" w:hint="cs"/>
          <w:vanish/>
          <w:sz w:val="22"/>
          <w:szCs w:val="22"/>
          <w:shd w:val="clear" w:color="auto" w:fill="FFFF99"/>
          <w:rtl/>
        </w:rPr>
        <w:tab/>
        <w:t xml:space="preserve">השר לביטחון הפנים ידווח, בתום 18 חודשים ובתום שלוש שנים מיום תחילתו של חוק זה, לוועדת הפנים והגנת הסביבה של הכנסת ולוועדת החוקה חוק ומשפט של הכנסת על השימוש בסמכות תפיסה והשמדה לפי סעיף 2, לרבות תדירות השימוש והשפעתו על המאבק בתופעת השכרות, וכן על מספר המקרים שבהם </w:t>
      </w:r>
      <w:r w:rsidRPr="00112A59">
        <w:rPr>
          <w:rStyle w:val="default"/>
          <w:rFonts w:cs="FrankRuehl"/>
          <w:vanish/>
          <w:sz w:val="22"/>
          <w:szCs w:val="22"/>
          <w:shd w:val="clear" w:color="auto" w:fill="FFFF99"/>
          <w:rtl/>
        </w:rPr>
        <w:t>–</w:t>
      </w:r>
    </w:p>
    <w:p w14:paraId="4D92995E" w14:textId="77777777" w:rsidR="009F5C99" w:rsidRPr="00112A59" w:rsidRDefault="009F5C99" w:rsidP="009F5C99">
      <w:pPr>
        <w:pStyle w:val="P00"/>
        <w:spacing w:before="0"/>
        <w:ind w:left="1021" w:right="1134"/>
        <w:rPr>
          <w:rStyle w:val="default"/>
          <w:rFonts w:cs="FrankRuehl" w:hint="cs"/>
          <w:vanish/>
          <w:sz w:val="22"/>
          <w:szCs w:val="22"/>
          <w:shd w:val="clear" w:color="auto" w:fill="FFFF99"/>
          <w:rtl/>
        </w:rPr>
      </w:pPr>
      <w:r w:rsidRPr="00112A59">
        <w:rPr>
          <w:rStyle w:val="default"/>
          <w:rFonts w:cs="FrankRuehl" w:hint="cs"/>
          <w:vanish/>
          <w:sz w:val="22"/>
          <w:szCs w:val="22"/>
          <w:shd w:val="clear" w:color="auto" w:fill="FFFF99"/>
          <w:rtl/>
        </w:rPr>
        <w:t>(1)</w:t>
      </w:r>
      <w:r w:rsidRPr="00112A59">
        <w:rPr>
          <w:rStyle w:val="default"/>
          <w:rFonts w:cs="FrankRuehl" w:hint="cs"/>
          <w:vanish/>
          <w:sz w:val="22"/>
          <w:szCs w:val="22"/>
          <w:shd w:val="clear" w:color="auto" w:fill="FFFF99"/>
          <w:rtl/>
        </w:rPr>
        <w:tab/>
        <w:t>נפתחו חקירות בשל חשד לעבירות לפי סעיף 193א לחוק העונשין;</w:t>
      </w:r>
    </w:p>
    <w:p w14:paraId="0C129061" w14:textId="77777777" w:rsidR="009F5C99" w:rsidRPr="00112A59" w:rsidRDefault="009F5C99" w:rsidP="009F5C99">
      <w:pPr>
        <w:pStyle w:val="P00"/>
        <w:spacing w:before="0"/>
        <w:ind w:left="1021" w:right="1134"/>
        <w:rPr>
          <w:rStyle w:val="default"/>
          <w:rFonts w:cs="FrankRuehl" w:hint="cs"/>
          <w:vanish/>
          <w:sz w:val="22"/>
          <w:szCs w:val="22"/>
          <w:shd w:val="clear" w:color="auto" w:fill="FFFF99"/>
          <w:rtl/>
        </w:rPr>
      </w:pPr>
      <w:r w:rsidRPr="00112A59">
        <w:rPr>
          <w:rStyle w:val="default"/>
          <w:rFonts w:cs="FrankRuehl" w:hint="cs"/>
          <w:vanish/>
          <w:sz w:val="22"/>
          <w:szCs w:val="22"/>
          <w:shd w:val="clear" w:color="auto" w:fill="FFFF99"/>
          <w:rtl/>
        </w:rPr>
        <w:t>(2)</w:t>
      </w:r>
      <w:r w:rsidRPr="00112A59">
        <w:rPr>
          <w:rStyle w:val="default"/>
          <w:rFonts w:cs="FrankRuehl" w:hint="cs"/>
          <w:vanish/>
          <w:sz w:val="22"/>
          <w:szCs w:val="22"/>
          <w:shd w:val="clear" w:color="auto" w:fill="FFFF99"/>
          <w:rtl/>
        </w:rPr>
        <w:tab/>
        <w:t>הסתיימו חקירות כאמור בפסקה (1) בלא הגשת כתב אישום והעילות לכך;</w:t>
      </w:r>
    </w:p>
    <w:p w14:paraId="3F399BED" w14:textId="77777777" w:rsidR="009F5C99" w:rsidRPr="00112A59" w:rsidRDefault="009F5C99" w:rsidP="009F5C99">
      <w:pPr>
        <w:pStyle w:val="P00"/>
        <w:spacing w:before="0"/>
        <w:ind w:left="1021" w:right="1134"/>
        <w:rPr>
          <w:rStyle w:val="default"/>
          <w:rFonts w:cs="FrankRuehl" w:hint="cs"/>
          <w:vanish/>
          <w:sz w:val="22"/>
          <w:szCs w:val="22"/>
          <w:shd w:val="clear" w:color="auto" w:fill="FFFF99"/>
          <w:rtl/>
        </w:rPr>
      </w:pPr>
      <w:r w:rsidRPr="00112A59">
        <w:rPr>
          <w:rStyle w:val="default"/>
          <w:rFonts w:cs="FrankRuehl" w:hint="cs"/>
          <w:vanish/>
          <w:sz w:val="22"/>
          <w:szCs w:val="22"/>
          <w:shd w:val="clear" w:color="auto" w:fill="FFFF99"/>
          <w:rtl/>
        </w:rPr>
        <w:t>(3)</w:t>
      </w:r>
      <w:r w:rsidRPr="00112A59">
        <w:rPr>
          <w:rStyle w:val="default"/>
          <w:rFonts w:cs="FrankRuehl" w:hint="cs"/>
          <w:vanish/>
          <w:sz w:val="22"/>
          <w:szCs w:val="22"/>
          <w:shd w:val="clear" w:color="auto" w:fill="FFFF99"/>
          <w:rtl/>
        </w:rPr>
        <w:tab/>
        <w:t>הוגשו כתבי אישום בשל עבירות כאמור בפסקה (1);</w:t>
      </w:r>
    </w:p>
    <w:p w14:paraId="201F9FE7" w14:textId="77777777" w:rsidR="009F5C99" w:rsidRPr="00112A59" w:rsidRDefault="009F5C99" w:rsidP="009F5C99">
      <w:pPr>
        <w:pStyle w:val="P00"/>
        <w:spacing w:before="0"/>
        <w:ind w:left="1021" w:right="1134"/>
        <w:rPr>
          <w:rStyle w:val="default"/>
          <w:rFonts w:cs="FrankRuehl" w:hint="cs"/>
          <w:vanish/>
          <w:sz w:val="22"/>
          <w:szCs w:val="22"/>
          <w:shd w:val="clear" w:color="auto" w:fill="FFFF99"/>
          <w:rtl/>
        </w:rPr>
      </w:pPr>
      <w:r w:rsidRPr="00112A59">
        <w:rPr>
          <w:rStyle w:val="default"/>
          <w:rFonts w:cs="FrankRuehl" w:hint="cs"/>
          <w:vanish/>
          <w:sz w:val="22"/>
          <w:szCs w:val="22"/>
          <w:shd w:val="clear" w:color="auto" w:fill="FFFF99"/>
          <w:rtl/>
        </w:rPr>
        <w:t>(4)</w:t>
      </w:r>
      <w:r w:rsidRPr="00112A59">
        <w:rPr>
          <w:rStyle w:val="default"/>
          <w:rFonts w:cs="FrankRuehl" w:hint="cs"/>
          <w:vanish/>
          <w:sz w:val="22"/>
          <w:szCs w:val="22"/>
          <w:shd w:val="clear" w:color="auto" w:fill="FFFF99"/>
          <w:rtl/>
        </w:rPr>
        <w:tab/>
        <w:t>ניתנו פסקי דין וגזרי דין בהליכים פליליים שהתקיימו בשל עבירות כאמור בפסקה (1), ותוצאותיהם.</w:t>
      </w:r>
    </w:p>
    <w:p w14:paraId="78461B5C" w14:textId="77777777" w:rsidR="009F5C99" w:rsidRPr="00112A59" w:rsidRDefault="009F5C99" w:rsidP="009F5C99">
      <w:pPr>
        <w:pStyle w:val="P00"/>
        <w:spacing w:before="0"/>
        <w:ind w:left="0" w:right="1134"/>
        <w:rPr>
          <w:rStyle w:val="default"/>
          <w:rFonts w:cs="FrankRuehl" w:hint="cs"/>
          <w:vanish/>
          <w:sz w:val="22"/>
          <w:szCs w:val="22"/>
          <w:u w:val="single"/>
          <w:shd w:val="clear" w:color="auto" w:fill="FFFF99"/>
          <w:rtl/>
        </w:rPr>
      </w:pPr>
      <w:r w:rsidRPr="00112A59">
        <w:rPr>
          <w:rStyle w:val="default"/>
          <w:rFonts w:cs="FrankRuehl" w:hint="cs"/>
          <w:vanish/>
          <w:sz w:val="22"/>
          <w:szCs w:val="22"/>
          <w:shd w:val="clear" w:color="auto" w:fill="FFFF99"/>
          <w:rtl/>
        </w:rPr>
        <w:tab/>
      </w:r>
      <w:r w:rsidRPr="00112A59">
        <w:rPr>
          <w:rStyle w:val="default"/>
          <w:rFonts w:cs="FrankRuehl" w:hint="cs"/>
          <w:vanish/>
          <w:sz w:val="22"/>
          <w:szCs w:val="22"/>
          <w:u w:val="single"/>
          <w:shd w:val="clear" w:color="auto" w:fill="FFFF99"/>
          <w:rtl/>
        </w:rPr>
        <w:t>(ב)</w:t>
      </w:r>
      <w:r w:rsidRPr="00112A59">
        <w:rPr>
          <w:rStyle w:val="default"/>
          <w:rFonts w:cs="FrankRuehl" w:hint="cs"/>
          <w:vanish/>
          <w:sz w:val="22"/>
          <w:szCs w:val="22"/>
          <w:u w:val="single"/>
          <w:shd w:val="clear" w:color="auto" w:fill="FFFF99"/>
          <w:rtl/>
        </w:rPr>
        <w:tab/>
        <w:t xml:space="preserve">במשך שלוש שנים מיום תחילתו של חוק המאבק בתופעת השכרות (הוראת שעה ותיקון חקיקה) (תיקון), התשע"ג-2013, יימסר דיווח כאמור בסעיף קטן (א), אחת לשנה, ונוסף על האמור באותו סעיף קטן יכלול גם </w:t>
      </w:r>
      <w:r w:rsidRPr="00112A59">
        <w:rPr>
          <w:rStyle w:val="default"/>
          <w:rFonts w:cs="FrankRuehl"/>
          <w:vanish/>
          <w:sz w:val="22"/>
          <w:szCs w:val="22"/>
          <w:u w:val="single"/>
          <w:shd w:val="clear" w:color="auto" w:fill="FFFF99"/>
          <w:rtl/>
        </w:rPr>
        <w:t>–</w:t>
      </w:r>
    </w:p>
    <w:p w14:paraId="34948C56" w14:textId="77777777" w:rsidR="009F5C99" w:rsidRPr="00112A59" w:rsidRDefault="009F5C99" w:rsidP="009F5C99">
      <w:pPr>
        <w:pStyle w:val="P00"/>
        <w:spacing w:before="0"/>
        <w:ind w:left="1021" w:right="1134"/>
        <w:rPr>
          <w:rStyle w:val="default"/>
          <w:rFonts w:cs="FrankRuehl" w:hint="cs"/>
          <w:vanish/>
          <w:sz w:val="22"/>
          <w:szCs w:val="22"/>
          <w:u w:val="single"/>
          <w:shd w:val="clear" w:color="auto" w:fill="FFFF99"/>
          <w:rtl/>
        </w:rPr>
      </w:pPr>
      <w:r w:rsidRPr="00112A59">
        <w:rPr>
          <w:rStyle w:val="default"/>
          <w:rFonts w:cs="FrankRuehl" w:hint="cs"/>
          <w:vanish/>
          <w:sz w:val="22"/>
          <w:szCs w:val="22"/>
          <w:u w:val="single"/>
          <w:shd w:val="clear" w:color="auto" w:fill="FFFF99"/>
          <w:rtl/>
        </w:rPr>
        <w:t>(1)</w:t>
      </w:r>
      <w:r w:rsidRPr="00112A59">
        <w:rPr>
          <w:rStyle w:val="default"/>
          <w:rFonts w:cs="FrankRuehl" w:hint="cs"/>
          <w:vanish/>
          <w:sz w:val="22"/>
          <w:szCs w:val="22"/>
          <w:u w:val="single"/>
          <w:shd w:val="clear" w:color="auto" w:fill="FFFF99"/>
          <w:rtl/>
        </w:rPr>
        <w:tab/>
        <w:t xml:space="preserve">לעניין השימוש בסמכות תפיסה והשמדה לפי סעיף 2 </w:t>
      </w:r>
      <w:r w:rsidRPr="00112A59">
        <w:rPr>
          <w:rStyle w:val="default"/>
          <w:rFonts w:cs="FrankRuehl"/>
          <w:vanish/>
          <w:sz w:val="22"/>
          <w:szCs w:val="22"/>
          <w:u w:val="single"/>
          <w:shd w:val="clear" w:color="auto" w:fill="FFFF99"/>
          <w:rtl/>
        </w:rPr>
        <w:t>–</w:t>
      </w:r>
      <w:r w:rsidRPr="00112A59">
        <w:rPr>
          <w:rStyle w:val="default"/>
          <w:rFonts w:cs="FrankRuehl" w:hint="cs"/>
          <w:vanish/>
          <w:sz w:val="22"/>
          <w:szCs w:val="22"/>
          <w:u w:val="single"/>
          <w:shd w:val="clear" w:color="auto" w:fill="FFFF99"/>
          <w:rtl/>
        </w:rPr>
        <w:t xml:space="preserve"> הבחנה בין פעולות שננקטו כלפי בגירים וכלפי קטינים;</w:t>
      </w:r>
    </w:p>
    <w:p w14:paraId="41D89915" w14:textId="77777777" w:rsidR="009F5C99" w:rsidRPr="00112A59" w:rsidRDefault="009F5C99" w:rsidP="009F5C99">
      <w:pPr>
        <w:pStyle w:val="P00"/>
        <w:spacing w:before="0"/>
        <w:ind w:left="1021" w:right="1134"/>
        <w:rPr>
          <w:rStyle w:val="default"/>
          <w:rFonts w:cs="FrankRuehl" w:hint="cs"/>
          <w:vanish/>
          <w:sz w:val="22"/>
          <w:szCs w:val="22"/>
          <w:u w:val="single"/>
          <w:shd w:val="clear" w:color="auto" w:fill="FFFF99"/>
          <w:rtl/>
        </w:rPr>
      </w:pPr>
      <w:r w:rsidRPr="00112A59">
        <w:rPr>
          <w:rStyle w:val="default"/>
          <w:rFonts w:cs="FrankRuehl" w:hint="cs"/>
          <w:vanish/>
          <w:sz w:val="22"/>
          <w:szCs w:val="22"/>
          <w:u w:val="single"/>
          <w:shd w:val="clear" w:color="auto" w:fill="FFFF99"/>
          <w:rtl/>
        </w:rPr>
        <w:t>(2)</w:t>
      </w:r>
      <w:r w:rsidRPr="00112A59">
        <w:rPr>
          <w:rStyle w:val="default"/>
          <w:rFonts w:cs="FrankRuehl" w:hint="cs"/>
          <w:vanish/>
          <w:sz w:val="22"/>
          <w:szCs w:val="22"/>
          <w:u w:val="single"/>
          <w:shd w:val="clear" w:color="auto" w:fill="FFFF99"/>
          <w:rtl/>
        </w:rPr>
        <w:tab/>
        <w:t xml:space="preserve">דיווח כאמור בפסקאות (1) עד (4) שבסעיף קטן (א) על הליכים בשל עבירה לפי סעיף 14 לחוק רישוי עסקים, התשכ"ח-1968 (בסעיף זה </w:t>
      </w:r>
      <w:r w:rsidRPr="00112A59">
        <w:rPr>
          <w:rStyle w:val="default"/>
          <w:rFonts w:cs="FrankRuehl"/>
          <w:vanish/>
          <w:sz w:val="22"/>
          <w:szCs w:val="22"/>
          <w:u w:val="single"/>
          <w:shd w:val="clear" w:color="auto" w:fill="FFFF99"/>
          <w:rtl/>
        </w:rPr>
        <w:t>–</w:t>
      </w:r>
      <w:r w:rsidRPr="00112A59">
        <w:rPr>
          <w:rStyle w:val="default"/>
          <w:rFonts w:cs="FrankRuehl" w:hint="cs"/>
          <w:vanish/>
          <w:sz w:val="22"/>
          <w:szCs w:val="22"/>
          <w:u w:val="single"/>
          <w:shd w:val="clear" w:color="auto" w:fill="FFFF99"/>
          <w:rtl/>
        </w:rPr>
        <w:t xml:space="preserve"> חוק רישוי עסקים) בשל הפרת חובה לפי סעיף 2(א1) לחוק האמור, וכן על מספר המקרים שבהם הוטלו קנסות בשל עבירה כאמור לפי סעיף 14א1 לחוק רישוי עסקים;</w:t>
      </w:r>
    </w:p>
    <w:p w14:paraId="2D758C4D" w14:textId="77777777" w:rsidR="009F5C99" w:rsidRPr="00112A59" w:rsidRDefault="009F5C99" w:rsidP="009F5C99">
      <w:pPr>
        <w:pStyle w:val="P00"/>
        <w:spacing w:before="0"/>
        <w:ind w:left="1021" w:right="1134"/>
        <w:rPr>
          <w:rStyle w:val="default"/>
          <w:rFonts w:cs="FrankRuehl"/>
          <w:vanish/>
          <w:sz w:val="22"/>
          <w:szCs w:val="22"/>
          <w:shd w:val="clear" w:color="auto" w:fill="FFFF99"/>
          <w:rtl/>
        </w:rPr>
      </w:pPr>
      <w:r w:rsidRPr="00112A59">
        <w:rPr>
          <w:rStyle w:val="default"/>
          <w:rFonts w:cs="FrankRuehl" w:hint="cs"/>
          <w:vanish/>
          <w:sz w:val="22"/>
          <w:szCs w:val="22"/>
          <w:u w:val="single"/>
          <w:shd w:val="clear" w:color="auto" w:fill="FFFF99"/>
          <w:rtl/>
        </w:rPr>
        <w:t>(3)</w:t>
      </w:r>
      <w:r w:rsidRPr="00112A59">
        <w:rPr>
          <w:rStyle w:val="default"/>
          <w:rFonts w:cs="FrankRuehl" w:hint="cs"/>
          <w:vanish/>
          <w:sz w:val="22"/>
          <w:szCs w:val="22"/>
          <w:u w:val="single"/>
          <w:shd w:val="clear" w:color="auto" w:fill="FFFF99"/>
          <w:rtl/>
        </w:rPr>
        <w:tab/>
        <w:t>דיווח על צווי סגירה שניתנו לפי סעיף 23(א1) ו-(א2) לחוק רישוי עסקים.</w:t>
      </w:r>
    </w:p>
    <w:p w14:paraId="11943F5E" w14:textId="77777777" w:rsidR="007449D4" w:rsidRPr="00112A59" w:rsidRDefault="007449D4" w:rsidP="007449D4">
      <w:pPr>
        <w:pStyle w:val="P00"/>
        <w:spacing w:before="0"/>
        <w:ind w:left="0" w:right="1134"/>
        <w:rPr>
          <w:rStyle w:val="default"/>
          <w:rFonts w:ascii="FrankRuehl" w:hAnsi="FrankRuehl" w:cs="FrankRuehl"/>
          <w:vanish/>
          <w:sz w:val="20"/>
          <w:szCs w:val="20"/>
          <w:shd w:val="clear" w:color="auto" w:fill="FFFF99"/>
          <w:rtl/>
        </w:rPr>
      </w:pPr>
    </w:p>
    <w:p w14:paraId="7F4FA102" w14:textId="77777777" w:rsidR="007449D4" w:rsidRPr="00112A59" w:rsidRDefault="007449D4" w:rsidP="007449D4">
      <w:pPr>
        <w:pStyle w:val="P00"/>
        <w:spacing w:before="0"/>
        <w:ind w:left="0" w:right="1134"/>
        <w:rPr>
          <w:rStyle w:val="default"/>
          <w:rFonts w:ascii="FrankRuehl" w:hAnsi="FrankRuehl" w:cs="FrankRuehl"/>
          <w:vanish/>
          <w:color w:val="FF0000"/>
          <w:sz w:val="20"/>
          <w:szCs w:val="20"/>
          <w:shd w:val="clear" w:color="auto" w:fill="FFFF99"/>
          <w:rtl/>
        </w:rPr>
      </w:pPr>
      <w:r w:rsidRPr="00112A59">
        <w:rPr>
          <w:rStyle w:val="default"/>
          <w:rFonts w:ascii="FrankRuehl" w:hAnsi="FrankRuehl" w:cs="FrankRuehl"/>
          <w:vanish/>
          <w:color w:val="FF0000"/>
          <w:sz w:val="20"/>
          <w:szCs w:val="20"/>
          <w:shd w:val="clear" w:color="auto" w:fill="FFFF99"/>
          <w:rtl/>
        </w:rPr>
        <w:t>מיום 12.10.2021 עד תום כהונתה של הכנסת ה-24</w:t>
      </w:r>
    </w:p>
    <w:p w14:paraId="2CE0BBD8" w14:textId="77777777" w:rsidR="007449D4" w:rsidRPr="00112A59" w:rsidRDefault="007449D4" w:rsidP="007449D4">
      <w:pPr>
        <w:pStyle w:val="P00"/>
        <w:spacing w:before="0"/>
        <w:ind w:left="0" w:right="1134"/>
        <w:rPr>
          <w:rStyle w:val="default"/>
          <w:rFonts w:ascii="FrankRuehl" w:hAnsi="FrankRuehl" w:cs="FrankRuehl"/>
          <w:vanish/>
          <w:sz w:val="20"/>
          <w:szCs w:val="20"/>
          <w:shd w:val="clear" w:color="auto" w:fill="FFFF99"/>
          <w:rtl/>
        </w:rPr>
      </w:pPr>
      <w:r w:rsidRPr="00112A59">
        <w:rPr>
          <w:rStyle w:val="default"/>
          <w:rFonts w:ascii="FrankRuehl" w:hAnsi="FrankRuehl" w:cs="FrankRuehl"/>
          <w:b/>
          <w:bCs/>
          <w:vanish/>
          <w:sz w:val="20"/>
          <w:szCs w:val="20"/>
          <w:shd w:val="clear" w:color="auto" w:fill="FFFF99"/>
          <w:rtl/>
        </w:rPr>
        <w:t xml:space="preserve">תיקון מס' </w:t>
      </w:r>
      <w:r w:rsidRPr="00112A59">
        <w:rPr>
          <w:rStyle w:val="default"/>
          <w:rFonts w:ascii="FrankRuehl" w:hAnsi="FrankRuehl" w:cs="FrankRuehl" w:hint="cs"/>
          <w:b/>
          <w:bCs/>
          <w:vanish/>
          <w:sz w:val="20"/>
          <w:szCs w:val="20"/>
          <w:shd w:val="clear" w:color="auto" w:fill="FFFF99"/>
          <w:rtl/>
        </w:rPr>
        <w:t>2</w:t>
      </w:r>
    </w:p>
    <w:p w14:paraId="44931985" w14:textId="77777777" w:rsidR="007449D4" w:rsidRPr="00112A59" w:rsidRDefault="007449D4" w:rsidP="007449D4">
      <w:pPr>
        <w:pStyle w:val="P00"/>
        <w:spacing w:before="0"/>
        <w:ind w:left="0" w:right="1134"/>
        <w:rPr>
          <w:rStyle w:val="default"/>
          <w:rFonts w:ascii="FrankRuehl" w:hAnsi="FrankRuehl" w:cs="FrankRuehl"/>
          <w:vanish/>
          <w:sz w:val="20"/>
          <w:szCs w:val="20"/>
          <w:shd w:val="clear" w:color="auto" w:fill="FFFF99"/>
          <w:rtl/>
        </w:rPr>
      </w:pPr>
      <w:hyperlink r:id="rId17" w:history="1">
        <w:r w:rsidRPr="00112A59">
          <w:rPr>
            <w:rStyle w:val="Hyperlink"/>
            <w:rFonts w:ascii="FrankRuehl" w:hAnsi="FrankRuehl" w:cs="FrankRuehl"/>
            <w:vanish/>
            <w:szCs w:val="20"/>
            <w:shd w:val="clear" w:color="auto" w:fill="FFFF99"/>
            <w:rtl/>
          </w:rPr>
          <w:t>ס"ח תשפ"ב מס' 2929</w:t>
        </w:r>
      </w:hyperlink>
      <w:r w:rsidRPr="00112A59">
        <w:rPr>
          <w:rStyle w:val="default"/>
          <w:rFonts w:ascii="FrankRuehl" w:hAnsi="FrankRuehl" w:cs="FrankRuehl"/>
          <w:vanish/>
          <w:sz w:val="20"/>
          <w:szCs w:val="20"/>
          <w:shd w:val="clear" w:color="auto" w:fill="FFFF99"/>
          <w:rtl/>
        </w:rPr>
        <w:t xml:space="preserve"> מיום 12.10.2021 עמ' </w:t>
      </w:r>
      <w:r w:rsidRPr="00112A59">
        <w:rPr>
          <w:rStyle w:val="default"/>
          <w:rFonts w:ascii="FrankRuehl" w:hAnsi="FrankRuehl" w:cs="FrankRuehl" w:hint="cs"/>
          <w:vanish/>
          <w:sz w:val="20"/>
          <w:szCs w:val="20"/>
          <w:shd w:val="clear" w:color="auto" w:fill="FFFF99"/>
          <w:rtl/>
        </w:rPr>
        <w:t>7</w:t>
      </w:r>
      <w:r w:rsidRPr="00112A59">
        <w:rPr>
          <w:rStyle w:val="default"/>
          <w:rFonts w:ascii="FrankRuehl" w:hAnsi="FrankRuehl" w:cs="FrankRuehl"/>
          <w:vanish/>
          <w:sz w:val="20"/>
          <w:szCs w:val="20"/>
          <w:shd w:val="clear" w:color="auto" w:fill="FFFF99"/>
          <w:rtl/>
        </w:rPr>
        <w:t xml:space="preserve"> (</w:t>
      </w:r>
      <w:hyperlink r:id="rId18" w:history="1">
        <w:r w:rsidRPr="00112A59">
          <w:rPr>
            <w:rStyle w:val="Hyperlink"/>
            <w:rFonts w:ascii="FrankRuehl" w:hAnsi="FrankRuehl" w:cs="FrankRuehl"/>
            <w:vanish/>
            <w:szCs w:val="20"/>
            <w:shd w:val="clear" w:color="auto" w:fill="FFFF99"/>
            <w:rtl/>
          </w:rPr>
          <w:t>ה"ח 873</w:t>
        </w:r>
      </w:hyperlink>
      <w:r w:rsidRPr="00112A59">
        <w:rPr>
          <w:rStyle w:val="default"/>
          <w:rFonts w:ascii="FrankRuehl" w:hAnsi="FrankRuehl" w:cs="FrankRuehl"/>
          <w:vanish/>
          <w:sz w:val="20"/>
          <w:szCs w:val="20"/>
          <w:shd w:val="clear" w:color="auto" w:fill="FFFF99"/>
          <w:rtl/>
        </w:rPr>
        <w:t>)</w:t>
      </w:r>
    </w:p>
    <w:p w14:paraId="5A46EB2A" w14:textId="77777777" w:rsidR="00B97E96" w:rsidRPr="00112A59" w:rsidRDefault="00B97E96" w:rsidP="00B97E96">
      <w:pPr>
        <w:pStyle w:val="P00"/>
        <w:ind w:left="0" w:right="1134"/>
        <w:rPr>
          <w:rStyle w:val="default"/>
          <w:rFonts w:cs="FrankRuehl"/>
          <w:vanish/>
          <w:sz w:val="22"/>
          <w:szCs w:val="22"/>
          <w:shd w:val="clear" w:color="auto" w:fill="FFFF99"/>
          <w:rtl/>
        </w:rPr>
      </w:pPr>
      <w:r w:rsidRPr="00112A59">
        <w:rPr>
          <w:rStyle w:val="default"/>
          <w:rFonts w:cs="FrankRuehl"/>
          <w:vanish/>
          <w:sz w:val="22"/>
          <w:szCs w:val="22"/>
          <w:shd w:val="clear" w:color="auto" w:fill="FFFF99"/>
          <w:rtl/>
        </w:rPr>
        <w:tab/>
      </w:r>
      <w:r w:rsidRPr="00112A59">
        <w:rPr>
          <w:rStyle w:val="default"/>
          <w:rFonts w:cs="FrankRuehl" w:hint="cs"/>
          <w:vanish/>
          <w:sz w:val="22"/>
          <w:szCs w:val="22"/>
          <w:shd w:val="clear" w:color="auto" w:fill="FFFF99"/>
          <w:rtl/>
        </w:rPr>
        <w:t>(א)</w:t>
      </w:r>
      <w:r w:rsidRPr="00112A59">
        <w:rPr>
          <w:rStyle w:val="default"/>
          <w:rFonts w:cs="FrankRuehl" w:hint="cs"/>
          <w:vanish/>
          <w:sz w:val="22"/>
          <w:szCs w:val="22"/>
          <w:shd w:val="clear" w:color="auto" w:fill="FFFF99"/>
          <w:rtl/>
        </w:rPr>
        <w:tab/>
        <w:t xml:space="preserve">השר לביטחון הפנים ידווח, בתום 18 חודשים ובתום שלוש שנים מיום תחילתו של חוק זה, לוועדת </w:t>
      </w:r>
      <w:r w:rsidRPr="00112A59">
        <w:rPr>
          <w:rStyle w:val="default"/>
          <w:rFonts w:cs="FrankRuehl" w:hint="cs"/>
          <w:strike/>
          <w:vanish/>
          <w:sz w:val="22"/>
          <w:szCs w:val="22"/>
          <w:shd w:val="clear" w:color="auto" w:fill="FFFF99"/>
          <w:rtl/>
        </w:rPr>
        <w:t>הפנים והגנת הסביבה</w:t>
      </w:r>
      <w:r w:rsidRPr="00112A59">
        <w:rPr>
          <w:rStyle w:val="default"/>
          <w:rFonts w:cs="FrankRuehl" w:hint="cs"/>
          <w:vanish/>
          <w:sz w:val="22"/>
          <w:szCs w:val="22"/>
          <w:shd w:val="clear" w:color="auto" w:fill="FFFF99"/>
          <w:rtl/>
        </w:rPr>
        <w:t xml:space="preserve"> </w:t>
      </w:r>
      <w:r w:rsidRPr="00112A59">
        <w:rPr>
          <w:rStyle w:val="default"/>
          <w:rFonts w:cs="FrankRuehl" w:hint="cs"/>
          <w:vanish/>
          <w:sz w:val="22"/>
          <w:szCs w:val="22"/>
          <w:u w:val="single"/>
          <w:shd w:val="clear" w:color="auto" w:fill="FFFF99"/>
          <w:rtl/>
        </w:rPr>
        <w:t>ביטחון הפנים</w:t>
      </w:r>
      <w:r w:rsidRPr="00112A59">
        <w:rPr>
          <w:rStyle w:val="default"/>
          <w:rFonts w:cs="FrankRuehl" w:hint="cs"/>
          <w:vanish/>
          <w:sz w:val="22"/>
          <w:szCs w:val="22"/>
          <w:shd w:val="clear" w:color="auto" w:fill="FFFF99"/>
          <w:rtl/>
        </w:rPr>
        <w:t xml:space="preserve"> של הכנסת ולוועדת החוקה חוק ומשפט של הכנסת על השימוש בסמכות תפיסה והשמדה לפי סעיף 2, לרבות תדירות השימוש והשפעתו על המאבק בתופעת השכרות, וכן על מספר המקרים שבהם </w:t>
      </w:r>
      <w:r w:rsidRPr="00112A59">
        <w:rPr>
          <w:rStyle w:val="default"/>
          <w:rFonts w:cs="FrankRuehl"/>
          <w:vanish/>
          <w:sz w:val="22"/>
          <w:szCs w:val="22"/>
          <w:shd w:val="clear" w:color="auto" w:fill="FFFF99"/>
          <w:rtl/>
        </w:rPr>
        <w:t>–</w:t>
      </w:r>
    </w:p>
    <w:p w14:paraId="6DB8A104" w14:textId="77777777" w:rsidR="00B97E96" w:rsidRPr="00112A59" w:rsidRDefault="00B97E96" w:rsidP="00B97E96">
      <w:pPr>
        <w:pStyle w:val="P00"/>
        <w:spacing w:before="0"/>
        <w:ind w:left="0" w:right="1134"/>
        <w:rPr>
          <w:rStyle w:val="big-number"/>
          <w:rFonts w:cs="FrankRuehl"/>
          <w:vanish/>
          <w:sz w:val="20"/>
          <w:szCs w:val="20"/>
          <w:shd w:val="clear" w:color="auto" w:fill="FFFF99"/>
          <w:rtl/>
        </w:rPr>
      </w:pPr>
    </w:p>
    <w:p w14:paraId="5F0612D5" w14:textId="77777777" w:rsidR="00B97E96" w:rsidRPr="00112A59" w:rsidRDefault="00B97E96" w:rsidP="00B97E96">
      <w:pPr>
        <w:pStyle w:val="P00"/>
        <w:tabs>
          <w:tab w:val="clear" w:pos="6259"/>
        </w:tabs>
        <w:spacing w:before="0"/>
        <w:ind w:left="0" w:right="1134"/>
        <w:rPr>
          <w:rFonts w:ascii="FrankRuehl" w:hAnsi="FrankRuehl" w:cs="FrankRuehl"/>
          <w:vanish/>
          <w:color w:val="FF0000"/>
          <w:szCs w:val="20"/>
          <w:shd w:val="clear" w:color="auto" w:fill="FFFF99"/>
          <w:rtl/>
        </w:rPr>
      </w:pPr>
      <w:r w:rsidRPr="00112A59">
        <w:rPr>
          <w:rFonts w:ascii="FrankRuehl" w:hAnsi="FrankRuehl" w:cs="FrankRuehl"/>
          <w:vanish/>
          <w:color w:val="FF0000"/>
          <w:szCs w:val="20"/>
          <w:shd w:val="clear" w:color="auto" w:fill="FFFF99"/>
          <w:rtl/>
        </w:rPr>
        <w:t>מיום 9.2.2023</w:t>
      </w:r>
    </w:p>
    <w:p w14:paraId="070D634D" w14:textId="77777777" w:rsidR="00B97E96" w:rsidRPr="00112A59" w:rsidRDefault="00B97E96" w:rsidP="00B97E96">
      <w:pPr>
        <w:pStyle w:val="P00"/>
        <w:tabs>
          <w:tab w:val="clear" w:pos="6259"/>
        </w:tabs>
        <w:spacing w:before="0"/>
        <w:ind w:left="0" w:right="1134"/>
        <w:rPr>
          <w:rFonts w:ascii="FrankRuehl" w:hAnsi="FrankRuehl" w:cs="FrankRuehl"/>
          <w:vanish/>
          <w:szCs w:val="20"/>
          <w:shd w:val="clear" w:color="auto" w:fill="FFFF99"/>
          <w:rtl/>
        </w:rPr>
      </w:pPr>
      <w:r w:rsidRPr="00112A59">
        <w:rPr>
          <w:rFonts w:ascii="FrankRuehl" w:hAnsi="FrankRuehl" w:cs="FrankRuehl"/>
          <w:b/>
          <w:bCs/>
          <w:vanish/>
          <w:szCs w:val="20"/>
          <w:shd w:val="clear" w:color="auto" w:fill="FFFF99"/>
          <w:rtl/>
        </w:rPr>
        <w:t xml:space="preserve">תיקון מס' </w:t>
      </w:r>
      <w:r w:rsidRPr="00112A59">
        <w:rPr>
          <w:rFonts w:ascii="FrankRuehl" w:hAnsi="FrankRuehl" w:cs="FrankRuehl" w:hint="cs"/>
          <w:b/>
          <w:bCs/>
          <w:vanish/>
          <w:szCs w:val="20"/>
          <w:shd w:val="clear" w:color="auto" w:fill="FFFF99"/>
          <w:rtl/>
        </w:rPr>
        <w:t>3</w:t>
      </w:r>
    </w:p>
    <w:p w14:paraId="27A7465C" w14:textId="77777777" w:rsidR="00B97E96" w:rsidRPr="00112A59" w:rsidRDefault="00B97E96" w:rsidP="00B97E96">
      <w:pPr>
        <w:pStyle w:val="P00"/>
        <w:tabs>
          <w:tab w:val="clear" w:pos="6259"/>
        </w:tabs>
        <w:spacing w:before="0"/>
        <w:ind w:left="0" w:right="1134"/>
        <w:rPr>
          <w:rFonts w:ascii="FrankRuehl" w:hAnsi="FrankRuehl" w:cs="FrankRuehl"/>
          <w:vanish/>
          <w:szCs w:val="20"/>
          <w:shd w:val="clear" w:color="auto" w:fill="FFFF99"/>
          <w:rtl/>
        </w:rPr>
      </w:pPr>
      <w:hyperlink r:id="rId19" w:history="1">
        <w:r w:rsidRPr="00112A59">
          <w:rPr>
            <w:rStyle w:val="Hyperlink"/>
            <w:rFonts w:ascii="FrankRuehl" w:hAnsi="FrankRuehl" w:cs="FrankRuehl"/>
            <w:vanish/>
            <w:szCs w:val="20"/>
            <w:shd w:val="clear" w:color="auto" w:fill="FFFF99"/>
            <w:rtl/>
          </w:rPr>
          <w:t>ס"ח תשפ"ג מס' 3016</w:t>
        </w:r>
      </w:hyperlink>
      <w:r w:rsidRPr="00112A59">
        <w:rPr>
          <w:rFonts w:ascii="FrankRuehl" w:hAnsi="FrankRuehl" w:cs="FrankRuehl"/>
          <w:vanish/>
          <w:szCs w:val="20"/>
          <w:shd w:val="clear" w:color="auto" w:fill="FFFF99"/>
          <w:rtl/>
        </w:rPr>
        <w:t xml:space="preserve"> מיום 9.2.2023 עמ' 2</w:t>
      </w:r>
      <w:r w:rsidRPr="00112A59">
        <w:rPr>
          <w:rFonts w:ascii="FrankRuehl" w:hAnsi="FrankRuehl" w:cs="FrankRuehl" w:hint="cs"/>
          <w:vanish/>
          <w:szCs w:val="20"/>
          <w:shd w:val="clear" w:color="auto" w:fill="FFFF99"/>
          <w:rtl/>
        </w:rPr>
        <w:t>4</w:t>
      </w:r>
      <w:r w:rsidRPr="00112A59">
        <w:rPr>
          <w:rFonts w:ascii="FrankRuehl" w:hAnsi="FrankRuehl" w:cs="FrankRuehl"/>
          <w:vanish/>
          <w:szCs w:val="20"/>
          <w:shd w:val="clear" w:color="auto" w:fill="FFFF99"/>
          <w:rtl/>
        </w:rPr>
        <w:t xml:space="preserve"> (</w:t>
      </w:r>
      <w:hyperlink r:id="rId20" w:history="1">
        <w:r w:rsidRPr="00112A59">
          <w:rPr>
            <w:rStyle w:val="Hyperlink"/>
            <w:rFonts w:ascii="FrankRuehl" w:hAnsi="FrankRuehl" w:cs="FrankRuehl"/>
            <w:vanish/>
            <w:szCs w:val="20"/>
            <w:shd w:val="clear" w:color="auto" w:fill="FFFF99"/>
            <w:rtl/>
          </w:rPr>
          <w:t>ה"ח 945</w:t>
        </w:r>
      </w:hyperlink>
      <w:r w:rsidRPr="00112A59">
        <w:rPr>
          <w:rFonts w:ascii="FrankRuehl" w:hAnsi="FrankRuehl" w:cs="FrankRuehl"/>
          <w:vanish/>
          <w:szCs w:val="20"/>
          <w:shd w:val="clear" w:color="auto" w:fill="FFFF99"/>
          <w:rtl/>
        </w:rPr>
        <w:t>)</w:t>
      </w:r>
    </w:p>
    <w:p w14:paraId="5742F28A" w14:textId="77777777" w:rsidR="007449D4" w:rsidRPr="007449D4" w:rsidRDefault="007449D4" w:rsidP="007449D4">
      <w:pPr>
        <w:pStyle w:val="P00"/>
        <w:ind w:left="0" w:right="1134"/>
        <w:rPr>
          <w:rStyle w:val="default"/>
          <w:rFonts w:cs="FrankRuehl" w:hint="cs"/>
          <w:sz w:val="2"/>
          <w:szCs w:val="2"/>
          <w:shd w:val="clear" w:color="auto" w:fill="FFFF99"/>
          <w:rtl/>
        </w:rPr>
      </w:pPr>
      <w:r w:rsidRPr="00112A59">
        <w:rPr>
          <w:rStyle w:val="default"/>
          <w:rFonts w:cs="FrankRuehl"/>
          <w:vanish/>
          <w:sz w:val="22"/>
          <w:szCs w:val="22"/>
          <w:shd w:val="clear" w:color="auto" w:fill="FFFF99"/>
          <w:rtl/>
        </w:rPr>
        <w:tab/>
      </w:r>
      <w:r w:rsidRPr="00112A59">
        <w:rPr>
          <w:rStyle w:val="default"/>
          <w:rFonts w:cs="FrankRuehl" w:hint="cs"/>
          <w:vanish/>
          <w:sz w:val="22"/>
          <w:szCs w:val="22"/>
          <w:shd w:val="clear" w:color="auto" w:fill="FFFF99"/>
          <w:rtl/>
        </w:rPr>
        <w:t>(א)</w:t>
      </w:r>
      <w:r w:rsidRPr="00112A59">
        <w:rPr>
          <w:rStyle w:val="default"/>
          <w:rFonts w:cs="FrankRuehl" w:hint="cs"/>
          <w:vanish/>
          <w:sz w:val="22"/>
          <w:szCs w:val="22"/>
          <w:shd w:val="clear" w:color="auto" w:fill="FFFF99"/>
          <w:rtl/>
        </w:rPr>
        <w:tab/>
        <w:t xml:space="preserve">השר לביטחון הפנים ידווח, בתום 18 חודשים ובתום שלוש שנים מיום תחילתו של חוק זה, </w:t>
      </w:r>
      <w:r w:rsidRPr="00112A59">
        <w:rPr>
          <w:rStyle w:val="default"/>
          <w:rFonts w:cs="FrankRuehl" w:hint="cs"/>
          <w:strike/>
          <w:vanish/>
          <w:sz w:val="22"/>
          <w:szCs w:val="22"/>
          <w:shd w:val="clear" w:color="auto" w:fill="FFFF99"/>
          <w:rtl/>
        </w:rPr>
        <w:t>לוועדת הפנים והגנת הסביבה</w:t>
      </w:r>
      <w:r w:rsidRPr="00112A59">
        <w:rPr>
          <w:rStyle w:val="default"/>
          <w:rFonts w:cs="FrankRuehl" w:hint="cs"/>
          <w:vanish/>
          <w:sz w:val="22"/>
          <w:szCs w:val="22"/>
          <w:shd w:val="clear" w:color="auto" w:fill="FFFF99"/>
          <w:rtl/>
        </w:rPr>
        <w:t xml:space="preserve"> </w:t>
      </w:r>
      <w:r w:rsidR="00B97E96" w:rsidRPr="00112A59">
        <w:rPr>
          <w:rStyle w:val="default"/>
          <w:rFonts w:cs="FrankRuehl" w:hint="cs"/>
          <w:vanish/>
          <w:sz w:val="22"/>
          <w:szCs w:val="22"/>
          <w:u w:val="single"/>
          <w:shd w:val="clear" w:color="auto" w:fill="FFFF99"/>
          <w:rtl/>
        </w:rPr>
        <w:t>לוועדה לביטחון לאומי</w:t>
      </w:r>
      <w:r w:rsidRPr="00112A59">
        <w:rPr>
          <w:rStyle w:val="default"/>
          <w:rFonts w:cs="FrankRuehl" w:hint="cs"/>
          <w:vanish/>
          <w:sz w:val="22"/>
          <w:szCs w:val="22"/>
          <w:shd w:val="clear" w:color="auto" w:fill="FFFF99"/>
          <w:rtl/>
        </w:rPr>
        <w:t xml:space="preserve"> של הכנסת ולוועדת החוקה חוק ומשפט של הכנסת על השימוש בסמכות תפיסה והשמדה לפי סעיף 2, לרבות תדירות השימוש והשפעתו על המאבק בתופעת השכרות, וכן על מספר המקרים שבהם </w:t>
      </w:r>
      <w:r w:rsidRPr="00112A59">
        <w:rPr>
          <w:rStyle w:val="default"/>
          <w:rFonts w:cs="FrankRuehl"/>
          <w:vanish/>
          <w:sz w:val="22"/>
          <w:szCs w:val="22"/>
          <w:shd w:val="clear" w:color="auto" w:fill="FFFF99"/>
          <w:rtl/>
        </w:rPr>
        <w:t>–</w:t>
      </w:r>
      <w:bookmarkEnd w:id="13"/>
    </w:p>
    <w:p w14:paraId="3E5F7E09" w14:textId="77777777" w:rsidR="006411A2" w:rsidRDefault="006411A2" w:rsidP="00D6143E">
      <w:pPr>
        <w:pStyle w:val="P00"/>
        <w:spacing w:before="72"/>
        <w:ind w:left="0" w:right="1134"/>
        <w:rPr>
          <w:rStyle w:val="default"/>
          <w:rFonts w:cs="FrankRuehl" w:hint="cs"/>
          <w:rtl/>
        </w:rPr>
      </w:pPr>
      <w:bookmarkStart w:id="14" w:name="Seif7"/>
      <w:bookmarkEnd w:id="14"/>
      <w:r>
        <w:rPr>
          <w:rFonts w:cs="Miriam"/>
          <w:lang w:val="he-IL"/>
        </w:rPr>
        <w:pict w14:anchorId="1175B776">
          <v:rect id="_x0000_s2267" style="position:absolute;left:0;text-align:left;margin-left:464.35pt;margin-top:7.1pt;width:75.05pt;height:24.05pt;z-index:251659264" o:allowincell="f" filled="f" stroked="f" strokecolor="lime" strokeweight=".25pt">
            <v:textbox style="mso-next-textbox:#_x0000_s2267" inset="0,0,0,0">
              <w:txbxContent>
                <w:p w14:paraId="6CD389B2" w14:textId="77777777" w:rsidR="007A5885" w:rsidRDefault="009F5C99" w:rsidP="009F5C99">
                  <w:pPr>
                    <w:spacing w:line="160" w:lineRule="exact"/>
                    <w:rPr>
                      <w:rFonts w:cs="Miriam" w:hint="cs"/>
                      <w:noProof/>
                      <w:sz w:val="18"/>
                      <w:szCs w:val="18"/>
                      <w:rtl/>
                    </w:rPr>
                  </w:pPr>
                  <w:r>
                    <w:rPr>
                      <w:rFonts w:cs="Miriam" w:hint="cs"/>
                      <w:sz w:val="18"/>
                      <w:szCs w:val="18"/>
                      <w:rtl/>
                    </w:rPr>
                    <w:t>תחילה</w:t>
                  </w:r>
                </w:p>
                <w:p w14:paraId="0A566415" w14:textId="77777777" w:rsidR="009F5C99" w:rsidRDefault="009F5C99" w:rsidP="009F5C99">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תשע"ג-2013</w:t>
                  </w:r>
                </w:p>
              </w:txbxContent>
            </v:textbox>
            <w10:anchorlock/>
          </v:rect>
        </w:pict>
      </w:r>
      <w:r w:rsidR="003C0065">
        <w:rPr>
          <w:rStyle w:val="big-number"/>
          <w:rFonts w:cs="Miriam" w:hint="cs"/>
          <w:rtl/>
        </w:rPr>
        <w:t>8</w:t>
      </w:r>
      <w:r>
        <w:rPr>
          <w:rStyle w:val="big-number"/>
          <w:rFonts w:cs="FrankRuehl"/>
          <w:sz w:val="26"/>
          <w:szCs w:val="26"/>
          <w:rtl/>
        </w:rPr>
        <w:t>.</w:t>
      </w:r>
      <w:r>
        <w:rPr>
          <w:rStyle w:val="big-number"/>
          <w:rFonts w:cs="FrankRuehl"/>
          <w:sz w:val="26"/>
          <w:szCs w:val="26"/>
          <w:rtl/>
        </w:rPr>
        <w:tab/>
      </w:r>
      <w:r w:rsidR="003C0065">
        <w:rPr>
          <w:rStyle w:val="default"/>
          <w:rFonts w:cs="FrankRuehl" w:hint="cs"/>
          <w:rtl/>
        </w:rPr>
        <w:t>(א)</w:t>
      </w:r>
      <w:r w:rsidR="003C0065">
        <w:rPr>
          <w:rStyle w:val="default"/>
          <w:rFonts w:cs="FrankRuehl" w:hint="cs"/>
          <w:rtl/>
        </w:rPr>
        <w:tab/>
      </w:r>
      <w:r w:rsidR="00D6143E">
        <w:rPr>
          <w:rStyle w:val="default"/>
          <w:rFonts w:cs="FrankRuehl" w:hint="cs"/>
          <w:rtl/>
        </w:rPr>
        <w:t xml:space="preserve">תחילתו של חוק זה 14 ימים מיום פרסומו (להלן </w:t>
      </w:r>
      <w:r w:rsidR="00D6143E">
        <w:rPr>
          <w:rStyle w:val="default"/>
          <w:rFonts w:cs="FrankRuehl"/>
          <w:rtl/>
        </w:rPr>
        <w:t>–</w:t>
      </w:r>
      <w:r w:rsidR="00D6143E">
        <w:rPr>
          <w:rStyle w:val="default"/>
          <w:rFonts w:cs="FrankRuehl" w:hint="cs"/>
          <w:rtl/>
        </w:rPr>
        <w:t xml:space="preserve"> יום התחילה).</w:t>
      </w:r>
    </w:p>
    <w:p w14:paraId="7072FA4E" w14:textId="77777777" w:rsidR="00D6143E" w:rsidRDefault="009F5C99" w:rsidP="009F5C99">
      <w:pPr>
        <w:pStyle w:val="P00"/>
        <w:spacing w:before="72"/>
        <w:ind w:left="0" w:right="1134"/>
        <w:rPr>
          <w:rStyle w:val="default"/>
          <w:rFonts w:cs="FrankRuehl" w:hint="cs"/>
          <w:rtl/>
        </w:rPr>
      </w:pPr>
      <w:r>
        <w:rPr>
          <w:rFonts w:cs="FrankRuehl" w:hint="cs"/>
          <w:sz w:val="26"/>
          <w:rtl/>
          <w:lang w:eastAsia="en-US"/>
        </w:rPr>
        <w:pict w14:anchorId="6C0BE129">
          <v:shape id="_x0000_s2369" type="#_x0000_t202" style="position:absolute;left:0;text-align:left;margin-left:470.35pt;margin-top:7.1pt;width:1in;height:18pt;z-index:251663360" filled="f" stroked="f">
            <v:textbox inset="1mm,0,1mm,0">
              <w:txbxContent>
                <w:p w14:paraId="4DCD9E2B" w14:textId="77777777" w:rsidR="009F5C99" w:rsidRDefault="009F5C99" w:rsidP="009F5C99">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תשע"ג-2013</w:t>
                  </w:r>
                </w:p>
              </w:txbxContent>
            </v:textbox>
          </v:shape>
        </w:pict>
      </w:r>
      <w:r w:rsidR="00D6143E">
        <w:rPr>
          <w:rStyle w:val="default"/>
          <w:rFonts w:cs="FrankRuehl" w:hint="cs"/>
          <w:rtl/>
        </w:rPr>
        <w:tab/>
        <w:t>(ב)</w:t>
      </w:r>
      <w:r w:rsidR="00D6143E">
        <w:rPr>
          <w:rStyle w:val="default"/>
          <w:rFonts w:cs="FrankRuehl" w:hint="cs"/>
          <w:rtl/>
        </w:rPr>
        <w:tab/>
      </w:r>
      <w:r>
        <w:rPr>
          <w:rStyle w:val="default"/>
          <w:rFonts w:cs="FrankRuehl" w:hint="cs"/>
          <w:rtl/>
        </w:rPr>
        <w:t>(בוטל)</w:t>
      </w:r>
      <w:r w:rsidR="00D6143E">
        <w:rPr>
          <w:rStyle w:val="default"/>
          <w:rFonts w:cs="FrankRuehl" w:hint="cs"/>
          <w:rtl/>
        </w:rPr>
        <w:t>.</w:t>
      </w:r>
    </w:p>
    <w:p w14:paraId="05F976C7" w14:textId="77777777" w:rsidR="009F5C99" w:rsidRPr="00112A59" w:rsidRDefault="009F5C99" w:rsidP="009F5C99">
      <w:pPr>
        <w:pStyle w:val="P00"/>
        <w:spacing w:before="0"/>
        <w:ind w:left="0" w:right="1134"/>
        <w:rPr>
          <w:rStyle w:val="default"/>
          <w:rFonts w:cs="FrankRuehl" w:hint="cs"/>
          <w:vanish/>
          <w:color w:val="FF0000"/>
          <w:sz w:val="20"/>
          <w:szCs w:val="20"/>
          <w:shd w:val="clear" w:color="auto" w:fill="FFFF99"/>
          <w:rtl/>
        </w:rPr>
      </w:pPr>
      <w:bookmarkStart w:id="15" w:name="Rov15"/>
      <w:r w:rsidRPr="00112A59">
        <w:rPr>
          <w:rStyle w:val="default"/>
          <w:rFonts w:cs="FrankRuehl" w:hint="cs"/>
          <w:vanish/>
          <w:color w:val="FF0000"/>
          <w:sz w:val="20"/>
          <w:szCs w:val="20"/>
          <w:shd w:val="clear" w:color="auto" w:fill="FFFF99"/>
          <w:rtl/>
        </w:rPr>
        <w:t>מיום 1.5.2013</w:t>
      </w:r>
    </w:p>
    <w:p w14:paraId="4E4E6E42" w14:textId="77777777" w:rsidR="009F5C99" w:rsidRPr="00112A59" w:rsidRDefault="009F5C99" w:rsidP="009F5C99">
      <w:pPr>
        <w:pStyle w:val="P00"/>
        <w:spacing w:before="0"/>
        <w:ind w:left="0" w:right="1134"/>
        <w:rPr>
          <w:rStyle w:val="default"/>
          <w:rFonts w:cs="FrankRuehl" w:hint="cs"/>
          <w:vanish/>
          <w:sz w:val="20"/>
          <w:szCs w:val="20"/>
          <w:shd w:val="clear" w:color="auto" w:fill="FFFF99"/>
          <w:rtl/>
        </w:rPr>
      </w:pPr>
      <w:r w:rsidRPr="00112A59">
        <w:rPr>
          <w:rStyle w:val="default"/>
          <w:rFonts w:cs="FrankRuehl" w:hint="cs"/>
          <w:b/>
          <w:bCs/>
          <w:vanish/>
          <w:sz w:val="20"/>
          <w:szCs w:val="20"/>
          <w:shd w:val="clear" w:color="auto" w:fill="FFFF99"/>
          <w:rtl/>
        </w:rPr>
        <w:t>תיקון מס' 1</w:t>
      </w:r>
    </w:p>
    <w:p w14:paraId="31E8BC22" w14:textId="77777777" w:rsidR="009F5C99" w:rsidRPr="00112A59" w:rsidRDefault="009F5C99" w:rsidP="009F5C99">
      <w:pPr>
        <w:pStyle w:val="P00"/>
        <w:spacing w:before="0"/>
        <w:ind w:left="0" w:right="1134"/>
        <w:rPr>
          <w:rStyle w:val="default"/>
          <w:rFonts w:cs="FrankRuehl" w:hint="cs"/>
          <w:vanish/>
          <w:sz w:val="20"/>
          <w:szCs w:val="20"/>
          <w:shd w:val="clear" w:color="auto" w:fill="FFFF99"/>
          <w:rtl/>
        </w:rPr>
      </w:pPr>
      <w:hyperlink r:id="rId21" w:history="1">
        <w:r w:rsidRPr="00112A59">
          <w:rPr>
            <w:rStyle w:val="Hyperlink"/>
            <w:rFonts w:cs="FrankRuehl" w:hint="cs"/>
            <w:vanish/>
            <w:szCs w:val="20"/>
            <w:shd w:val="clear" w:color="auto" w:fill="FFFF99"/>
            <w:rtl/>
          </w:rPr>
          <w:t>ס"ח תשע"ג מס' 2393</w:t>
        </w:r>
      </w:hyperlink>
      <w:r w:rsidRPr="00112A59">
        <w:rPr>
          <w:rStyle w:val="default"/>
          <w:rFonts w:cs="FrankRuehl" w:hint="cs"/>
          <w:vanish/>
          <w:sz w:val="20"/>
          <w:szCs w:val="20"/>
          <w:shd w:val="clear" w:color="auto" w:fill="FFFF99"/>
          <w:rtl/>
        </w:rPr>
        <w:t xml:space="preserve"> מיום 1.5.2013 עמ' 59 (</w:t>
      </w:r>
      <w:hyperlink r:id="rId22" w:history="1">
        <w:r w:rsidRPr="00112A59">
          <w:rPr>
            <w:rStyle w:val="Hyperlink"/>
            <w:rFonts w:cs="FrankRuehl" w:hint="cs"/>
            <w:vanish/>
            <w:szCs w:val="20"/>
            <w:shd w:val="clear" w:color="auto" w:fill="FFFF99"/>
            <w:rtl/>
          </w:rPr>
          <w:t>ה"ח 750</w:t>
        </w:r>
      </w:hyperlink>
      <w:r w:rsidRPr="00112A59">
        <w:rPr>
          <w:rStyle w:val="default"/>
          <w:rFonts w:cs="FrankRuehl" w:hint="cs"/>
          <w:vanish/>
          <w:sz w:val="20"/>
          <w:szCs w:val="20"/>
          <w:shd w:val="clear" w:color="auto" w:fill="FFFF99"/>
          <w:rtl/>
        </w:rPr>
        <w:t>)</w:t>
      </w:r>
    </w:p>
    <w:p w14:paraId="48863C3E" w14:textId="77777777" w:rsidR="009F5C99" w:rsidRPr="00112A59" w:rsidRDefault="009F5C99" w:rsidP="009F5C99">
      <w:pPr>
        <w:pStyle w:val="P00"/>
        <w:ind w:left="0" w:right="1134"/>
        <w:rPr>
          <w:rStyle w:val="default"/>
          <w:rFonts w:cs="Miriam" w:hint="cs"/>
          <w:vanish/>
          <w:sz w:val="16"/>
          <w:szCs w:val="16"/>
          <w:shd w:val="clear" w:color="auto" w:fill="FFFF99"/>
          <w:rtl/>
        </w:rPr>
      </w:pPr>
      <w:r w:rsidRPr="00112A59">
        <w:rPr>
          <w:rStyle w:val="default"/>
          <w:rFonts w:cs="Miriam" w:hint="cs"/>
          <w:vanish/>
          <w:sz w:val="16"/>
          <w:szCs w:val="16"/>
          <w:shd w:val="clear" w:color="auto" w:fill="FFFF99"/>
          <w:rtl/>
        </w:rPr>
        <w:t xml:space="preserve">תחילה </w:t>
      </w:r>
      <w:r w:rsidRPr="00112A59">
        <w:rPr>
          <w:rStyle w:val="default"/>
          <w:rFonts w:cs="Miriam" w:hint="cs"/>
          <w:strike/>
          <w:vanish/>
          <w:sz w:val="16"/>
          <w:szCs w:val="16"/>
          <w:shd w:val="clear" w:color="auto" w:fill="FFFF99"/>
          <w:rtl/>
        </w:rPr>
        <w:t>ותוקף</w:t>
      </w:r>
    </w:p>
    <w:p w14:paraId="60C1F2D5" w14:textId="77777777" w:rsidR="009F5C99" w:rsidRPr="00112A59" w:rsidRDefault="009F5C99" w:rsidP="009F5C99">
      <w:pPr>
        <w:pStyle w:val="P00"/>
        <w:spacing w:before="0"/>
        <w:ind w:left="0" w:right="1134"/>
        <w:rPr>
          <w:rStyle w:val="default"/>
          <w:rFonts w:cs="FrankRuehl" w:hint="cs"/>
          <w:vanish/>
          <w:sz w:val="22"/>
          <w:szCs w:val="22"/>
          <w:shd w:val="clear" w:color="auto" w:fill="FFFF99"/>
          <w:rtl/>
        </w:rPr>
      </w:pPr>
      <w:r w:rsidRPr="00112A59">
        <w:rPr>
          <w:rStyle w:val="default"/>
          <w:rFonts w:cs="FrankRuehl" w:hint="cs"/>
          <w:vanish/>
          <w:sz w:val="22"/>
          <w:szCs w:val="22"/>
          <w:shd w:val="clear" w:color="auto" w:fill="FFFF99"/>
          <w:rtl/>
        </w:rPr>
        <w:t>8</w:t>
      </w:r>
      <w:r w:rsidRPr="00112A59">
        <w:rPr>
          <w:rStyle w:val="default"/>
          <w:rFonts w:cs="FrankRuehl"/>
          <w:vanish/>
          <w:sz w:val="22"/>
          <w:szCs w:val="22"/>
          <w:shd w:val="clear" w:color="auto" w:fill="FFFF99"/>
          <w:rtl/>
        </w:rPr>
        <w:t>.</w:t>
      </w:r>
      <w:r w:rsidRPr="00112A59">
        <w:rPr>
          <w:rStyle w:val="default"/>
          <w:rFonts w:cs="FrankRuehl"/>
          <w:vanish/>
          <w:sz w:val="22"/>
          <w:szCs w:val="22"/>
          <w:shd w:val="clear" w:color="auto" w:fill="FFFF99"/>
          <w:rtl/>
        </w:rPr>
        <w:tab/>
      </w:r>
      <w:r w:rsidRPr="00112A59">
        <w:rPr>
          <w:rStyle w:val="default"/>
          <w:rFonts w:cs="FrankRuehl" w:hint="cs"/>
          <w:vanish/>
          <w:sz w:val="22"/>
          <w:szCs w:val="22"/>
          <w:shd w:val="clear" w:color="auto" w:fill="FFFF99"/>
          <w:rtl/>
        </w:rPr>
        <w:t>(א)</w:t>
      </w:r>
      <w:r w:rsidRPr="00112A59">
        <w:rPr>
          <w:rStyle w:val="default"/>
          <w:rFonts w:cs="FrankRuehl" w:hint="cs"/>
          <w:vanish/>
          <w:sz w:val="22"/>
          <w:szCs w:val="22"/>
          <w:shd w:val="clear" w:color="auto" w:fill="FFFF99"/>
          <w:rtl/>
        </w:rPr>
        <w:tab/>
        <w:t xml:space="preserve">תחילתו של חוק זה 14 ימים מיום פרסומו (להלן </w:t>
      </w:r>
      <w:r w:rsidRPr="00112A59">
        <w:rPr>
          <w:rStyle w:val="default"/>
          <w:rFonts w:cs="FrankRuehl"/>
          <w:vanish/>
          <w:sz w:val="22"/>
          <w:szCs w:val="22"/>
          <w:shd w:val="clear" w:color="auto" w:fill="FFFF99"/>
          <w:rtl/>
        </w:rPr>
        <w:t>–</w:t>
      </w:r>
      <w:r w:rsidRPr="00112A59">
        <w:rPr>
          <w:rStyle w:val="default"/>
          <w:rFonts w:cs="FrankRuehl" w:hint="cs"/>
          <w:vanish/>
          <w:sz w:val="22"/>
          <w:szCs w:val="22"/>
          <w:shd w:val="clear" w:color="auto" w:fill="FFFF99"/>
          <w:rtl/>
        </w:rPr>
        <w:t xml:space="preserve"> יום התחילה).</w:t>
      </w:r>
    </w:p>
    <w:p w14:paraId="0B8DCD31" w14:textId="77777777" w:rsidR="009F5C99" w:rsidRPr="009F5C99" w:rsidRDefault="009F5C99" w:rsidP="009F5C99">
      <w:pPr>
        <w:pStyle w:val="P00"/>
        <w:spacing w:before="0"/>
        <w:ind w:left="0" w:right="1134"/>
        <w:rPr>
          <w:rStyle w:val="default"/>
          <w:rFonts w:cs="FrankRuehl" w:hint="cs"/>
          <w:strike/>
          <w:sz w:val="2"/>
          <w:szCs w:val="2"/>
          <w:rtl/>
        </w:rPr>
      </w:pPr>
      <w:r w:rsidRPr="00112A59">
        <w:rPr>
          <w:rStyle w:val="default"/>
          <w:rFonts w:cs="FrankRuehl" w:hint="cs"/>
          <w:vanish/>
          <w:sz w:val="22"/>
          <w:szCs w:val="22"/>
          <w:shd w:val="clear" w:color="auto" w:fill="FFFF99"/>
          <w:rtl/>
        </w:rPr>
        <w:tab/>
      </w:r>
      <w:r w:rsidRPr="00112A59">
        <w:rPr>
          <w:rStyle w:val="default"/>
          <w:rFonts w:cs="FrankRuehl" w:hint="cs"/>
          <w:strike/>
          <w:vanish/>
          <w:sz w:val="22"/>
          <w:szCs w:val="22"/>
          <w:shd w:val="clear" w:color="auto" w:fill="FFFF99"/>
          <w:rtl/>
        </w:rPr>
        <w:t>(ב)</w:t>
      </w:r>
      <w:r w:rsidRPr="00112A59">
        <w:rPr>
          <w:rStyle w:val="default"/>
          <w:rFonts w:cs="FrankRuehl" w:hint="cs"/>
          <w:strike/>
          <w:vanish/>
          <w:sz w:val="22"/>
          <w:szCs w:val="22"/>
          <w:shd w:val="clear" w:color="auto" w:fill="FFFF99"/>
          <w:rtl/>
        </w:rPr>
        <w:tab/>
        <w:t>הוראות חוק זה, למעט הוראות פרק ב', יעמדו בתוקפן עד תום שלוש שנים מיום התחילה.</w:t>
      </w:r>
      <w:bookmarkEnd w:id="15"/>
    </w:p>
    <w:p w14:paraId="5A059549" w14:textId="77777777" w:rsidR="00E65ADA" w:rsidRDefault="00E65ADA">
      <w:pPr>
        <w:pStyle w:val="P00"/>
        <w:spacing w:before="72"/>
        <w:ind w:left="0" w:right="1134"/>
        <w:rPr>
          <w:rStyle w:val="default"/>
          <w:rFonts w:cs="FrankRuehl" w:hint="cs"/>
          <w:rtl/>
        </w:rPr>
      </w:pPr>
    </w:p>
    <w:p w14:paraId="233CEC1C" w14:textId="77777777" w:rsidR="00FA49BF" w:rsidRPr="00D6143E" w:rsidRDefault="00D6143E" w:rsidP="00D6143E">
      <w:pPr>
        <w:pStyle w:val="P00"/>
        <w:spacing w:before="72"/>
        <w:ind w:left="0" w:right="1134"/>
        <w:jc w:val="center"/>
        <w:rPr>
          <w:rStyle w:val="default"/>
          <w:rFonts w:cs="FrankRuehl" w:hint="cs"/>
          <w:b/>
          <w:bCs/>
          <w:rtl/>
        </w:rPr>
      </w:pPr>
      <w:r w:rsidRPr="00D6143E">
        <w:rPr>
          <w:rStyle w:val="default"/>
          <w:rFonts w:cs="FrankRuehl" w:hint="cs"/>
          <w:b/>
          <w:bCs/>
          <w:rtl/>
        </w:rPr>
        <w:t>תוספת</w:t>
      </w:r>
    </w:p>
    <w:p w14:paraId="733AB8CC" w14:textId="77777777" w:rsidR="00D6143E" w:rsidRPr="00D6143E" w:rsidRDefault="00D6143E" w:rsidP="00D6143E">
      <w:pPr>
        <w:pStyle w:val="P00"/>
        <w:spacing w:before="72"/>
        <w:ind w:left="0" w:right="1134"/>
        <w:jc w:val="center"/>
        <w:rPr>
          <w:rStyle w:val="default"/>
          <w:rFonts w:cs="FrankRuehl" w:hint="cs"/>
          <w:sz w:val="24"/>
          <w:szCs w:val="24"/>
          <w:rtl/>
        </w:rPr>
      </w:pPr>
      <w:r w:rsidRPr="00D6143E">
        <w:rPr>
          <w:rStyle w:val="default"/>
          <w:rFonts w:cs="FrankRuehl" w:hint="cs"/>
          <w:sz w:val="24"/>
          <w:szCs w:val="24"/>
          <w:rtl/>
        </w:rPr>
        <w:t>(ההגדרה "מקום ציבורי" שבסעיף 1)</w:t>
      </w:r>
    </w:p>
    <w:p w14:paraId="2ED06704" w14:textId="77777777" w:rsidR="00FA49BF" w:rsidRDefault="00D6143E">
      <w:pPr>
        <w:pStyle w:val="P00"/>
        <w:spacing w:before="72"/>
        <w:ind w:left="0" w:right="1134"/>
        <w:rPr>
          <w:rStyle w:val="default"/>
          <w:rFonts w:cs="FrankRuehl" w:hint="cs"/>
          <w:rtl/>
        </w:rPr>
      </w:pPr>
      <w:r>
        <w:rPr>
          <w:rStyle w:val="default"/>
          <w:rFonts w:cs="FrankRuehl" w:hint="cs"/>
          <w:rtl/>
        </w:rPr>
        <w:tab/>
        <w:t>מקום שבו פועל עסק טעון רישוי לפי חוק רישוי עסקים, התשכ"ח-1968, כמפורט להלן:</w:t>
      </w:r>
    </w:p>
    <w:p w14:paraId="0C0CD681" w14:textId="77777777" w:rsidR="00D6143E" w:rsidRDefault="00D6143E">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מסעדה, בית קפה, הסעדה;</w:t>
      </w:r>
    </w:p>
    <w:p w14:paraId="638DC25E" w14:textId="77777777" w:rsidR="00D6143E" w:rsidRDefault="00D6143E">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עסק למכירת משקאות משכרים המוגשים לצריכה במקום;</w:t>
      </w:r>
    </w:p>
    <w:p w14:paraId="50667022" w14:textId="77777777" w:rsidR="00D6143E" w:rsidRDefault="00D6143E">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בית מלון, פנסיון, אכסניה, ובלבד שאינם מיועדים בעיקרם למתן שירותי אירוח ולינה לקטינים;</w:t>
      </w:r>
    </w:p>
    <w:p w14:paraId="04E895FB" w14:textId="77777777" w:rsidR="00D6143E" w:rsidRDefault="00D6143E">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מקום לעריכת מופעים וירידים, קולנוע, תאטרון, אמפיתאטרון, מקום אחר לעריכת אירועי תרבות בידור וספורט תחת כיפת השמים, דיסקוטק, יריד שלא במבנה של קבע וכלי שיט המשמש לעינוג ציבורי;</w:t>
      </w:r>
    </w:p>
    <w:p w14:paraId="69CE788D" w14:textId="77777777" w:rsidR="00D6143E" w:rsidRDefault="00D6143E">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אולם שמחות וגן אירועים.</w:t>
      </w:r>
    </w:p>
    <w:p w14:paraId="30F3A62B" w14:textId="77777777" w:rsidR="00FA49BF" w:rsidRDefault="00FA49BF">
      <w:pPr>
        <w:pStyle w:val="P00"/>
        <w:spacing w:before="72"/>
        <w:ind w:left="0" w:right="1134"/>
        <w:rPr>
          <w:rStyle w:val="default"/>
          <w:rFonts w:cs="FrankRuehl" w:hint="cs"/>
          <w:rtl/>
        </w:rPr>
      </w:pPr>
    </w:p>
    <w:p w14:paraId="0E3A9D82" w14:textId="77777777" w:rsidR="00D078B6" w:rsidRDefault="00D078B6">
      <w:pPr>
        <w:pStyle w:val="P00"/>
        <w:spacing w:before="72"/>
        <w:ind w:left="0" w:right="1134"/>
        <w:rPr>
          <w:rStyle w:val="default"/>
          <w:rFonts w:cs="FrankRuehl" w:hint="cs"/>
          <w:rtl/>
        </w:rPr>
      </w:pPr>
    </w:p>
    <w:p w14:paraId="79B94E8D" w14:textId="77777777" w:rsidR="00FA0F95" w:rsidRPr="001B185E" w:rsidRDefault="00FA0F95" w:rsidP="005B7DC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Fonts w:cs="FrankRuehl" w:hint="cs"/>
          <w:rtl/>
        </w:rPr>
        <w:tab/>
      </w:r>
      <w:r w:rsidRPr="001B185E">
        <w:rPr>
          <w:rFonts w:cs="FrankRuehl" w:hint="cs"/>
          <w:rtl/>
        </w:rPr>
        <w:tab/>
      </w:r>
      <w:r>
        <w:rPr>
          <w:rFonts w:cs="FrankRuehl" w:hint="cs"/>
          <w:rtl/>
        </w:rPr>
        <w:t>בנימין נתניהו</w:t>
      </w:r>
      <w:r w:rsidR="00D6143E">
        <w:rPr>
          <w:rFonts w:cs="FrankRuehl" w:hint="cs"/>
          <w:rtl/>
        </w:rPr>
        <w:tab/>
      </w:r>
      <w:r w:rsidR="00D6143E">
        <w:rPr>
          <w:rFonts w:cs="FrankRuehl" w:hint="cs"/>
          <w:rtl/>
        </w:rPr>
        <w:tab/>
        <w:t>יצחק אהרונוביץ</w:t>
      </w:r>
    </w:p>
    <w:p w14:paraId="55077E9E" w14:textId="77777777" w:rsidR="00FA0F95" w:rsidRDefault="00FA0F95" w:rsidP="005B7DC1">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sidR="00D6143E">
        <w:rPr>
          <w:rFonts w:cs="FrankRuehl" w:hint="cs"/>
          <w:sz w:val="22"/>
          <w:szCs w:val="22"/>
          <w:rtl/>
        </w:rPr>
        <w:tab/>
      </w:r>
      <w:r w:rsidR="00D6143E">
        <w:rPr>
          <w:rFonts w:cs="FrankRuehl" w:hint="cs"/>
          <w:sz w:val="22"/>
          <w:szCs w:val="22"/>
          <w:rtl/>
        </w:rPr>
        <w:tab/>
        <w:t>השר לביטחון הפנים</w:t>
      </w:r>
    </w:p>
    <w:p w14:paraId="1B9155EF" w14:textId="77777777" w:rsidR="00D078B6" w:rsidRPr="001B185E" w:rsidRDefault="00D078B6" w:rsidP="00FA0F95">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sidRPr="001B185E">
        <w:rPr>
          <w:rFonts w:cs="FrankRuehl" w:hint="cs"/>
          <w:rtl/>
        </w:rPr>
        <w:tab/>
      </w:r>
      <w:r w:rsidR="00FA0F95">
        <w:rPr>
          <w:rFonts w:cs="FrankRuehl" w:hint="cs"/>
          <w:rtl/>
        </w:rPr>
        <w:t>שמעון פרס</w:t>
      </w:r>
      <w:r w:rsidR="00FA0F95">
        <w:rPr>
          <w:rFonts w:cs="FrankRuehl" w:hint="cs"/>
          <w:rtl/>
        </w:rPr>
        <w:tab/>
      </w:r>
      <w:r w:rsidR="00FA0F95">
        <w:rPr>
          <w:rFonts w:cs="FrankRuehl" w:hint="cs"/>
          <w:rtl/>
        </w:rPr>
        <w:tab/>
        <w:t>ראובן ריבלין</w:t>
      </w:r>
    </w:p>
    <w:p w14:paraId="319A5FD5" w14:textId="77777777" w:rsidR="00D078B6" w:rsidRDefault="00D078B6" w:rsidP="00FA0F9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FA0F95">
        <w:rPr>
          <w:rFonts w:cs="FrankRuehl" w:hint="cs"/>
          <w:sz w:val="22"/>
          <w:szCs w:val="22"/>
          <w:rtl/>
        </w:rPr>
        <w:t>נשיא המדינה</w:t>
      </w:r>
      <w:r w:rsidR="00FA0F95">
        <w:rPr>
          <w:rFonts w:cs="FrankRuehl" w:hint="cs"/>
          <w:sz w:val="22"/>
          <w:szCs w:val="22"/>
          <w:rtl/>
        </w:rPr>
        <w:tab/>
      </w:r>
      <w:r w:rsidR="00FA0F95">
        <w:rPr>
          <w:rFonts w:cs="FrankRuehl" w:hint="cs"/>
          <w:sz w:val="22"/>
          <w:szCs w:val="22"/>
          <w:rtl/>
        </w:rPr>
        <w:tab/>
        <w:t>יושב ראש הכנסת</w:t>
      </w:r>
    </w:p>
    <w:p w14:paraId="0A5B3617" w14:textId="77777777" w:rsidR="00FA49BF" w:rsidRDefault="00FA49BF">
      <w:pPr>
        <w:pStyle w:val="sig-0"/>
        <w:tabs>
          <w:tab w:val="clear" w:pos="4820"/>
          <w:tab w:val="center" w:pos="5670"/>
        </w:tabs>
        <w:ind w:left="0" w:right="1134"/>
        <w:rPr>
          <w:rFonts w:cs="FrankRuehl" w:hint="cs"/>
          <w:sz w:val="26"/>
          <w:rtl/>
        </w:rPr>
      </w:pPr>
    </w:p>
    <w:p w14:paraId="6836BD4F" w14:textId="77777777" w:rsidR="00D078B6" w:rsidRDefault="00D078B6">
      <w:pPr>
        <w:pStyle w:val="sig-0"/>
        <w:tabs>
          <w:tab w:val="clear" w:pos="4820"/>
          <w:tab w:val="center" w:pos="5670"/>
        </w:tabs>
        <w:ind w:left="0" w:right="1134"/>
        <w:rPr>
          <w:rFonts w:cs="FrankRuehl" w:hint="cs"/>
          <w:sz w:val="26"/>
          <w:rtl/>
        </w:rPr>
      </w:pPr>
    </w:p>
    <w:p w14:paraId="17097F4E" w14:textId="77777777" w:rsidR="0046429A" w:rsidRDefault="0046429A">
      <w:pPr>
        <w:pStyle w:val="sig-0"/>
        <w:ind w:left="0" w:right="1134"/>
        <w:rPr>
          <w:rFonts w:cs="FrankRuehl"/>
          <w:sz w:val="26"/>
          <w:rtl/>
        </w:rPr>
      </w:pPr>
    </w:p>
    <w:p w14:paraId="6265939F" w14:textId="77777777" w:rsidR="006F400F" w:rsidRDefault="006F400F" w:rsidP="006F400F">
      <w:pPr>
        <w:pStyle w:val="sig-0"/>
        <w:ind w:left="0" w:right="1134"/>
        <w:jc w:val="center"/>
        <w:rPr>
          <w:rFonts w:cs="David"/>
          <w:color w:val="0000FF"/>
          <w:sz w:val="26"/>
          <w:szCs w:val="24"/>
          <w:u w:val="single"/>
          <w:rtl/>
        </w:rPr>
      </w:pPr>
      <w:hyperlink r:id="rId23" w:history="1">
        <w:r>
          <w:rPr>
            <w:rFonts w:cs="David"/>
            <w:color w:val="0000FF"/>
            <w:sz w:val="26"/>
            <w:szCs w:val="24"/>
            <w:u w:val="single"/>
            <w:rtl/>
          </w:rPr>
          <w:t>הודעה למנויים על עריכה ושינויים במסמכי פסיקה, חקיקה ועוד באתר נבו - הקש כאן</w:t>
        </w:r>
      </w:hyperlink>
    </w:p>
    <w:p w14:paraId="6DDD351E" w14:textId="77777777" w:rsidR="00D078B6" w:rsidRPr="006F400F" w:rsidRDefault="00D078B6" w:rsidP="006F400F">
      <w:pPr>
        <w:pStyle w:val="sig-0"/>
        <w:ind w:left="0" w:right="1134"/>
        <w:jc w:val="center"/>
        <w:rPr>
          <w:rFonts w:cs="David"/>
          <w:color w:val="0000FF"/>
          <w:sz w:val="26"/>
          <w:szCs w:val="24"/>
          <w:u w:val="single"/>
          <w:rtl/>
        </w:rPr>
      </w:pPr>
    </w:p>
    <w:sectPr w:rsidR="00D078B6" w:rsidRPr="006F400F">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023FB" w14:textId="77777777" w:rsidR="00CD234C" w:rsidRDefault="00CD234C">
      <w:r>
        <w:separator/>
      </w:r>
    </w:p>
  </w:endnote>
  <w:endnote w:type="continuationSeparator" w:id="0">
    <w:p w14:paraId="4F067D5F" w14:textId="77777777" w:rsidR="00CD234C" w:rsidRDefault="00CD2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CF3F5" w14:textId="77777777" w:rsidR="007A5885" w:rsidRDefault="007A58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D87F511" w14:textId="77777777" w:rsidR="007A5885" w:rsidRDefault="007A58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D158C7" w14:textId="77777777" w:rsidR="007A5885" w:rsidRDefault="007A58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400F">
      <w:rPr>
        <w:rFonts w:cs="TopType Jerushalmi"/>
        <w:noProof/>
        <w:color w:val="000000"/>
        <w:sz w:val="14"/>
        <w:szCs w:val="14"/>
      </w:rPr>
      <w:t>Z:\00000000000000000000000=2014------------------------\05-May\2014-05-28\LawsForHofit\01\500_300.doc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5CBCA" w14:textId="77777777" w:rsidR="007A5885" w:rsidRDefault="007A58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43EBB">
      <w:rPr>
        <w:rFonts w:hAnsi="FrankRuehl" w:cs="FrankRuehl"/>
        <w:noProof/>
        <w:sz w:val="24"/>
        <w:szCs w:val="24"/>
        <w:rtl/>
      </w:rPr>
      <w:t>3</w:t>
    </w:r>
    <w:r>
      <w:rPr>
        <w:rFonts w:hAnsi="FrankRuehl" w:cs="FrankRuehl"/>
        <w:sz w:val="24"/>
        <w:szCs w:val="24"/>
        <w:rtl/>
      </w:rPr>
      <w:fldChar w:fldCharType="end"/>
    </w:r>
  </w:p>
  <w:p w14:paraId="3767D827" w14:textId="77777777" w:rsidR="007A5885" w:rsidRDefault="007A58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DC2CDB" w14:textId="77777777" w:rsidR="007A5885" w:rsidRDefault="007A58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400F">
      <w:rPr>
        <w:rFonts w:cs="TopType Jerushalmi"/>
        <w:noProof/>
        <w:color w:val="000000"/>
        <w:sz w:val="14"/>
        <w:szCs w:val="14"/>
      </w:rPr>
      <w:t>Z:\00000000000000000000000=2014------------------------\05-May\2014-05-28\LawsForHofit\01\500_300.doc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E40C" w14:textId="77777777" w:rsidR="00CD234C" w:rsidRDefault="00CD234C">
      <w:r>
        <w:separator/>
      </w:r>
    </w:p>
  </w:footnote>
  <w:footnote w:type="continuationSeparator" w:id="0">
    <w:p w14:paraId="6F142887" w14:textId="77777777" w:rsidR="00CD234C" w:rsidRDefault="00CD234C">
      <w:r>
        <w:continuationSeparator/>
      </w:r>
    </w:p>
  </w:footnote>
  <w:footnote w:id="1">
    <w:p w14:paraId="49458558" w14:textId="77777777" w:rsidR="00426E60" w:rsidRDefault="007A5885" w:rsidP="00426E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426E60">
          <w:rPr>
            <w:rStyle w:val="Hyperlink"/>
            <w:rFonts w:cs="FrankRuehl" w:hint="cs"/>
            <w:rtl/>
          </w:rPr>
          <w:t>ס"ח תש"ע מס' 223</w:t>
        </w:r>
        <w:r w:rsidR="00564525" w:rsidRPr="00426E60">
          <w:rPr>
            <w:rStyle w:val="Hyperlink"/>
            <w:rFonts w:cs="FrankRuehl" w:hint="cs"/>
            <w:rtl/>
          </w:rPr>
          <w:t>8</w:t>
        </w:r>
      </w:hyperlink>
      <w:r>
        <w:rPr>
          <w:rFonts w:cs="FrankRuehl" w:hint="cs"/>
          <w:rtl/>
        </w:rPr>
        <w:t xml:space="preserve"> מיום 24.3.2010 עמ' </w:t>
      </w:r>
      <w:r w:rsidR="00564525">
        <w:rPr>
          <w:rFonts w:cs="FrankRuehl" w:hint="cs"/>
          <w:rtl/>
        </w:rPr>
        <w:t>504</w:t>
      </w:r>
      <w:r>
        <w:rPr>
          <w:rFonts w:cs="FrankRuehl" w:hint="cs"/>
          <w:rtl/>
        </w:rPr>
        <w:t xml:space="preserve"> (</w:t>
      </w:r>
      <w:hyperlink r:id="rId2" w:history="1">
        <w:r w:rsidRPr="00306897">
          <w:rPr>
            <w:rStyle w:val="Hyperlink"/>
            <w:rFonts w:cs="FrankRuehl" w:hint="cs"/>
            <w:rtl/>
          </w:rPr>
          <w:t>ה"ח הממשלה תש"ע מס' 4</w:t>
        </w:r>
        <w:r w:rsidR="00564525">
          <w:rPr>
            <w:rStyle w:val="Hyperlink"/>
            <w:rFonts w:cs="FrankRuehl" w:hint="cs"/>
            <w:rtl/>
          </w:rPr>
          <w:t>69</w:t>
        </w:r>
      </w:hyperlink>
      <w:r>
        <w:rPr>
          <w:rFonts w:cs="FrankRuehl" w:hint="cs"/>
          <w:rtl/>
        </w:rPr>
        <w:t xml:space="preserve"> עמ' </w:t>
      </w:r>
      <w:r w:rsidR="00564525">
        <w:rPr>
          <w:rFonts w:cs="FrankRuehl" w:hint="cs"/>
          <w:rtl/>
        </w:rPr>
        <w:t xml:space="preserve">116, </w:t>
      </w:r>
      <w:hyperlink r:id="rId3" w:history="1">
        <w:r w:rsidR="00564525" w:rsidRPr="00564525">
          <w:rPr>
            <w:rStyle w:val="Hyperlink"/>
            <w:rFonts w:cs="FrankRuehl" w:hint="cs"/>
            <w:rtl/>
          </w:rPr>
          <w:t>ה"ח הכנסת תש"ע מס' 311</w:t>
        </w:r>
      </w:hyperlink>
      <w:r w:rsidR="00564525">
        <w:rPr>
          <w:rFonts w:cs="FrankRuehl" w:hint="cs"/>
          <w:rtl/>
        </w:rPr>
        <w:t xml:space="preserve"> עמ' 119</w:t>
      </w:r>
      <w:r>
        <w:rPr>
          <w:rFonts w:cs="FrankRuehl" w:hint="cs"/>
          <w:rtl/>
        </w:rPr>
        <w:t>).</w:t>
      </w:r>
    </w:p>
    <w:p w14:paraId="0B19605B" w14:textId="77777777" w:rsidR="00B862C7" w:rsidRDefault="006A5600" w:rsidP="00B862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4" w:history="1">
        <w:r w:rsidRPr="00B862C7">
          <w:rPr>
            <w:rStyle w:val="Hyperlink"/>
            <w:rFonts w:cs="FrankRuehl" w:hint="cs"/>
            <w:rtl/>
          </w:rPr>
          <w:t>ס"ח תשע"ג מס' 2393</w:t>
        </w:r>
      </w:hyperlink>
      <w:r>
        <w:rPr>
          <w:rFonts w:cs="FrankRuehl" w:hint="cs"/>
          <w:rtl/>
        </w:rPr>
        <w:t xml:space="preserve"> מיום 1.5.2013 עמ' 58 (</w:t>
      </w:r>
      <w:hyperlink r:id="rId5" w:history="1">
        <w:r w:rsidRPr="006A5600">
          <w:rPr>
            <w:rStyle w:val="Hyperlink"/>
            <w:rFonts w:cs="FrankRuehl" w:hint="cs"/>
            <w:rtl/>
          </w:rPr>
          <w:t>ה"ח הממשלה תשע"ג מס' 750</w:t>
        </w:r>
      </w:hyperlink>
      <w:r>
        <w:rPr>
          <w:rFonts w:cs="FrankRuehl" w:hint="cs"/>
          <w:rtl/>
        </w:rPr>
        <w:t xml:space="preserve"> עמ' 272) </w:t>
      </w:r>
      <w:r>
        <w:rPr>
          <w:rFonts w:cs="FrankRuehl"/>
          <w:rtl/>
        </w:rPr>
        <w:t>–</w:t>
      </w:r>
      <w:r>
        <w:rPr>
          <w:rFonts w:cs="FrankRuehl" w:hint="cs"/>
          <w:rtl/>
        </w:rPr>
        <w:t xml:space="preserve"> תיקון מס' 1; ר' סעיף 6 לענין תחילה והוראת שעה.</w:t>
      </w:r>
    </w:p>
    <w:p w14:paraId="67923F4D" w14:textId="77777777" w:rsidR="006A5600" w:rsidRDefault="006A5600" w:rsidP="006A5600">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rtl/>
        </w:rPr>
      </w:pPr>
      <w:r>
        <w:rPr>
          <w:rFonts w:cs="FrankRuehl" w:hint="cs"/>
          <w:rtl/>
        </w:rPr>
        <w:t>6. תחילתו של סעיף 5(2)(ג) ביום תחילתו של חוק רישוי עסקים (תיקון מס' 27), התשע"א-2010, ועד אותו מועד יקראו את סעיף 14ב(ב) לחוק רישוי עסקים, התשכ"ח-1968, כך שבמקום "לא יפחת מ-9,000 שקלים חדשים" יבוא "לא יעלה על עשרה אחוזים מסכום הקנס המרבי הקבוע לאותה עבירה".</w:t>
      </w:r>
    </w:p>
    <w:bookmarkStart w:id="0" w:name="_Hlk85010526"/>
    <w:p w14:paraId="7093484F" w14:textId="77777777" w:rsidR="002D2359" w:rsidRDefault="002D2359" w:rsidP="002D235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http://www.nevo.co.il/Law_word/law14/LAW-2929.pdf</w:instrText>
      </w:r>
      <w:r>
        <w:rPr>
          <w:rFonts w:ascii="FrankRuehl" w:hAnsi="FrankRuehl" w:cs="FrankRuehl"/>
          <w:rtl/>
        </w:rPr>
        <w:instrText xml:space="preserve">" </w:instrText>
      </w:r>
      <w:r w:rsidR="0048200B" w:rsidRPr="002D2359">
        <w:rPr>
          <w:rFonts w:ascii="FrankRuehl" w:hAnsi="FrankRuehl" w:cs="FrankRuehl"/>
        </w:rPr>
      </w:r>
      <w:r>
        <w:rPr>
          <w:rFonts w:ascii="FrankRuehl" w:hAnsi="FrankRuehl" w:cs="FrankRuehl"/>
          <w:rtl/>
        </w:rPr>
        <w:fldChar w:fldCharType="separate"/>
      </w:r>
      <w:r w:rsidR="007449D4" w:rsidRPr="002D2359">
        <w:rPr>
          <w:rStyle w:val="Hyperlink"/>
          <w:rFonts w:ascii="FrankRuehl" w:hAnsi="FrankRuehl" w:cs="FrankRuehl"/>
          <w:rtl/>
        </w:rPr>
        <w:t>ס"ח תשפ"ב מס' 2929</w:t>
      </w:r>
      <w:r>
        <w:rPr>
          <w:rFonts w:ascii="FrankRuehl" w:hAnsi="FrankRuehl" w:cs="FrankRuehl"/>
          <w:rtl/>
        </w:rPr>
        <w:fldChar w:fldCharType="end"/>
      </w:r>
      <w:r w:rsidR="007449D4" w:rsidRPr="00F45F8A">
        <w:rPr>
          <w:rFonts w:ascii="FrankRuehl" w:hAnsi="FrankRuehl" w:cs="FrankRuehl"/>
          <w:rtl/>
        </w:rPr>
        <w:t xml:space="preserve"> מיום 12.10.2021 עמ' </w:t>
      </w:r>
      <w:r w:rsidR="007449D4">
        <w:rPr>
          <w:rFonts w:ascii="FrankRuehl" w:hAnsi="FrankRuehl" w:cs="FrankRuehl" w:hint="cs"/>
          <w:rtl/>
        </w:rPr>
        <w:t>7</w:t>
      </w:r>
      <w:r w:rsidR="007449D4" w:rsidRPr="00F45F8A">
        <w:rPr>
          <w:rFonts w:ascii="FrankRuehl" w:hAnsi="FrankRuehl" w:cs="FrankRuehl"/>
          <w:rtl/>
        </w:rPr>
        <w:t xml:space="preserve"> (</w:t>
      </w:r>
      <w:hyperlink r:id="rId6" w:history="1">
        <w:r w:rsidR="007449D4" w:rsidRPr="00F45F8A">
          <w:rPr>
            <w:rStyle w:val="Hyperlink"/>
            <w:rFonts w:ascii="FrankRuehl" w:hAnsi="FrankRuehl" w:cs="FrankRuehl"/>
            <w:rtl/>
          </w:rPr>
          <w:t>ה"ח הכנסת תשפ"א מס' 873</w:t>
        </w:r>
      </w:hyperlink>
      <w:r w:rsidR="007449D4" w:rsidRPr="00F45F8A">
        <w:rPr>
          <w:rFonts w:ascii="FrankRuehl" w:hAnsi="FrankRuehl" w:cs="FrankRuehl"/>
          <w:rtl/>
        </w:rPr>
        <w:t xml:space="preserve"> עמ' 92)</w:t>
      </w:r>
      <w:bookmarkEnd w:id="0"/>
      <w:r w:rsidR="007449D4" w:rsidRPr="00F45F8A">
        <w:rPr>
          <w:rFonts w:ascii="FrankRuehl" w:hAnsi="FrankRuehl" w:cs="FrankRuehl"/>
          <w:rtl/>
        </w:rPr>
        <w:t xml:space="preserve"> – תיקון מס' </w:t>
      </w:r>
      <w:r w:rsidR="007449D4">
        <w:rPr>
          <w:rFonts w:ascii="FrankRuehl" w:hAnsi="FrankRuehl" w:cs="FrankRuehl" w:hint="cs"/>
          <w:rtl/>
        </w:rPr>
        <w:t>2</w:t>
      </w:r>
      <w:r w:rsidR="007449D4" w:rsidRPr="00F45F8A">
        <w:rPr>
          <w:rFonts w:ascii="FrankRuehl" w:hAnsi="FrankRuehl" w:cs="FrankRuehl"/>
          <w:rtl/>
        </w:rPr>
        <w:t xml:space="preserve"> בסעיף 1</w:t>
      </w:r>
      <w:r w:rsidR="007449D4">
        <w:rPr>
          <w:rFonts w:ascii="FrankRuehl" w:hAnsi="FrankRuehl" w:cs="FrankRuehl" w:hint="cs"/>
          <w:rtl/>
        </w:rPr>
        <w:t>6</w:t>
      </w:r>
      <w:r w:rsidR="007449D4" w:rsidRPr="00F45F8A">
        <w:rPr>
          <w:rFonts w:ascii="FrankRuehl" w:hAnsi="FrankRuehl" w:cs="FrankRuehl"/>
          <w:rtl/>
        </w:rPr>
        <w:t xml:space="preserve"> לחוק לעניין ועדות הכנסת (תיקוני חקיקה והוראת שעה), תשפ"ב-2021; תוקפו בתקופת כהונתה של הכנסת ה-24.</w:t>
      </w:r>
    </w:p>
    <w:p w14:paraId="5D49E8A5" w14:textId="77777777" w:rsidR="00343EBB" w:rsidRPr="002D2359" w:rsidRDefault="00343EBB" w:rsidP="00343EB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7" w:history="1">
        <w:r w:rsidR="00B97E96" w:rsidRPr="00343EBB">
          <w:rPr>
            <w:rStyle w:val="Hyperlink"/>
            <w:rFonts w:ascii="FrankRuehl" w:hAnsi="FrankRuehl" w:cs="FrankRuehl"/>
            <w:rtl/>
          </w:rPr>
          <w:t>ס"ח תשפ"ג מס' 3016</w:t>
        </w:r>
      </w:hyperlink>
      <w:r w:rsidR="00B97E96" w:rsidRPr="00DE3969">
        <w:rPr>
          <w:rFonts w:ascii="FrankRuehl" w:hAnsi="FrankRuehl" w:cs="FrankRuehl"/>
          <w:rtl/>
        </w:rPr>
        <w:t xml:space="preserve"> מיום 9.2.2023 עמ' 24 (</w:t>
      </w:r>
      <w:hyperlink r:id="rId8" w:history="1">
        <w:r w:rsidR="00B97E96" w:rsidRPr="00DE3969">
          <w:rPr>
            <w:rStyle w:val="Hyperlink"/>
            <w:rFonts w:ascii="FrankRuehl" w:hAnsi="FrankRuehl" w:cs="FrankRuehl"/>
            <w:rtl/>
          </w:rPr>
          <w:t>ה"ח הכנסת תשפ"ג מס' 945</w:t>
        </w:r>
      </w:hyperlink>
      <w:r w:rsidR="00B97E96" w:rsidRPr="00DE3969">
        <w:rPr>
          <w:rFonts w:ascii="FrankRuehl" w:hAnsi="FrankRuehl" w:cs="FrankRuehl"/>
          <w:rtl/>
        </w:rPr>
        <w:t xml:space="preserve"> עמ' 16) – תיקון מס' </w:t>
      </w:r>
      <w:r w:rsidR="00B97E96">
        <w:rPr>
          <w:rFonts w:ascii="FrankRuehl" w:hAnsi="FrankRuehl" w:cs="FrankRuehl" w:hint="cs"/>
          <w:rtl/>
        </w:rPr>
        <w:t>3</w:t>
      </w:r>
      <w:r w:rsidR="00B97E96" w:rsidRPr="00DE3969">
        <w:rPr>
          <w:rFonts w:ascii="FrankRuehl" w:hAnsi="FrankRuehl" w:cs="FrankRuehl"/>
          <w:rtl/>
        </w:rPr>
        <w:t xml:space="preserve"> בסעיף </w:t>
      </w:r>
      <w:r w:rsidR="00B97E96">
        <w:rPr>
          <w:rFonts w:ascii="FrankRuehl" w:hAnsi="FrankRuehl" w:cs="FrankRuehl" w:hint="cs"/>
          <w:rtl/>
        </w:rPr>
        <w:t>82</w:t>
      </w:r>
      <w:r w:rsidR="00B97E96" w:rsidRPr="00DE3969">
        <w:rPr>
          <w:rFonts w:ascii="FrankRuehl" w:hAnsi="FrankRuehl" w:cs="FrankRuehl"/>
          <w:rtl/>
        </w:rPr>
        <w:t xml:space="preserve"> לחוק לעניין ועדות הכנסת (תיקוני חקיקה והוראת שעה),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3963" w14:textId="77777777" w:rsidR="007A5885" w:rsidRDefault="007A588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B7A5750" w14:textId="77777777"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749BCA" w14:textId="77777777"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7EDE" w14:textId="77777777" w:rsidR="007A5885" w:rsidRDefault="007A5885" w:rsidP="006A560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564525">
      <w:rPr>
        <w:rFonts w:hAnsi="FrankRuehl" w:cs="FrankRuehl" w:hint="cs"/>
        <w:color w:val="000000"/>
        <w:sz w:val="28"/>
        <w:szCs w:val="28"/>
        <w:rtl/>
      </w:rPr>
      <w:t>המאבק בתופעת השכרות</w:t>
    </w:r>
    <w:r>
      <w:rPr>
        <w:rFonts w:hAnsi="FrankRuehl" w:cs="FrankRuehl" w:hint="cs"/>
        <w:color w:val="000000"/>
        <w:sz w:val="28"/>
        <w:szCs w:val="28"/>
        <w:rtl/>
      </w:rPr>
      <w:t>, תש"ע-2010</w:t>
    </w:r>
  </w:p>
  <w:p w14:paraId="3204E23E" w14:textId="77777777"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6824F7" w14:textId="77777777"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5656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15D0A"/>
    <w:rsid w:val="0001709D"/>
    <w:rsid w:val="00017430"/>
    <w:rsid w:val="0006308F"/>
    <w:rsid w:val="00067E14"/>
    <w:rsid w:val="00086ADC"/>
    <w:rsid w:val="00091C02"/>
    <w:rsid w:val="000A1B84"/>
    <w:rsid w:val="000A46CA"/>
    <w:rsid w:val="000B4D7F"/>
    <w:rsid w:val="000C7553"/>
    <w:rsid w:val="000D5D2E"/>
    <w:rsid w:val="000E4A75"/>
    <w:rsid w:val="000E6A68"/>
    <w:rsid w:val="000F1022"/>
    <w:rsid w:val="000F608F"/>
    <w:rsid w:val="00112A59"/>
    <w:rsid w:val="0011633A"/>
    <w:rsid w:val="0012012E"/>
    <w:rsid w:val="00123701"/>
    <w:rsid w:val="00126E84"/>
    <w:rsid w:val="0013086C"/>
    <w:rsid w:val="0014555D"/>
    <w:rsid w:val="001656C1"/>
    <w:rsid w:val="001670C1"/>
    <w:rsid w:val="00172D22"/>
    <w:rsid w:val="00183086"/>
    <w:rsid w:val="00187D2C"/>
    <w:rsid w:val="00194A90"/>
    <w:rsid w:val="00195009"/>
    <w:rsid w:val="001A0191"/>
    <w:rsid w:val="001A2280"/>
    <w:rsid w:val="001B185E"/>
    <w:rsid w:val="0022326F"/>
    <w:rsid w:val="00236A33"/>
    <w:rsid w:val="00245AB7"/>
    <w:rsid w:val="0024698C"/>
    <w:rsid w:val="00274F4B"/>
    <w:rsid w:val="00291311"/>
    <w:rsid w:val="0029668C"/>
    <w:rsid w:val="002D2359"/>
    <w:rsid w:val="002D49B4"/>
    <w:rsid w:val="002E72D0"/>
    <w:rsid w:val="002E7915"/>
    <w:rsid w:val="002F0F63"/>
    <w:rsid w:val="002F2344"/>
    <w:rsid w:val="003033D8"/>
    <w:rsid w:val="00306897"/>
    <w:rsid w:val="00330591"/>
    <w:rsid w:val="00335782"/>
    <w:rsid w:val="00343EBB"/>
    <w:rsid w:val="00355575"/>
    <w:rsid w:val="0039533D"/>
    <w:rsid w:val="003C0065"/>
    <w:rsid w:val="003D3207"/>
    <w:rsid w:val="00405724"/>
    <w:rsid w:val="00405C48"/>
    <w:rsid w:val="00411F72"/>
    <w:rsid w:val="00414DD2"/>
    <w:rsid w:val="0041549C"/>
    <w:rsid w:val="00426E60"/>
    <w:rsid w:val="00433362"/>
    <w:rsid w:val="004515D8"/>
    <w:rsid w:val="00453AE6"/>
    <w:rsid w:val="0046429A"/>
    <w:rsid w:val="004643DF"/>
    <w:rsid w:val="004719B8"/>
    <w:rsid w:val="0048200B"/>
    <w:rsid w:val="00482C12"/>
    <w:rsid w:val="00483473"/>
    <w:rsid w:val="004A1C6D"/>
    <w:rsid w:val="004B182E"/>
    <w:rsid w:val="00504FC6"/>
    <w:rsid w:val="00526FE4"/>
    <w:rsid w:val="00536049"/>
    <w:rsid w:val="0054777C"/>
    <w:rsid w:val="00564525"/>
    <w:rsid w:val="00573797"/>
    <w:rsid w:val="00591188"/>
    <w:rsid w:val="005B7DC1"/>
    <w:rsid w:val="005C4B85"/>
    <w:rsid w:val="005E68F9"/>
    <w:rsid w:val="005F35DF"/>
    <w:rsid w:val="006035BA"/>
    <w:rsid w:val="006111BF"/>
    <w:rsid w:val="006179D1"/>
    <w:rsid w:val="006411A2"/>
    <w:rsid w:val="00644325"/>
    <w:rsid w:val="00666CAD"/>
    <w:rsid w:val="00683E2F"/>
    <w:rsid w:val="006A5600"/>
    <w:rsid w:val="006D18A1"/>
    <w:rsid w:val="006E1D7B"/>
    <w:rsid w:val="006F400F"/>
    <w:rsid w:val="007101DB"/>
    <w:rsid w:val="0071272E"/>
    <w:rsid w:val="007449D4"/>
    <w:rsid w:val="007561A0"/>
    <w:rsid w:val="00760401"/>
    <w:rsid w:val="007816DA"/>
    <w:rsid w:val="00797948"/>
    <w:rsid w:val="007A5885"/>
    <w:rsid w:val="007B3E87"/>
    <w:rsid w:val="007C14C9"/>
    <w:rsid w:val="007D6492"/>
    <w:rsid w:val="007D706A"/>
    <w:rsid w:val="007E665F"/>
    <w:rsid w:val="007F7EBA"/>
    <w:rsid w:val="00814B63"/>
    <w:rsid w:val="00820EEB"/>
    <w:rsid w:val="008462F4"/>
    <w:rsid w:val="00860895"/>
    <w:rsid w:val="00861E17"/>
    <w:rsid w:val="00866905"/>
    <w:rsid w:val="00890B88"/>
    <w:rsid w:val="008B7AAD"/>
    <w:rsid w:val="008C54C0"/>
    <w:rsid w:val="008D0F32"/>
    <w:rsid w:val="008D2001"/>
    <w:rsid w:val="008E793A"/>
    <w:rsid w:val="008F1B18"/>
    <w:rsid w:val="00907F4F"/>
    <w:rsid w:val="00910942"/>
    <w:rsid w:val="009122D7"/>
    <w:rsid w:val="0093080E"/>
    <w:rsid w:val="00936AD0"/>
    <w:rsid w:val="0094088E"/>
    <w:rsid w:val="00952236"/>
    <w:rsid w:val="00981E02"/>
    <w:rsid w:val="009865E2"/>
    <w:rsid w:val="009D4948"/>
    <w:rsid w:val="009E52FE"/>
    <w:rsid w:val="009F5C99"/>
    <w:rsid w:val="00A4286F"/>
    <w:rsid w:val="00A6011E"/>
    <w:rsid w:val="00A616B9"/>
    <w:rsid w:val="00A652C4"/>
    <w:rsid w:val="00A749A5"/>
    <w:rsid w:val="00A836C4"/>
    <w:rsid w:val="00A911CB"/>
    <w:rsid w:val="00A91FA7"/>
    <w:rsid w:val="00AA415B"/>
    <w:rsid w:val="00AD7099"/>
    <w:rsid w:val="00AE16AE"/>
    <w:rsid w:val="00B01519"/>
    <w:rsid w:val="00B138CE"/>
    <w:rsid w:val="00B13B5B"/>
    <w:rsid w:val="00B1659F"/>
    <w:rsid w:val="00B17DE6"/>
    <w:rsid w:val="00B54DEC"/>
    <w:rsid w:val="00B61915"/>
    <w:rsid w:val="00B7664A"/>
    <w:rsid w:val="00B862C7"/>
    <w:rsid w:val="00B870DA"/>
    <w:rsid w:val="00B97E96"/>
    <w:rsid w:val="00BE7617"/>
    <w:rsid w:val="00BE7C33"/>
    <w:rsid w:val="00BF7B1A"/>
    <w:rsid w:val="00C057F1"/>
    <w:rsid w:val="00C14731"/>
    <w:rsid w:val="00C1490A"/>
    <w:rsid w:val="00C36B0F"/>
    <w:rsid w:val="00C83D57"/>
    <w:rsid w:val="00CA76D4"/>
    <w:rsid w:val="00CB40FC"/>
    <w:rsid w:val="00CD1E6D"/>
    <w:rsid w:val="00CD234C"/>
    <w:rsid w:val="00CD333B"/>
    <w:rsid w:val="00CD683A"/>
    <w:rsid w:val="00D078B6"/>
    <w:rsid w:val="00D40A5B"/>
    <w:rsid w:val="00D432A0"/>
    <w:rsid w:val="00D43C79"/>
    <w:rsid w:val="00D54050"/>
    <w:rsid w:val="00D6143E"/>
    <w:rsid w:val="00D73E59"/>
    <w:rsid w:val="00DA366B"/>
    <w:rsid w:val="00DA5D61"/>
    <w:rsid w:val="00DC3D1F"/>
    <w:rsid w:val="00DE47F7"/>
    <w:rsid w:val="00DE56ED"/>
    <w:rsid w:val="00E11341"/>
    <w:rsid w:val="00E144CE"/>
    <w:rsid w:val="00E341CA"/>
    <w:rsid w:val="00E42F7C"/>
    <w:rsid w:val="00E508C9"/>
    <w:rsid w:val="00E516EE"/>
    <w:rsid w:val="00E55DA2"/>
    <w:rsid w:val="00E65ADA"/>
    <w:rsid w:val="00E72BC1"/>
    <w:rsid w:val="00E87870"/>
    <w:rsid w:val="00EA1843"/>
    <w:rsid w:val="00EA7A93"/>
    <w:rsid w:val="00EC0F51"/>
    <w:rsid w:val="00ED0A4A"/>
    <w:rsid w:val="00EE2B5A"/>
    <w:rsid w:val="00EE648F"/>
    <w:rsid w:val="00EE7942"/>
    <w:rsid w:val="00EF4FAC"/>
    <w:rsid w:val="00F36C13"/>
    <w:rsid w:val="00F40E35"/>
    <w:rsid w:val="00F474BB"/>
    <w:rsid w:val="00FA0F95"/>
    <w:rsid w:val="00FA49BF"/>
    <w:rsid w:val="00FB27D0"/>
    <w:rsid w:val="00FB4052"/>
    <w:rsid w:val="00FB690E"/>
    <w:rsid w:val="00FC7F7F"/>
    <w:rsid w:val="00FE1765"/>
    <w:rsid w:val="00FE5D6C"/>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C9AAD69"/>
  <w15:chartTrackingRefBased/>
  <w15:docId w15:val="{E8893BBC-A48E-49FF-BC40-65B7E287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 w:type="character" w:customStyle="1" w:styleId="P000">
    <w:name w:val="P00 תו"/>
    <w:link w:val="P00"/>
    <w:rsid w:val="007449D4"/>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750.pdf" TargetMode="External"/><Relationship Id="rId13" Type="http://schemas.openxmlformats.org/officeDocument/2006/relationships/hyperlink" Target="https://www.nevo.co.il/law_html/law14/law-3016.pdf" TargetMode="External"/><Relationship Id="rId18" Type="http://schemas.openxmlformats.org/officeDocument/2006/relationships/hyperlink" Target="https://www.nevo.co.il/Law_word/law16/knesset-873.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_word/law14/law-2393.pdf" TargetMode="External"/><Relationship Id="rId7" Type="http://schemas.openxmlformats.org/officeDocument/2006/relationships/hyperlink" Target="http://www.nevo.co.il/Law_word/law14/law-2393.pdf" TargetMode="External"/><Relationship Id="rId12" Type="http://schemas.openxmlformats.org/officeDocument/2006/relationships/hyperlink" Target="https://www.nevo.co.il/Law_word/law16/knesset-873.pdf" TargetMode="External"/><Relationship Id="rId17" Type="http://schemas.openxmlformats.org/officeDocument/2006/relationships/hyperlink" Target="https://www.nevo.co.il/Law_word/law14/law-2929.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15/memshala-750.pdf" TargetMode="External"/><Relationship Id="rId20" Type="http://schemas.openxmlformats.org/officeDocument/2006/relationships/hyperlink" Target="https://www.nevo.co.il/law_html/law16/knesset-945.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14/law-2929.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14/law-2393.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15/memshala-750.pdf" TargetMode="External"/><Relationship Id="rId19" Type="http://schemas.openxmlformats.org/officeDocument/2006/relationships/hyperlink" Target="https://www.nevo.co.il/law_html/law14/law-3016.pdf" TargetMode="External"/><Relationship Id="rId4" Type="http://schemas.openxmlformats.org/officeDocument/2006/relationships/webSettings" Target="webSettings.xml"/><Relationship Id="rId9" Type="http://schemas.openxmlformats.org/officeDocument/2006/relationships/hyperlink" Target="http://www.nevo.co.il/Law_word/law14/law-2393.pdf" TargetMode="External"/><Relationship Id="rId14" Type="http://schemas.openxmlformats.org/officeDocument/2006/relationships/hyperlink" Target="https://www.nevo.co.il/law_html/law16/knesset-945.pdf" TargetMode="External"/><Relationship Id="rId22" Type="http://schemas.openxmlformats.org/officeDocument/2006/relationships/hyperlink" Target="http://www.nevo.co.il/Law_word/law15/memshala-750.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16/knesset-945.pdf" TargetMode="External"/><Relationship Id="rId3" Type="http://schemas.openxmlformats.org/officeDocument/2006/relationships/hyperlink" Target="http://www.nevo.co.il/Law_word/law16/knesset-311.pdf" TargetMode="External"/><Relationship Id="rId7" Type="http://schemas.openxmlformats.org/officeDocument/2006/relationships/hyperlink" Target="https://www.nevo.co.il/Law_word/law14/LAW-3016.pdf" TargetMode="External"/><Relationship Id="rId2" Type="http://schemas.openxmlformats.org/officeDocument/2006/relationships/hyperlink" Target="http://www.nevo.co.il/Law_word/law15/memshala-469.pdf" TargetMode="External"/><Relationship Id="rId1" Type="http://schemas.openxmlformats.org/officeDocument/2006/relationships/hyperlink" Target="http://www.nevo.co.il/Law_word/law14/law-2238.pdf" TargetMode="External"/><Relationship Id="rId6" Type="http://schemas.openxmlformats.org/officeDocument/2006/relationships/hyperlink" Target="https://www.nevo.co.il/Law_word/law16/knesset-873.pdf" TargetMode="External"/><Relationship Id="rId5" Type="http://schemas.openxmlformats.org/officeDocument/2006/relationships/hyperlink" Target="http://www.nevo.co.il/Law_word/law15/memshala-750.pdf" TargetMode="External"/><Relationship Id="rId4" Type="http://schemas.openxmlformats.org/officeDocument/2006/relationships/hyperlink" Target="http://www.nevo.co.il/Law_word/law14/law-23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10186</CharactersWithSpaces>
  <SharedDoc>false</SharedDoc>
  <HLinks>
    <vt:vector size="222" baseType="variant">
      <vt:variant>
        <vt:i4>393283</vt:i4>
      </vt:variant>
      <vt:variant>
        <vt:i4>114</vt:i4>
      </vt:variant>
      <vt:variant>
        <vt:i4>0</vt:i4>
      </vt:variant>
      <vt:variant>
        <vt:i4>5</vt:i4>
      </vt:variant>
      <vt:variant>
        <vt:lpwstr>http://www.nevo.co.il/advertisements/nevo-100.doc</vt:lpwstr>
      </vt:variant>
      <vt:variant>
        <vt:lpwstr/>
      </vt:variant>
      <vt:variant>
        <vt:i4>7929940</vt:i4>
      </vt:variant>
      <vt:variant>
        <vt:i4>111</vt:i4>
      </vt:variant>
      <vt:variant>
        <vt:i4>0</vt:i4>
      </vt:variant>
      <vt:variant>
        <vt:i4>5</vt:i4>
      </vt:variant>
      <vt:variant>
        <vt:lpwstr>http://www.nevo.co.il/Law_word/law15/memshala-750.pdf</vt:lpwstr>
      </vt:variant>
      <vt:variant>
        <vt:lpwstr/>
      </vt:variant>
      <vt:variant>
        <vt:i4>7602185</vt:i4>
      </vt:variant>
      <vt:variant>
        <vt:i4>108</vt:i4>
      </vt:variant>
      <vt:variant>
        <vt:i4>0</vt:i4>
      </vt:variant>
      <vt:variant>
        <vt:i4>5</vt:i4>
      </vt:variant>
      <vt:variant>
        <vt:lpwstr>http://www.nevo.co.il/Law_word/law14/law-2393.pdf</vt:lpwstr>
      </vt:variant>
      <vt:variant>
        <vt:lpwstr/>
      </vt:variant>
      <vt:variant>
        <vt:i4>393249</vt:i4>
      </vt:variant>
      <vt:variant>
        <vt:i4>105</vt:i4>
      </vt:variant>
      <vt:variant>
        <vt:i4>0</vt:i4>
      </vt:variant>
      <vt:variant>
        <vt:i4>5</vt:i4>
      </vt:variant>
      <vt:variant>
        <vt:lpwstr>https://www.nevo.co.il/law_html/law16/knesset-945.pdf</vt:lpwstr>
      </vt:variant>
      <vt:variant>
        <vt:lpwstr/>
      </vt:variant>
      <vt:variant>
        <vt:i4>7405573</vt:i4>
      </vt:variant>
      <vt:variant>
        <vt:i4>102</vt:i4>
      </vt:variant>
      <vt:variant>
        <vt:i4>0</vt:i4>
      </vt:variant>
      <vt:variant>
        <vt:i4>5</vt:i4>
      </vt:variant>
      <vt:variant>
        <vt:lpwstr>https://www.nevo.co.il/law_html/law14/law-3016.pdf</vt:lpwstr>
      </vt:variant>
      <vt:variant>
        <vt:lpwstr/>
      </vt:variant>
      <vt:variant>
        <vt:i4>327733</vt:i4>
      </vt:variant>
      <vt:variant>
        <vt:i4>99</vt:i4>
      </vt:variant>
      <vt:variant>
        <vt:i4>0</vt:i4>
      </vt:variant>
      <vt:variant>
        <vt:i4>5</vt:i4>
      </vt:variant>
      <vt:variant>
        <vt:lpwstr>https://www.nevo.co.il/Law_word/law16/knesset-873.pdf</vt:lpwstr>
      </vt:variant>
      <vt:variant>
        <vt:lpwstr/>
      </vt:variant>
      <vt:variant>
        <vt:i4>7798804</vt:i4>
      </vt:variant>
      <vt:variant>
        <vt:i4>96</vt:i4>
      </vt:variant>
      <vt:variant>
        <vt:i4>0</vt:i4>
      </vt:variant>
      <vt:variant>
        <vt:i4>5</vt:i4>
      </vt:variant>
      <vt:variant>
        <vt:lpwstr>https://www.nevo.co.il/Law_word/law14/law-2929.pdf</vt:lpwstr>
      </vt:variant>
      <vt:variant>
        <vt:lpwstr/>
      </vt:variant>
      <vt:variant>
        <vt:i4>7929940</vt:i4>
      </vt:variant>
      <vt:variant>
        <vt:i4>93</vt:i4>
      </vt:variant>
      <vt:variant>
        <vt:i4>0</vt:i4>
      </vt:variant>
      <vt:variant>
        <vt:i4>5</vt:i4>
      </vt:variant>
      <vt:variant>
        <vt:lpwstr>http://www.nevo.co.il/Law_word/law15/memshala-750.pdf</vt:lpwstr>
      </vt:variant>
      <vt:variant>
        <vt:lpwstr/>
      </vt:variant>
      <vt:variant>
        <vt:i4>7602185</vt:i4>
      </vt:variant>
      <vt:variant>
        <vt:i4>90</vt:i4>
      </vt:variant>
      <vt:variant>
        <vt:i4>0</vt:i4>
      </vt:variant>
      <vt:variant>
        <vt:i4>5</vt:i4>
      </vt:variant>
      <vt:variant>
        <vt:lpwstr>http://www.nevo.co.il/Law_word/law14/law-2393.pdf</vt:lpwstr>
      </vt:variant>
      <vt:variant>
        <vt:lpwstr/>
      </vt:variant>
      <vt:variant>
        <vt:i4>393249</vt:i4>
      </vt:variant>
      <vt:variant>
        <vt:i4>87</vt:i4>
      </vt:variant>
      <vt:variant>
        <vt:i4>0</vt:i4>
      </vt:variant>
      <vt:variant>
        <vt:i4>5</vt:i4>
      </vt:variant>
      <vt:variant>
        <vt:lpwstr>https://www.nevo.co.il/law_html/law16/knesset-945.pdf</vt:lpwstr>
      </vt:variant>
      <vt:variant>
        <vt:lpwstr/>
      </vt:variant>
      <vt:variant>
        <vt:i4>7405573</vt:i4>
      </vt:variant>
      <vt:variant>
        <vt:i4>84</vt:i4>
      </vt:variant>
      <vt:variant>
        <vt:i4>0</vt:i4>
      </vt:variant>
      <vt:variant>
        <vt:i4>5</vt:i4>
      </vt:variant>
      <vt:variant>
        <vt:lpwstr>https://www.nevo.co.il/law_html/law14/law-3016.pdf</vt:lpwstr>
      </vt:variant>
      <vt:variant>
        <vt:lpwstr/>
      </vt:variant>
      <vt:variant>
        <vt:i4>327733</vt:i4>
      </vt:variant>
      <vt:variant>
        <vt:i4>81</vt:i4>
      </vt:variant>
      <vt:variant>
        <vt:i4>0</vt:i4>
      </vt:variant>
      <vt:variant>
        <vt:i4>5</vt:i4>
      </vt:variant>
      <vt:variant>
        <vt:lpwstr>https://www.nevo.co.il/Law_word/law16/knesset-873.pdf</vt:lpwstr>
      </vt:variant>
      <vt:variant>
        <vt:lpwstr/>
      </vt:variant>
      <vt:variant>
        <vt:i4>7798804</vt:i4>
      </vt:variant>
      <vt:variant>
        <vt:i4>78</vt:i4>
      </vt:variant>
      <vt:variant>
        <vt:i4>0</vt:i4>
      </vt:variant>
      <vt:variant>
        <vt:i4>5</vt:i4>
      </vt:variant>
      <vt:variant>
        <vt:lpwstr>https://www.nevo.co.il/Law_word/law14/law-2929.pdf</vt:lpwstr>
      </vt:variant>
      <vt:variant>
        <vt:lpwstr/>
      </vt:variant>
      <vt:variant>
        <vt:i4>7929940</vt:i4>
      </vt:variant>
      <vt:variant>
        <vt:i4>75</vt:i4>
      </vt:variant>
      <vt:variant>
        <vt:i4>0</vt:i4>
      </vt:variant>
      <vt:variant>
        <vt:i4>5</vt:i4>
      </vt:variant>
      <vt:variant>
        <vt:lpwstr>http://www.nevo.co.il/Law_word/law15/memshala-750.pdf</vt:lpwstr>
      </vt:variant>
      <vt:variant>
        <vt:lpwstr/>
      </vt:variant>
      <vt:variant>
        <vt:i4>7602185</vt:i4>
      </vt:variant>
      <vt:variant>
        <vt:i4>72</vt:i4>
      </vt:variant>
      <vt:variant>
        <vt:i4>0</vt:i4>
      </vt:variant>
      <vt:variant>
        <vt:i4>5</vt:i4>
      </vt:variant>
      <vt:variant>
        <vt:lpwstr>http://www.nevo.co.il/Law_word/law14/law-2393.pdf</vt:lpwstr>
      </vt:variant>
      <vt:variant>
        <vt:lpwstr/>
      </vt:variant>
      <vt:variant>
        <vt:i4>7929940</vt:i4>
      </vt:variant>
      <vt:variant>
        <vt:i4>69</vt:i4>
      </vt:variant>
      <vt:variant>
        <vt:i4>0</vt:i4>
      </vt:variant>
      <vt:variant>
        <vt:i4>5</vt:i4>
      </vt:variant>
      <vt:variant>
        <vt:lpwstr>http://www.nevo.co.il/Law_word/law15/memshala-750.pdf</vt:lpwstr>
      </vt:variant>
      <vt:variant>
        <vt:lpwstr/>
      </vt:variant>
      <vt:variant>
        <vt:i4>7602185</vt:i4>
      </vt:variant>
      <vt:variant>
        <vt:i4>66</vt:i4>
      </vt:variant>
      <vt:variant>
        <vt:i4>0</vt:i4>
      </vt:variant>
      <vt:variant>
        <vt:i4>5</vt:i4>
      </vt:variant>
      <vt:variant>
        <vt:lpwstr>http://www.nevo.co.il/Law_word/law14/law-2393.pdf</vt:lpwstr>
      </vt:variant>
      <vt:variant>
        <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393249</vt:i4>
      </vt:variant>
      <vt:variant>
        <vt:i4>24</vt:i4>
      </vt:variant>
      <vt:variant>
        <vt:i4>0</vt:i4>
      </vt:variant>
      <vt:variant>
        <vt:i4>5</vt:i4>
      </vt:variant>
      <vt:variant>
        <vt:lpwstr>https://www.nevo.co.il/law_html/law16/knesset-945.pdf</vt:lpwstr>
      </vt:variant>
      <vt:variant>
        <vt:lpwstr/>
      </vt:variant>
      <vt:variant>
        <vt:i4>7405590</vt:i4>
      </vt:variant>
      <vt:variant>
        <vt:i4>21</vt:i4>
      </vt:variant>
      <vt:variant>
        <vt:i4>0</vt:i4>
      </vt:variant>
      <vt:variant>
        <vt:i4>5</vt:i4>
      </vt:variant>
      <vt:variant>
        <vt:lpwstr>https://www.nevo.co.il/Law_word/law14/LAW-3016.pdf</vt:lpwstr>
      </vt:variant>
      <vt:variant>
        <vt:lpwstr/>
      </vt:variant>
      <vt:variant>
        <vt:i4>327733</vt:i4>
      </vt:variant>
      <vt:variant>
        <vt:i4>18</vt:i4>
      </vt:variant>
      <vt:variant>
        <vt:i4>0</vt:i4>
      </vt:variant>
      <vt:variant>
        <vt:i4>5</vt:i4>
      </vt:variant>
      <vt:variant>
        <vt:lpwstr>https://www.nevo.co.il/Law_word/law16/knesset-873.pdf</vt:lpwstr>
      </vt:variant>
      <vt:variant>
        <vt:lpwstr/>
      </vt:variant>
      <vt:variant>
        <vt:i4>8323081</vt:i4>
      </vt:variant>
      <vt:variant>
        <vt:i4>15</vt:i4>
      </vt:variant>
      <vt:variant>
        <vt:i4>0</vt:i4>
      </vt:variant>
      <vt:variant>
        <vt:i4>5</vt:i4>
      </vt:variant>
      <vt:variant>
        <vt:lpwstr>http://www.nevo.co.il/Law_word/law14/LAW-2929.pdf</vt:lpwstr>
      </vt:variant>
      <vt:variant>
        <vt:lpwstr/>
      </vt:variant>
      <vt:variant>
        <vt:i4>7929940</vt:i4>
      </vt:variant>
      <vt:variant>
        <vt:i4>12</vt:i4>
      </vt:variant>
      <vt:variant>
        <vt:i4>0</vt:i4>
      </vt:variant>
      <vt:variant>
        <vt:i4>5</vt:i4>
      </vt:variant>
      <vt:variant>
        <vt:lpwstr>http://www.nevo.co.il/Law_word/law15/memshala-750.pdf</vt:lpwstr>
      </vt:variant>
      <vt:variant>
        <vt:lpwstr/>
      </vt:variant>
      <vt:variant>
        <vt:i4>7602185</vt:i4>
      </vt:variant>
      <vt:variant>
        <vt:i4>9</vt:i4>
      </vt:variant>
      <vt:variant>
        <vt:i4>0</vt:i4>
      </vt:variant>
      <vt:variant>
        <vt:i4>5</vt:i4>
      </vt:variant>
      <vt:variant>
        <vt:lpwstr>http://www.nevo.co.il/Law_word/law14/law-2393.pdf</vt:lpwstr>
      </vt:variant>
      <vt:variant>
        <vt:lpwstr/>
      </vt:variant>
      <vt:variant>
        <vt:i4>3211291</vt:i4>
      </vt:variant>
      <vt:variant>
        <vt:i4>6</vt:i4>
      </vt:variant>
      <vt:variant>
        <vt:i4>0</vt:i4>
      </vt:variant>
      <vt:variant>
        <vt:i4>5</vt:i4>
      </vt:variant>
      <vt:variant>
        <vt:lpwstr>http://www.nevo.co.il/Law_word/law16/knesset-311.pdf</vt:lpwstr>
      </vt:variant>
      <vt:variant>
        <vt:lpwstr/>
      </vt:variant>
      <vt:variant>
        <vt:i4>7995486</vt:i4>
      </vt:variant>
      <vt:variant>
        <vt:i4>3</vt:i4>
      </vt:variant>
      <vt:variant>
        <vt:i4>0</vt:i4>
      </vt:variant>
      <vt:variant>
        <vt:i4>5</vt:i4>
      </vt:variant>
      <vt:variant>
        <vt:lpwstr>http://www.nevo.co.il/Law_word/law15/memshala-469.pdf</vt:lpwstr>
      </vt:variant>
      <vt:variant>
        <vt:lpwstr/>
      </vt:variant>
      <vt:variant>
        <vt:i4>8257539</vt:i4>
      </vt:variant>
      <vt:variant>
        <vt:i4>0</vt:i4>
      </vt:variant>
      <vt:variant>
        <vt:i4>0</vt:i4>
      </vt:variant>
      <vt:variant>
        <vt:i4>5</vt:i4>
      </vt:variant>
      <vt:variant>
        <vt:lpwstr>http://www.nevo.co.il/Law_word/law14/law-2238.pdf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המאבק בתופעת השכרות, תש"ע-2010; חוק המאבק בתופעת השכרות (הוראת שעה ותיקון חקיקה)</vt:lpwstr>
  </property>
  <property fmtid="{D5CDD505-2E9C-101B-9397-08002B2CF9AE}" pid="4" name="LAWNUMBER">
    <vt:lpwstr>0300</vt:lpwstr>
  </property>
  <property fmtid="{D5CDD505-2E9C-101B-9397-08002B2CF9AE}" pid="5" name="TYPE">
    <vt:lpwstr>01</vt:lpwstr>
  </property>
  <property fmtid="{D5CDD505-2E9C-101B-9397-08002B2CF9AE}" pid="6" name="CHNAME">
    <vt:lpwstr>עונשין</vt:lpwstr>
  </property>
  <property fmtid="{D5CDD505-2E9C-101B-9397-08002B2CF9AE}" pid="7" name="LINKK2">
    <vt:lpwstr>http://www.nevo.co.il/Law_word/law14/law-2393.pdf;‎רשומות - ספר חוקים#תוקן ס"ח תשע"ג מס' ‏‏2393 #מיום 1.5.2013 עמ' 58– תיקון מס' 1; $$$ ר' סעיף 6 לענין תחילה והוראת שעה</vt:lpwstr>
  </property>
  <property fmtid="{D5CDD505-2E9C-101B-9397-08002B2CF9AE}" pid="8" name="LINKK3">
    <vt:lpwstr>http://www.nevo.co.il/Law_word/law14/LAW-2929.pdf;‎רשומות - ספר חוקים#ס"ח תשפ"ב מס' ‏‏2929 #מיום 12.10.2021 עמ' 7– תיקון מס' 2 בסעיף 16 לחוק לעניין ועדות הכנסת (תיקוני חקיקה והוראת שעה), ‏תשפ"ב-2021; תוקפו בתקופת כהונתה של הכנסת ה-24‏</vt:lpwstr>
  </property>
  <property fmtid="{D5CDD505-2E9C-101B-9397-08002B2CF9AE}" pid="9" name="LINKK4">
    <vt:lpwstr>https://www.nevo.co.il/Law_word/law14/LAW-3016.pdf;‎רשומות - ספר חוקים#ס"ח תשפ"ג מס' ‏‏3016#מיום 9.2.2023 עמ' 24– תיקון מס' 3 בסעיף 82 לחוק לעניין ועדות הכנסת (תיקוני חקיקה והוראת שעה), ‏תשפ"ג-2023‏</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http://www.nevo.co.il/Law_word/law14/law-2238.pdf;‎רשומות - ספר חוקים#פורסם ס"ח תש"ע ‏מס' 2238 #מיום 24.3.2010 עמ' 504 ‏</vt:lpwstr>
  </property>
  <property fmtid="{D5CDD505-2E9C-101B-9397-08002B2CF9AE}" pid="23" name="NOSE11">
    <vt:lpwstr>בתי משפט וסדרי דין</vt:lpwstr>
  </property>
  <property fmtid="{D5CDD505-2E9C-101B-9397-08002B2CF9AE}" pid="24" name="NOSE21">
    <vt:lpwstr>סדר דין פלילי</vt:lpwstr>
  </property>
  <property fmtid="{D5CDD505-2E9C-101B-9397-08002B2CF9AE}" pid="25" name="NOSE31">
    <vt:lpwstr>מעצר וחיפוש</vt:lpwstr>
  </property>
  <property fmtid="{D5CDD505-2E9C-101B-9397-08002B2CF9AE}" pid="26" name="NOSE41">
    <vt:lpwstr/>
  </property>
  <property fmtid="{D5CDD505-2E9C-101B-9397-08002B2CF9AE}" pid="27" name="NOSE12">
    <vt:lpwstr>עונשין ומשפט פלילי</vt:lpwstr>
  </property>
  <property fmtid="{D5CDD505-2E9C-101B-9397-08002B2CF9AE}" pid="28" name="NOSE22">
    <vt:lpwstr>עבירות</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